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黑体"/>
          <w:b/>
          <w:spacing w:val="20"/>
          <w:w w:val="105"/>
          <w:sz w:val="36"/>
          <w:szCs w:val="36"/>
        </w:rPr>
      </w:pPr>
      <w:r>
        <w:rPr>
          <w:rFonts w:hint="eastAsia" w:ascii="仿宋" w:hAnsi="仿宋" w:eastAsia="仿宋" w:cs="黑体"/>
          <w:b/>
          <w:spacing w:val="20"/>
          <w:w w:val="105"/>
          <w:sz w:val="36"/>
          <w:szCs w:val="36"/>
        </w:rPr>
        <w:t>盘锦市</w:t>
      </w:r>
      <w:r>
        <w:rPr>
          <w:rFonts w:hint="eastAsia" w:ascii="仿宋" w:hAnsi="仿宋" w:eastAsia="仿宋" w:cs="黑体"/>
          <w:b/>
          <w:spacing w:val="20"/>
          <w:w w:val="105"/>
          <w:sz w:val="36"/>
          <w:szCs w:val="36"/>
          <w:lang w:val="en-US" w:eastAsia="zh-CN"/>
        </w:rPr>
        <w:t>2022年</w:t>
      </w:r>
      <w:r>
        <w:rPr>
          <w:rFonts w:hint="eastAsia" w:ascii="仿宋" w:hAnsi="仿宋" w:eastAsia="仿宋" w:cs="黑体"/>
          <w:b/>
          <w:spacing w:val="20"/>
          <w:w w:val="105"/>
          <w:sz w:val="36"/>
          <w:szCs w:val="36"/>
        </w:rPr>
        <w:t>车用尿素水溶液</w:t>
      </w:r>
    </w:p>
    <w:p>
      <w:pPr>
        <w:spacing w:line="360" w:lineRule="auto"/>
        <w:jc w:val="center"/>
        <w:rPr>
          <w:rFonts w:ascii="仿宋" w:hAnsi="仿宋" w:eastAsia="仿宋" w:cs="黑体"/>
          <w:b/>
          <w:spacing w:val="20"/>
          <w:w w:val="105"/>
          <w:sz w:val="36"/>
          <w:szCs w:val="36"/>
        </w:rPr>
      </w:pPr>
      <w:r>
        <w:rPr>
          <w:rFonts w:hint="eastAsia" w:ascii="仿宋" w:hAnsi="仿宋" w:eastAsia="仿宋" w:cs="黑体"/>
          <w:b/>
          <w:spacing w:val="20"/>
          <w:w w:val="105"/>
          <w:sz w:val="36"/>
          <w:szCs w:val="36"/>
        </w:rPr>
        <w:t>产品质量监督抽查实施细则</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 适用范围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适用于盘锦市车用尿素水溶液产品质量监督抽查，针对特殊情况的专项抽查、盘锦市内县级及以上市场监督管理部门组织的地方监督抽查可参照执行。抽查范围为盘锦市内车用尿素水溶液产品生产单位及销售单位。本实施细则内容包括产品分类、术语和定义、企业规模划分、检验依据、抽样、检验要求、判定原则及异议处理及附则。</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 产品分类、术语和定义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2.1产品分类见表1。</w:t>
      </w:r>
    </w:p>
    <w:p>
      <w:pPr>
        <w:spacing w:line="360" w:lineRule="auto"/>
        <w:ind w:firstLine="480" w:firstLineChars="200"/>
        <w:jc w:val="center"/>
        <w:rPr>
          <w:rFonts w:ascii="仿宋" w:hAnsi="仿宋" w:eastAsia="仿宋"/>
          <w:sz w:val="24"/>
          <w:szCs w:val="24"/>
        </w:rPr>
      </w:pPr>
      <w:r>
        <w:rPr>
          <w:rFonts w:hint="eastAsia" w:ascii="仿宋" w:hAnsi="仿宋" w:eastAsia="仿宋"/>
          <w:color w:val="000000"/>
          <w:sz w:val="24"/>
          <w:szCs w:val="24"/>
        </w:rPr>
        <w:t>表1  产品分类及代码</w:t>
      </w:r>
    </w:p>
    <w:tbl>
      <w:tblPr>
        <w:tblStyle w:val="5"/>
        <w:tblW w:w="48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09"/>
        <w:gridCol w:w="2009"/>
        <w:gridCol w:w="2009"/>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产品分类</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6" w:firstLineChars="11"/>
              <w:jc w:val="center"/>
              <w:rPr>
                <w:rFonts w:ascii="仿宋" w:hAnsi="仿宋" w:eastAsia="仿宋" w:cs="宋体"/>
                <w:sz w:val="24"/>
                <w:szCs w:val="24"/>
              </w:rPr>
            </w:pPr>
            <w:r>
              <w:rPr>
                <w:rFonts w:hint="eastAsia" w:ascii="仿宋" w:hAnsi="仿宋" w:eastAsia="仿宋" w:cs="宋体"/>
                <w:sz w:val="24"/>
                <w:szCs w:val="24"/>
              </w:rPr>
              <w:t>一级分类</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二级分类</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分类代码</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6</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606</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分类名称</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机械及安防</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车辆相关产品</w:t>
            </w:r>
          </w:p>
        </w:tc>
        <w:tc>
          <w:tcPr>
            <w:tcW w:w="1250" w:type="pct"/>
            <w:tcBorders>
              <w:top w:val="single" w:color="auto" w:sz="4" w:space="0"/>
              <w:left w:val="single" w:color="auto" w:sz="4" w:space="0"/>
              <w:bottom w:val="single" w:color="auto" w:sz="4" w:space="0"/>
              <w:right w:val="single" w:color="auto" w:sz="4" w:space="0"/>
            </w:tcBorders>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2.2产品种类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柴油发动机氮氧化物还原剂尿素水溶液（AUS 32）。</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2.3术语和定义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本细则中所使用的术语和定义同相关引用标准。</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 企业规模划分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根据国家统计局印发的相关管理办法，确定企业规模。</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4 检验依据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凡是注日期的文件，其随后所有的修改单（不包括勘误的内容）或修订版不适用于本细则。凡是不注日期的文件，其最新版本适用于本细则。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GB 29518    柴油发动机氮氧化物还原剂尿素水溶液（AUS 32）</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相关的法律法规、部门规章和规范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经公示现行有效的企业标准、地方标准及产品明示质量要求</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5 抽样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5.1抽样型号或规格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抽取样品应为同一型号规格、同一批次的产品，优先抽取企业的主导产品。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5.2抽样基数及数量</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以随机抽样的方式在被抽样生产者、销售者的待销产品中抽取。</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随机数一般可使用随机数表等方法产生。</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每批次产品抽取不少于2L独立包装样品2份，如产品独立包装大于50L，使用符合GB 29518—2013 《柴油发动机氮氧化物还原剂 尿素水溶液（AUS32）》附录I要求的包装物进行分装取样。其中1份作为检验样品，1份作为备用样品。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5.3样品处置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5.3.1 对抽取的样品，应分别注明“检验样品”与“备用样品”或类似字样。当场对样品的瓶口或桶口密封，为保证样品的真实性，要有相应的防拆封措施，并保证封条在运输过程中不会破损。封条上至少要有抽样日期、抽样人签字、被抽查企业代表签字及抽样单位公章等相关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5.3.2 抽取的样品应避免长时间在高于25℃的条件下运输和储存。抽取的样品应按运输条件包装好，由抽样人员通过合适的途径运送至样品检验机构。运输时严防雨淋、日晒、受潮。装卸时轻搬轻放，严禁掷抛。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5.3.3 备用样品及检验结束后的样品应该贮存在阴凉、干燥、避免阳光直射的安全处。应保证备用样品在整个保存期间签封完整无损。</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5.4抽样单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应按有关规定填写抽样单，记录被抽查产品及企业相关信息。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5.5其他要求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5.6样品获取方式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监督抽查所需的样品要在受检单位以购买方式获取。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5.7抽样时应注意的问题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5.7.1应由抽样技术人员在现场进行抽取，不得由企业自行抽样。抽取的样品应当是有产品质量检验合格证明或者以其他形式表明合格的产品。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5.7.2抽样时，抽样人员应当认真核实营业执照等被抽查企业的相关信息，确认企业不存在不得抽样的情形。遇有下列情况之一且能提供有效证明的，不得抽样：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（1）被抽查企业无监督抽查通知书或者相关文件复印件所列产品的；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（2）有充分证据证明拟抽查的产品是不用于销售的；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（3）产品不涉及强制性标准要求，仅按双方约定的技术要求加工生产，且未执行任何标准的；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（4）有充分证据证明拟抽查的产品为企业用于出口，并且出口合同对产品质量另有规定的；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（5）产品或者标签、包装、说明书标有“试制”、“处理”或者“样品”等字样的；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）企业提供上级市场监管部门6个月内同一规格型号的该种产品的监督抽查抽样单或者合格检验报告的。（专项抽查除外）</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6 检验要求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6.1检验项目</w:t>
      </w:r>
    </w:p>
    <w:p>
      <w:pPr>
        <w:pStyle w:val="2"/>
        <w:spacing w:line="360" w:lineRule="auto"/>
        <w:ind w:firstLine="560"/>
        <w:rPr>
          <w:rFonts w:ascii="仿宋" w:hAnsi="仿宋" w:eastAsia="仿宋"/>
        </w:rPr>
      </w:pPr>
      <w:r>
        <w:rPr>
          <w:rFonts w:hint="eastAsia" w:ascii="仿宋" w:hAnsi="仿宋" w:eastAsia="仿宋"/>
          <w:sz w:val="28"/>
          <w:szCs w:val="28"/>
        </w:rPr>
        <w:t>车用尿素水溶液产品检验项目见表</w:t>
      </w:r>
      <w:r>
        <w:rPr>
          <w:rFonts w:ascii="仿宋" w:hAnsi="仿宋" w:eastAsia="仿宋"/>
          <w:sz w:val="28"/>
          <w:szCs w:val="28"/>
        </w:rPr>
        <w:t>2</w:t>
      </w:r>
      <w:r>
        <w:rPr>
          <w:rFonts w:hint="eastAsia" w:ascii="仿宋" w:hAnsi="仿宋" w:eastAsia="仿宋"/>
          <w:sz w:val="28"/>
          <w:szCs w:val="28"/>
        </w:rPr>
        <w:t>。</w:t>
      </w:r>
    </w:p>
    <w:p>
      <w:pPr>
        <w:spacing w:line="360" w:lineRule="auto"/>
        <w:jc w:val="center"/>
        <w:rPr>
          <w:rFonts w:ascii="仿宋" w:hAnsi="仿宋" w:eastAsia="仿宋"/>
          <w:sz w:val="24"/>
          <w:szCs w:val="24"/>
        </w:rPr>
      </w:pPr>
      <w:r>
        <w:rPr>
          <w:rFonts w:hint="eastAsia" w:ascii="仿宋" w:hAnsi="仿宋" w:eastAsia="仿宋"/>
          <w:sz w:val="24"/>
          <w:szCs w:val="24"/>
        </w:rPr>
        <w:t>表2</w:t>
      </w:r>
      <w:bookmarkStart w:id="0" w:name="_Hlk72594445"/>
      <w:r>
        <w:rPr>
          <w:rFonts w:hint="eastAsia" w:ascii="仿宋" w:hAnsi="仿宋" w:eastAsia="仿宋"/>
          <w:sz w:val="24"/>
          <w:szCs w:val="24"/>
        </w:rPr>
        <w:t xml:space="preserve">  车用尿素水溶液</w:t>
      </w:r>
      <w:bookmarkEnd w:id="0"/>
      <w:r>
        <w:rPr>
          <w:rFonts w:hint="eastAsia" w:ascii="仿宋" w:hAnsi="仿宋" w:eastAsia="仿宋"/>
          <w:sz w:val="24"/>
          <w:szCs w:val="24"/>
        </w:rPr>
        <w:t>产品检验项目</w:t>
      </w:r>
    </w:p>
    <w:tbl>
      <w:tblPr>
        <w:tblStyle w:val="5"/>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7"/>
        <w:gridCol w:w="3206"/>
        <w:gridCol w:w="2035"/>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序号</w:t>
            </w:r>
          </w:p>
        </w:tc>
        <w:tc>
          <w:tcPr>
            <w:tcW w:w="1835" w:type="pct"/>
            <w:tcBorders>
              <w:top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检验项目</w:t>
            </w:r>
          </w:p>
        </w:tc>
        <w:tc>
          <w:tcPr>
            <w:tcW w:w="1165" w:type="pct"/>
            <w:tcBorders>
              <w:top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依据标准</w:t>
            </w:r>
          </w:p>
        </w:tc>
        <w:tc>
          <w:tcPr>
            <w:tcW w:w="1668" w:type="pct"/>
            <w:tcBorders>
              <w:top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尿素含量（质量分数）</w:t>
            </w:r>
          </w:p>
        </w:tc>
        <w:tc>
          <w:tcPr>
            <w:tcW w:w="1165" w:type="pct"/>
            <w:vMerge w:val="restart"/>
            <w:vAlign w:val="center"/>
          </w:tcPr>
          <w:p>
            <w:pPr>
              <w:snapToGrid w:val="0"/>
              <w:spacing w:line="320" w:lineRule="exact"/>
              <w:jc w:val="left"/>
              <w:rPr>
                <w:rFonts w:ascii="仿宋" w:hAnsi="仿宋" w:eastAsia="仿宋"/>
                <w:sz w:val="24"/>
                <w:szCs w:val="24"/>
              </w:rPr>
            </w:pPr>
            <w:r>
              <w:rPr>
                <w:rFonts w:ascii="仿宋" w:hAnsi="仿宋" w:eastAsia="仿宋"/>
                <w:sz w:val="24"/>
                <w:szCs w:val="24"/>
              </w:rPr>
              <w:t>GB 29518-2013</w:t>
            </w: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2</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密度（20℃）</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ascii="仿宋" w:hAnsi="仿宋" w:eastAsia="仿宋"/>
                <w:sz w:val="24"/>
                <w:szCs w:val="24"/>
              </w:rPr>
              <w:t>SH/T 0604</w:t>
            </w:r>
            <w:r>
              <w:rPr>
                <w:rFonts w:hint="eastAsia" w:ascii="仿宋" w:hAnsi="仿宋" w:eastAsia="仿宋"/>
                <w:sz w:val="24"/>
                <w:szCs w:val="24"/>
              </w:rPr>
              <w:t>或（GB/T1884—2000和GB/T1885—1998）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3</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折光率</w:t>
            </w:r>
            <w:r>
              <w:rPr>
                <w:rFonts w:ascii="仿宋" w:hAnsi="仿宋" w:eastAsia="仿宋"/>
                <w:sz w:val="24"/>
                <w:szCs w:val="24"/>
                <w:vertAlign w:val="superscript"/>
              </w:rPr>
              <w:t>20</w:t>
            </w:r>
            <w:r>
              <w:rPr>
                <w:rFonts w:hint="eastAsia" w:ascii="仿宋" w:hAnsi="仿宋" w:eastAsia="仿宋"/>
                <w:sz w:val="24"/>
                <w:szCs w:val="24"/>
              </w:rPr>
              <w:t>n</w:t>
            </w:r>
            <w:r>
              <w:rPr>
                <w:rFonts w:ascii="仿宋" w:hAnsi="仿宋" w:eastAsia="仿宋"/>
                <w:sz w:val="24"/>
                <w:szCs w:val="24"/>
                <w:vertAlign w:val="subscript"/>
              </w:rPr>
              <w:t>D</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ascii="仿宋" w:hAnsi="仿宋" w:eastAsia="仿宋"/>
                <w:sz w:val="24"/>
                <w:szCs w:val="24"/>
              </w:rPr>
              <w:t>GB/T 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4</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碱度（以NH</w:t>
            </w:r>
            <w:r>
              <w:rPr>
                <w:rFonts w:hint="eastAsia" w:ascii="仿宋" w:hAnsi="仿宋" w:eastAsia="仿宋"/>
                <w:sz w:val="24"/>
                <w:szCs w:val="24"/>
                <w:vertAlign w:val="subscript"/>
              </w:rPr>
              <w:t>3</w:t>
            </w:r>
            <w:r>
              <w:rPr>
                <w:rFonts w:hint="eastAsia" w:ascii="仿宋" w:hAnsi="仿宋" w:eastAsia="仿宋"/>
                <w:sz w:val="24"/>
                <w:szCs w:val="24"/>
              </w:rPr>
              <w:t>计）（质量分数）</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w:t>
            </w:r>
            <w:r>
              <w:rPr>
                <w:rFonts w:ascii="仿宋" w:hAnsi="仿宋" w:eastAsia="仿宋"/>
                <w:sz w:val="24"/>
                <w:szCs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5</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缩二脲（质量分数）</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w:t>
            </w:r>
            <w:r>
              <w:rPr>
                <w:rFonts w:ascii="仿宋" w:hAnsi="仿宋" w:eastAsia="仿宋"/>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6</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醛类（以HCHO计）</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w:t>
            </w:r>
            <w:r>
              <w:rPr>
                <w:rFonts w:ascii="仿宋" w:hAnsi="仿宋" w:eastAsia="仿宋"/>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7</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不溶物</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w:t>
            </w:r>
            <w:r>
              <w:rPr>
                <w:rFonts w:ascii="仿宋" w:hAnsi="仿宋" w:eastAsia="仿宋"/>
                <w:sz w:val="24"/>
                <w:szCs w:val="24"/>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8</w:t>
            </w:r>
          </w:p>
        </w:tc>
        <w:tc>
          <w:tcPr>
            <w:tcW w:w="1835"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磷酸盐（以PO</w:t>
            </w:r>
            <w:r>
              <w:rPr>
                <w:rFonts w:hint="eastAsia" w:ascii="仿宋" w:hAnsi="仿宋" w:eastAsia="仿宋"/>
                <w:sz w:val="24"/>
                <w:szCs w:val="24"/>
                <w:vertAlign w:val="subscript"/>
              </w:rPr>
              <w:t>4</w:t>
            </w:r>
            <w:r>
              <w:rPr>
                <w:rFonts w:hint="eastAsia" w:ascii="仿宋" w:hAnsi="仿宋" w:eastAsia="仿宋"/>
                <w:sz w:val="24"/>
                <w:szCs w:val="24"/>
              </w:rPr>
              <w:t>计）</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w:t>
            </w:r>
            <w:r>
              <w:rPr>
                <w:rFonts w:ascii="仿宋" w:hAnsi="仿宋" w:eastAsia="仿宋"/>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left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9</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钙</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restar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w:t>
            </w:r>
            <w:r>
              <w:rPr>
                <w:rFonts w:ascii="仿宋" w:hAnsi="仿宋" w:eastAsia="仿宋"/>
                <w:sz w:val="24"/>
                <w:szCs w:val="24"/>
              </w:rPr>
              <w:t xml:space="preserve">-2013 </w:t>
            </w:r>
            <w:r>
              <w:rPr>
                <w:rFonts w:hint="eastAsia" w:ascii="仿宋" w:hAnsi="仿宋" w:eastAsia="仿宋"/>
                <w:sz w:val="24"/>
                <w:szCs w:val="24"/>
              </w:rPr>
              <w:t>附录</w:t>
            </w:r>
            <w:r>
              <w:rPr>
                <w:rFonts w:ascii="仿宋" w:hAnsi="仿宋" w:eastAsia="仿宋"/>
                <w:sz w:val="24"/>
                <w:szCs w:val="24"/>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10</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铁</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11</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铜</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锌</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铬</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镍</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铝</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镁</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钠</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8</w:t>
            </w:r>
          </w:p>
        </w:tc>
        <w:tc>
          <w:tcPr>
            <w:tcW w:w="1835" w:type="pct"/>
            <w:vAlign w:val="center"/>
          </w:tcPr>
          <w:p>
            <w:pPr>
              <w:snapToGrid w:val="0"/>
              <w:jc w:val="left"/>
              <w:rPr>
                <w:rFonts w:ascii="仿宋" w:hAnsi="仿宋" w:eastAsia="仿宋"/>
                <w:sz w:val="24"/>
                <w:szCs w:val="24"/>
              </w:rPr>
            </w:pPr>
            <w:r>
              <w:rPr>
                <w:rFonts w:hint="eastAsia" w:ascii="仿宋" w:hAnsi="仿宋" w:eastAsia="仿宋"/>
                <w:sz w:val="24"/>
                <w:szCs w:val="24"/>
              </w:rPr>
              <w:t>钾</w:t>
            </w:r>
            <w:bookmarkStart w:id="1" w:name="_GoBack"/>
            <w:bookmarkEnd w:id="1"/>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Merge w:val="continue"/>
            <w:vAlign w:val="center"/>
          </w:tcPr>
          <w:p>
            <w:pPr>
              <w:snapToGrid w:val="0"/>
              <w:spacing w:line="32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30" w:type="pct"/>
            <w:tcBorders>
              <w:top w:val="single" w:color="auto" w:sz="4" w:space="0"/>
              <w:left w:val="single" w:color="auto" w:sz="4" w:space="0"/>
              <w:bottom w:val="single" w:color="auto" w:sz="4" w:space="0"/>
            </w:tcBorders>
            <w:vAlign w:val="center"/>
          </w:tcPr>
          <w:p>
            <w:pPr>
              <w:snapToGrid w:val="0"/>
              <w:spacing w:line="320" w:lineRule="exact"/>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w:t>
            </w:r>
          </w:p>
        </w:tc>
        <w:tc>
          <w:tcPr>
            <w:tcW w:w="1835" w:type="pct"/>
            <w:vAlign w:val="center"/>
          </w:tcPr>
          <w:p>
            <w:pPr>
              <w:snapToGrid w:val="0"/>
              <w:jc w:val="left"/>
              <w:rPr>
                <w:rFonts w:hint="eastAsia" w:ascii="仿宋" w:hAnsi="仿宋" w:eastAsia="仿宋"/>
                <w:sz w:val="24"/>
                <w:szCs w:val="24"/>
              </w:rPr>
            </w:pPr>
            <w:r>
              <w:rPr>
                <w:rFonts w:hint="eastAsia"/>
              </w:rPr>
              <w:t>一致性确认</w:t>
            </w:r>
          </w:p>
        </w:tc>
        <w:tc>
          <w:tcPr>
            <w:tcW w:w="1165" w:type="pct"/>
            <w:vMerge w:val="continue"/>
            <w:tcBorders/>
            <w:vAlign w:val="center"/>
          </w:tcPr>
          <w:p>
            <w:pPr>
              <w:snapToGrid w:val="0"/>
              <w:spacing w:line="320" w:lineRule="exact"/>
              <w:rPr>
                <w:rFonts w:ascii="仿宋" w:hAnsi="仿宋" w:eastAsia="仿宋"/>
                <w:sz w:val="24"/>
                <w:szCs w:val="24"/>
              </w:rPr>
            </w:pPr>
          </w:p>
        </w:tc>
        <w:tc>
          <w:tcPr>
            <w:tcW w:w="1668" w:type="pct"/>
            <w:vAlign w:val="center"/>
          </w:tcPr>
          <w:p>
            <w:pPr>
              <w:snapToGrid w:val="0"/>
              <w:spacing w:line="320" w:lineRule="exact"/>
              <w:rPr>
                <w:rFonts w:ascii="仿宋" w:hAnsi="仿宋" w:eastAsia="仿宋"/>
                <w:sz w:val="24"/>
                <w:szCs w:val="24"/>
              </w:rPr>
            </w:pPr>
            <w:r>
              <w:rPr>
                <w:rFonts w:hint="eastAsia" w:ascii="仿宋" w:hAnsi="仿宋" w:eastAsia="仿宋"/>
                <w:sz w:val="24"/>
                <w:szCs w:val="24"/>
              </w:rPr>
              <w:t>GB 29518—2013附录H</w:t>
            </w:r>
          </w:p>
        </w:tc>
      </w:tr>
    </w:tbl>
    <w:p>
      <w:pPr>
        <w:spacing w:line="360" w:lineRule="auto"/>
        <w:ind w:firstLine="560" w:firstLineChars="200"/>
        <w:rPr>
          <w:rFonts w:ascii="仿宋" w:hAnsi="仿宋" w:eastAsia="仿宋"/>
          <w:sz w:val="28"/>
          <w:szCs w:val="28"/>
        </w:rPr>
      </w:pPr>
      <w:r>
        <w:rPr>
          <w:rFonts w:hint="eastAsia" w:ascii="仿宋" w:hAnsi="仿宋" w:eastAsia="仿宋"/>
          <w:sz w:val="28"/>
          <w:szCs w:val="28"/>
        </w:rPr>
        <w:t>6.2 检验应注意的问题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若被检产品明示的质量要求高于本细则中的检验项目依据的标准要求时，应按被检产品明示的质量要求判定。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若被检产品明示的质量要求低于本细则中的检验项目依据的强制性标准要求时，应按强制性标准要求判定。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若被检产品明示的质量要求低于或包含细则中检验项目依据的推荐性标准要求时，应以被检产品明示的质量要求判定。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若被检产品明示的质量要求缺少本细则中检验项目依据的强制性标准要求时，应按照强制性标准要求判定。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若被检产品明示的质量要求缺少本细则中检验项目依据的推荐性标准要求时，该项目不参与判定，但应在检验报告备注中进行说明。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检验过程中遇到有样品失效或者其它情况致使检验无法进行时，必须如实记录即时情况，并有充分的证实材料。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当一个检验项目有多个检测方法时，出现可疑结果或不合格结果（即在有异议）时，应以产品标准中规定方法的测定结果为准。</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7 判定原则</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原则：经检验，检验项目全部合格，判定为被抽查产品合格；检验项目中任一项或一项以上不合格，判定为被抽查产品不合格。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结论用语：</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经抽样检验，所检项目符合**标准要求，依据《盘锦市2022年</w:t>
      </w:r>
      <w:r>
        <w:rPr>
          <w:rFonts w:hint="eastAsia" w:ascii="仿宋" w:hAnsi="仿宋" w:eastAsia="仿宋"/>
          <w:sz w:val="28"/>
          <w:szCs w:val="28"/>
        </w:rPr>
        <w:t>车用尿素水溶液</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产品质量监督抽查实施细则》，判定为合格。</w:t>
      </w:r>
    </w:p>
    <w:p>
      <w:pPr>
        <w:adjustRightInd w:val="0"/>
        <w:snapToGrid w:val="0"/>
        <w:spacing w:line="360" w:lineRule="auto"/>
        <w:ind w:firstLine="548" w:firstLineChars="196"/>
        <w:rPr>
          <w:rFonts w:hint="eastAsia" w:ascii="仿宋" w:hAnsi="仿宋" w:eastAsia="仿宋" w:cs="仿宋"/>
          <w:i w:val="0"/>
          <w:caps w:val="0"/>
          <w:color w:val="333333"/>
          <w:spacing w:val="0"/>
          <w:kern w:val="0"/>
          <w:sz w:val="28"/>
          <w:szCs w:val="28"/>
          <w:shd w:val="clear" w:color="auto" w:fill="FFFFFF"/>
          <w:lang w:val="en-US" w:eastAsia="zh-CN" w:bidi="ar"/>
        </w:rPr>
      </w:pPr>
      <w:r>
        <w:rPr>
          <w:rFonts w:hint="eastAsia" w:ascii="仿宋" w:hAnsi="仿宋" w:eastAsia="仿宋" w:cs="仿宋"/>
          <w:i w:val="0"/>
          <w:caps w:val="0"/>
          <w:color w:val="333333"/>
          <w:spacing w:val="0"/>
          <w:kern w:val="0"/>
          <w:sz w:val="28"/>
          <w:szCs w:val="28"/>
          <w:shd w:val="clear" w:color="auto" w:fill="FFFFFF"/>
          <w:lang w:val="en-US" w:eastAsia="zh-CN" w:bidi="ar"/>
        </w:rPr>
        <w:t>经抽样检验，**项目不符合**标准要求，依据《盘锦市2022年</w:t>
      </w:r>
      <w:r>
        <w:rPr>
          <w:rFonts w:hint="eastAsia" w:ascii="仿宋" w:hAnsi="仿宋" w:eastAsia="仿宋"/>
          <w:sz w:val="28"/>
          <w:szCs w:val="28"/>
        </w:rPr>
        <w:t>车用尿素水溶液</w:t>
      </w:r>
      <w:r>
        <w:rPr>
          <w:rFonts w:hint="eastAsia" w:ascii="仿宋" w:hAnsi="仿宋" w:eastAsia="仿宋" w:cs="仿宋"/>
          <w:i w:val="0"/>
          <w:caps w:val="0"/>
          <w:color w:val="333333"/>
          <w:spacing w:val="0"/>
          <w:kern w:val="0"/>
          <w:sz w:val="28"/>
          <w:szCs w:val="28"/>
          <w:shd w:val="clear" w:color="auto" w:fill="FFFFFF"/>
          <w:lang w:val="en-US" w:eastAsia="zh-CN" w:bidi="ar"/>
        </w:rPr>
        <w:t>产品质量监督抽查实施细则》，判定为不合格。</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8 异议处理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对被判定为不合格产品进行异议处理时，按以下方式进行：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8.1 核查不合格项目相关证据，能够以记录（纸质记录或电子记录或影像记录）或与不合格项目相关联的其它质量数据等检验证据证明。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8.2对需要复检并具备检验条件的，处理企业异议的市场监督管理部门和者指定检验机构应当按原监督抽查方案对抽取的备用样品组织复检，并出具检验报告。复检结论为最终结论。</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9 附则</w:t>
      </w:r>
    </w:p>
    <w:p>
      <w:pPr>
        <w:adjustRightInd w:val="0"/>
        <w:snapToGrid w:val="0"/>
        <w:spacing w:line="360" w:lineRule="auto"/>
        <w:ind w:firstLine="548" w:firstLineChars="196"/>
        <w:rPr>
          <w:rFonts w:hint="eastAsia" w:ascii="仿宋" w:hAnsi="仿宋" w:eastAsia="仿宋" w:cs="仿宋"/>
          <w:sz w:val="28"/>
          <w:szCs w:val="28"/>
          <w:lang w:eastAsia="zh-CN"/>
        </w:rPr>
      </w:pPr>
      <w:r>
        <w:rPr>
          <w:rFonts w:hint="eastAsia" w:ascii="仿宋" w:hAnsi="仿宋" w:eastAsia="仿宋" w:cs="仿宋"/>
          <w:sz w:val="28"/>
          <w:szCs w:val="28"/>
        </w:rPr>
        <w:t>本实施细则编制单位：</w:t>
      </w:r>
      <w:r>
        <w:rPr>
          <w:rFonts w:hint="eastAsia" w:ascii="仿宋" w:hAnsi="仿宋" w:eastAsia="仿宋" w:cs="仿宋"/>
          <w:sz w:val="28"/>
          <w:szCs w:val="28"/>
          <w:lang w:eastAsia="zh-CN"/>
        </w:rPr>
        <w:t>辽宁中北方正检测服务有限公司</w:t>
      </w:r>
    </w:p>
    <w:p>
      <w:pPr>
        <w:adjustRightInd w:val="0"/>
        <w:snapToGrid w:val="0"/>
        <w:spacing w:line="360" w:lineRule="auto"/>
        <w:ind w:firstLine="548" w:firstLineChars="196"/>
      </w:pPr>
      <w:r>
        <w:rPr>
          <w:rFonts w:hint="eastAsia" w:ascii="仿宋" w:hAnsi="仿宋" w:eastAsia="仿宋" w:cs="仿宋"/>
          <w:sz w:val="28"/>
          <w:szCs w:val="28"/>
        </w:rPr>
        <w:t>本实施细则由</w:t>
      </w:r>
      <w:r>
        <w:rPr>
          <w:rFonts w:hint="eastAsia" w:ascii="仿宋" w:hAnsi="仿宋" w:eastAsia="仿宋" w:cs="仿宋"/>
          <w:sz w:val="28"/>
          <w:szCs w:val="28"/>
          <w:lang w:eastAsia="zh-CN"/>
        </w:rPr>
        <w:t>盘锦市市场</w:t>
      </w:r>
      <w:r>
        <w:rPr>
          <w:rFonts w:hint="eastAsia" w:ascii="仿宋" w:hAnsi="仿宋" w:eastAsia="仿宋" w:cs="仿宋"/>
          <w:sz w:val="28"/>
          <w:szCs w:val="28"/>
        </w:rPr>
        <w:t>监督</w:t>
      </w:r>
      <w:r>
        <w:rPr>
          <w:rFonts w:hint="eastAsia" w:ascii="仿宋" w:hAnsi="仿宋" w:eastAsia="仿宋" w:cs="仿宋"/>
          <w:sz w:val="28"/>
          <w:szCs w:val="28"/>
          <w:lang w:eastAsia="zh-CN"/>
        </w:rPr>
        <w:t>管理</w:t>
      </w:r>
      <w:r>
        <w:rPr>
          <w:rFonts w:hint="eastAsia" w:ascii="仿宋" w:hAnsi="仿宋" w:eastAsia="仿宋" w:cs="仿宋"/>
          <w:sz w:val="28"/>
          <w:szCs w:val="28"/>
        </w:rPr>
        <w:t>局管理。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0OTYzNGRiMDc4ZWJlOGNlZWNlNWM3MWQ3YzcxNjkifQ=="/>
  </w:docVars>
  <w:rsids>
    <w:rsidRoot w:val="009B11A6"/>
    <w:rsid w:val="00014B64"/>
    <w:rsid w:val="000542F8"/>
    <w:rsid w:val="00084F7F"/>
    <w:rsid w:val="000A1C52"/>
    <w:rsid w:val="001374EC"/>
    <w:rsid w:val="001A56E4"/>
    <w:rsid w:val="002020F0"/>
    <w:rsid w:val="0022318E"/>
    <w:rsid w:val="00283A25"/>
    <w:rsid w:val="002E29A2"/>
    <w:rsid w:val="0034026F"/>
    <w:rsid w:val="00373915"/>
    <w:rsid w:val="003C0004"/>
    <w:rsid w:val="0041149C"/>
    <w:rsid w:val="00431950"/>
    <w:rsid w:val="004C67BC"/>
    <w:rsid w:val="0059106E"/>
    <w:rsid w:val="005A08B8"/>
    <w:rsid w:val="00622307"/>
    <w:rsid w:val="00625E06"/>
    <w:rsid w:val="0063017F"/>
    <w:rsid w:val="00653382"/>
    <w:rsid w:val="00720BBA"/>
    <w:rsid w:val="00822029"/>
    <w:rsid w:val="00861915"/>
    <w:rsid w:val="00867332"/>
    <w:rsid w:val="008677B7"/>
    <w:rsid w:val="008964C6"/>
    <w:rsid w:val="00926A26"/>
    <w:rsid w:val="00930192"/>
    <w:rsid w:val="0093791B"/>
    <w:rsid w:val="00937C88"/>
    <w:rsid w:val="00954CE2"/>
    <w:rsid w:val="009B11A6"/>
    <w:rsid w:val="00A04335"/>
    <w:rsid w:val="00A61EC8"/>
    <w:rsid w:val="00B01A83"/>
    <w:rsid w:val="00B07CC2"/>
    <w:rsid w:val="00B57F4E"/>
    <w:rsid w:val="00BA27D1"/>
    <w:rsid w:val="00C46012"/>
    <w:rsid w:val="00CB0C54"/>
    <w:rsid w:val="00CF509D"/>
    <w:rsid w:val="00CF6A1F"/>
    <w:rsid w:val="00D42040"/>
    <w:rsid w:val="00D43C10"/>
    <w:rsid w:val="00D9221D"/>
    <w:rsid w:val="00E42F18"/>
    <w:rsid w:val="00E45803"/>
    <w:rsid w:val="00E978F4"/>
    <w:rsid w:val="00F357F9"/>
    <w:rsid w:val="00FA10B5"/>
    <w:rsid w:val="00FB17F4"/>
    <w:rsid w:val="00FC0BAB"/>
    <w:rsid w:val="00FD4054"/>
    <w:rsid w:val="03B31684"/>
    <w:rsid w:val="0FF90E91"/>
    <w:rsid w:val="23F90D7C"/>
    <w:rsid w:val="6047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2406</Words>
  <Characters>2626</Characters>
  <Lines>20</Lines>
  <Paragraphs>5</Paragraphs>
  <TotalTime>1</TotalTime>
  <ScaleCrop>false</ScaleCrop>
  <LinksUpToDate>false</LinksUpToDate>
  <CharactersWithSpaces>2671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2021-05-18T11:45:00Z</dcterms:created>
  <dc:creator>admin</dc:creator>
  <cp:lastModifiedBy>Administrator</cp:lastModifiedBy>
  <dcterms:modified xsi:type="dcterms:W3CDTF">2022-07-01T01:56:50Z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695A6901F01B42E897CF8EB779FAE6C3</vt:lpwstr>
  </property>
</Properties>
</file>