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lang w:eastAsia="zh-CN"/>
        </w:rPr>
        <w:t>盘锦市</w:t>
      </w:r>
      <w:r>
        <w:rPr>
          <w:rFonts w:hint="eastAsia" w:ascii="仿宋_GB2312" w:hAnsi="宋体" w:eastAsia="仿宋_GB2312" w:cs="黑体"/>
          <w:b/>
          <w:spacing w:val="20"/>
          <w:w w:val="105"/>
          <w:sz w:val="36"/>
          <w:szCs w:val="36"/>
          <w:lang w:val="en-US" w:eastAsia="zh-CN"/>
        </w:rPr>
        <w:t>2022年</w:t>
      </w:r>
      <w:r>
        <w:rPr>
          <w:rFonts w:hint="eastAsia" w:ascii="仿宋_GB2312" w:hAnsi="宋体" w:eastAsia="仿宋_GB2312" w:cs="黑体"/>
          <w:b/>
          <w:spacing w:val="20"/>
          <w:w w:val="105"/>
          <w:sz w:val="36"/>
          <w:szCs w:val="36"/>
        </w:rPr>
        <w:t>电线电缆产品</w:t>
      </w:r>
    </w:p>
    <w:p>
      <w:pPr>
        <w:jc w:val="center"/>
        <w:rPr>
          <w:rFonts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rPr>
        <w:t>质量监督抽查实施细则</w:t>
      </w:r>
    </w:p>
    <w:p>
      <w:pPr>
        <w:jc w:val="center"/>
        <w:rPr>
          <w:rFonts w:ascii="仿宋_GB2312" w:hAnsi="宋体" w:eastAsia="仿宋_GB2312" w:cs="黑体"/>
          <w:b/>
          <w:spacing w:val="20"/>
          <w:w w:val="105"/>
          <w:sz w:val="36"/>
          <w:szCs w:val="36"/>
        </w:rPr>
      </w:pP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bCs/>
          <w:kern w:val="0"/>
          <w:sz w:val="28"/>
          <w:szCs w:val="28"/>
        </w:rPr>
        <w:t>1   适用范围</w:t>
      </w:r>
    </w:p>
    <w:p>
      <w:pPr>
        <w:snapToGrid w:val="0"/>
        <w:spacing w:line="360" w:lineRule="auto"/>
        <w:ind w:firstLine="560" w:firstLineChars="200"/>
        <w:rPr>
          <w:rFonts w:ascii="仿宋_GB2312" w:hAnsi="华文细黑" w:eastAsia="仿宋_GB2312"/>
          <w:bCs/>
          <w:kern w:val="0"/>
          <w:sz w:val="28"/>
          <w:szCs w:val="28"/>
        </w:rPr>
      </w:pPr>
      <w:r>
        <w:rPr>
          <w:rFonts w:hint="eastAsia" w:ascii="仿宋_GB2312" w:hAnsi="华文细黑" w:eastAsia="仿宋_GB2312"/>
          <w:bCs/>
          <w:kern w:val="0"/>
          <w:sz w:val="28"/>
          <w:szCs w:val="28"/>
        </w:rPr>
        <w:t>本实施细则适用于</w:t>
      </w:r>
      <w:r>
        <w:rPr>
          <w:rFonts w:hint="eastAsia" w:ascii="仿宋_GB2312" w:hAnsi="华文细黑" w:eastAsia="仿宋_GB2312"/>
          <w:bCs/>
          <w:kern w:val="0"/>
          <w:sz w:val="28"/>
          <w:szCs w:val="28"/>
          <w:lang w:eastAsia="zh-CN"/>
        </w:rPr>
        <w:t>盘锦市</w:t>
      </w:r>
      <w:r>
        <w:rPr>
          <w:rFonts w:hint="eastAsia" w:ascii="仿宋_GB2312" w:hAnsi="华文细黑" w:eastAsia="仿宋_GB2312"/>
          <w:bCs/>
          <w:kern w:val="0"/>
          <w:sz w:val="28"/>
          <w:szCs w:val="28"/>
        </w:rPr>
        <w:t>电线电缆产品质量监督抽查，针对特殊情况的专项抽查可参照执行。抽查范围为</w:t>
      </w:r>
      <w:r>
        <w:rPr>
          <w:rFonts w:hint="eastAsia" w:ascii="仿宋_GB2312" w:hAnsi="华文细黑" w:eastAsia="仿宋_GB2312"/>
          <w:bCs/>
          <w:kern w:val="0"/>
          <w:sz w:val="28"/>
          <w:szCs w:val="28"/>
          <w:lang w:eastAsia="zh-CN"/>
        </w:rPr>
        <w:t>盘锦市</w:t>
      </w:r>
      <w:r>
        <w:rPr>
          <w:rFonts w:hint="eastAsia" w:ascii="仿宋_GB2312" w:hAnsi="华文细黑" w:eastAsia="仿宋_GB2312"/>
          <w:bCs/>
          <w:kern w:val="0"/>
          <w:sz w:val="28"/>
          <w:szCs w:val="28"/>
        </w:rPr>
        <w:t>内电线电缆</w:t>
      </w:r>
      <w:r>
        <w:rPr>
          <w:rFonts w:hint="eastAsia" w:ascii="仿宋_GB2312" w:hAnsi="华文细黑" w:eastAsia="仿宋_GB2312"/>
          <w:bCs/>
          <w:kern w:val="0"/>
          <w:sz w:val="28"/>
          <w:szCs w:val="28"/>
          <w:lang w:eastAsia="zh-CN"/>
        </w:rPr>
        <w:t>生产经营</w:t>
      </w:r>
      <w:r>
        <w:rPr>
          <w:rFonts w:hint="eastAsia" w:ascii="仿宋_GB2312" w:hAnsi="华文细黑" w:eastAsia="仿宋_GB2312"/>
          <w:bCs/>
          <w:kern w:val="0"/>
          <w:sz w:val="28"/>
          <w:szCs w:val="28"/>
        </w:rPr>
        <w:t>单位。本实施细则内容包括产品分类、术语和定义、企业规模划分、检验依据、抽样、检验要求、判定原则及异议处理及附则。</w:t>
      </w:r>
    </w:p>
    <w:p>
      <w:pPr>
        <w:adjustRightInd w:val="0"/>
        <w:snapToGrid w:val="0"/>
        <w:spacing w:line="360" w:lineRule="auto"/>
        <w:rPr>
          <w:rFonts w:ascii="仿宋_GB2312" w:hAnsi="华文细黑" w:eastAsia="仿宋_GB2312"/>
          <w:bCs/>
          <w:kern w:val="0"/>
          <w:sz w:val="28"/>
          <w:szCs w:val="28"/>
        </w:rPr>
      </w:pPr>
      <w:r>
        <w:rPr>
          <w:rFonts w:hint="eastAsia" w:ascii="仿宋_GB2312" w:hAnsi="华文细黑" w:eastAsia="仿宋_GB2312"/>
          <w:bCs/>
          <w:kern w:val="0"/>
          <w:sz w:val="28"/>
          <w:szCs w:val="28"/>
        </w:rPr>
        <w:t>2   产品分类、术语和定义</w:t>
      </w:r>
    </w:p>
    <w:p>
      <w:pPr>
        <w:adjustRightInd w:val="0"/>
        <w:snapToGrid w:val="0"/>
        <w:spacing w:line="360" w:lineRule="auto"/>
        <w:rPr>
          <w:rFonts w:ascii="仿宋_GB2312" w:hAnsi="华文细黑" w:eastAsia="仿宋_GB2312"/>
          <w:bCs/>
          <w:kern w:val="0"/>
          <w:sz w:val="28"/>
          <w:szCs w:val="28"/>
        </w:rPr>
      </w:pPr>
      <w:r>
        <w:rPr>
          <w:rFonts w:hint="eastAsia" w:ascii="仿宋_GB2312" w:hAnsi="华文细黑" w:eastAsia="仿宋_GB2312"/>
          <w:bCs/>
          <w:kern w:val="0"/>
          <w:sz w:val="28"/>
          <w:szCs w:val="28"/>
        </w:rPr>
        <w:t>2.1产品分类及代码见表1。</w:t>
      </w:r>
    </w:p>
    <w:p>
      <w:pPr>
        <w:spacing w:line="360" w:lineRule="auto"/>
        <w:jc w:val="center"/>
        <w:rPr>
          <w:rFonts w:ascii="仿宋_GB2312" w:hAnsi="宋体" w:eastAsia="仿宋_GB2312"/>
          <w:sz w:val="28"/>
          <w:szCs w:val="28"/>
        </w:rPr>
      </w:pPr>
      <w:r>
        <w:rPr>
          <w:rFonts w:hint="eastAsia" w:ascii="仿宋_GB2312" w:hAnsi="宋体" w:eastAsia="仿宋_GB2312"/>
          <w:sz w:val="28"/>
          <w:szCs w:val="28"/>
        </w:rPr>
        <w:t>表</w:t>
      </w:r>
      <w:r>
        <w:rPr>
          <w:rFonts w:ascii="仿宋_GB2312" w:hAnsi="宋体" w:eastAsia="仿宋_GB2312"/>
          <w:sz w:val="28"/>
          <w:szCs w:val="28"/>
        </w:rPr>
        <w:t xml:space="preserve">1 </w:t>
      </w:r>
      <w:r>
        <w:rPr>
          <w:rFonts w:hint="eastAsia" w:ascii="仿宋_GB2312" w:hAnsi="宋体" w:eastAsia="仿宋_GB2312"/>
          <w:sz w:val="28"/>
          <w:szCs w:val="28"/>
        </w:rPr>
        <w:t>产品分类及代码</w:t>
      </w:r>
    </w:p>
    <w:tbl>
      <w:tblPr>
        <w:tblStyle w:val="14"/>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132"/>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182"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产品分类</w:t>
            </w:r>
          </w:p>
        </w:tc>
        <w:tc>
          <w:tcPr>
            <w:tcW w:w="2132"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分类代码</w:t>
            </w:r>
          </w:p>
        </w:tc>
        <w:tc>
          <w:tcPr>
            <w:tcW w:w="4056"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一级分类</w:t>
            </w:r>
          </w:p>
        </w:tc>
        <w:tc>
          <w:tcPr>
            <w:tcW w:w="2132" w:type="dxa"/>
            <w:vAlign w:val="center"/>
          </w:tcPr>
          <w:p>
            <w:pPr>
              <w:spacing w:line="312" w:lineRule="auto"/>
              <w:jc w:val="center"/>
              <w:rPr>
                <w:rFonts w:ascii="仿宋_GB2312" w:hAnsi="宋体" w:eastAsia="仿宋_GB2312"/>
                <w:sz w:val="28"/>
                <w:szCs w:val="28"/>
              </w:rPr>
            </w:pPr>
            <w:r>
              <w:rPr>
                <w:rFonts w:ascii="仿宋_GB2312" w:hAnsi="宋体" w:eastAsia="仿宋_GB2312"/>
                <w:sz w:val="28"/>
                <w:szCs w:val="28"/>
              </w:rPr>
              <w:t>7</w:t>
            </w:r>
          </w:p>
        </w:tc>
        <w:tc>
          <w:tcPr>
            <w:tcW w:w="4056"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电工及材料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二级分类</w:t>
            </w:r>
          </w:p>
        </w:tc>
        <w:tc>
          <w:tcPr>
            <w:tcW w:w="2132" w:type="dxa"/>
            <w:vAlign w:val="center"/>
          </w:tcPr>
          <w:p>
            <w:pPr>
              <w:spacing w:line="312" w:lineRule="auto"/>
              <w:jc w:val="center"/>
              <w:rPr>
                <w:rFonts w:ascii="仿宋_GB2312" w:hAnsi="宋体" w:eastAsia="仿宋_GB2312"/>
                <w:sz w:val="28"/>
                <w:szCs w:val="28"/>
              </w:rPr>
            </w:pPr>
            <w:r>
              <w:rPr>
                <w:rFonts w:ascii="仿宋_GB2312" w:hAnsi="宋体" w:eastAsia="仿宋_GB2312"/>
                <w:sz w:val="28"/>
                <w:szCs w:val="28"/>
              </w:rPr>
              <w:t>708</w:t>
            </w:r>
          </w:p>
        </w:tc>
        <w:tc>
          <w:tcPr>
            <w:tcW w:w="4056"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vAlign w:val="center"/>
          </w:tcPr>
          <w:p>
            <w:pPr>
              <w:spacing w:line="312" w:lineRule="auto"/>
              <w:jc w:val="center"/>
              <w:rPr>
                <w:rFonts w:ascii="仿宋_GB2312" w:hAnsi="宋体" w:eastAsia="仿宋_GB2312"/>
                <w:sz w:val="28"/>
                <w:szCs w:val="28"/>
              </w:rPr>
            </w:pPr>
            <w:r>
              <w:rPr>
                <w:rFonts w:hint="eastAsia" w:ascii="仿宋_GB2312" w:hAnsi="宋体" w:eastAsia="仿宋_GB2312"/>
                <w:sz w:val="28"/>
                <w:szCs w:val="28"/>
              </w:rPr>
              <w:t>三级分类</w:t>
            </w:r>
          </w:p>
        </w:tc>
        <w:tc>
          <w:tcPr>
            <w:tcW w:w="2132" w:type="dxa"/>
            <w:vAlign w:val="center"/>
          </w:tcPr>
          <w:p>
            <w:pPr>
              <w:tabs>
                <w:tab w:val="left" w:pos="0"/>
              </w:tabs>
              <w:spacing w:line="312" w:lineRule="auto"/>
              <w:ind w:right="34"/>
              <w:jc w:val="center"/>
              <w:rPr>
                <w:rFonts w:ascii="仿宋_GB2312" w:hAnsi="宋体" w:eastAsia="仿宋_GB2312"/>
                <w:sz w:val="28"/>
                <w:szCs w:val="28"/>
              </w:rPr>
            </w:pPr>
            <w:r>
              <w:rPr>
                <w:rFonts w:ascii="仿宋_GB2312" w:hAnsi="宋体" w:eastAsia="仿宋_GB2312"/>
                <w:sz w:val="28"/>
                <w:szCs w:val="28"/>
              </w:rPr>
              <w:t>708.3</w:t>
            </w:r>
          </w:p>
        </w:tc>
        <w:tc>
          <w:tcPr>
            <w:tcW w:w="4056" w:type="dxa"/>
            <w:vAlign w:val="center"/>
          </w:tcPr>
          <w:p>
            <w:pPr>
              <w:tabs>
                <w:tab w:val="left" w:pos="0"/>
              </w:tabs>
              <w:spacing w:line="312" w:lineRule="auto"/>
              <w:ind w:right="34"/>
              <w:jc w:val="center"/>
              <w:rPr>
                <w:rFonts w:ascii="仿宋_GB2312" w:hAnsi="宋体" w:eastAsia="仿宋_GB2312"/>
                <w:sz w:val="28"/>
                <w:szCs w:val="28"/>
              </w:rPr>
            </w:pPr>
            <w:r>
              <w:rPr>
                <w:rFonts w:hint="eastAsia" w:ascii="仿宋_GB2312" w:hAnsi="宋体" w:eastAsia="仿宋_GB2312"/>
                <w:sz w:val="28"/>
                <w:szCs w:val="28"/>
              </w:rPr>
              <w:t>聚氯乙烯绝缘电缆电线</w:t>
            </w:r>
          </w:p>
        </w:tc>
      </w:tr>
    </w:tbl>
    <w:p>
      <w:pPr>
        <w:adjustRightInd w:val="0"/>
        <w:snapToGrid w:val="0"/>
        <w:spacing w:line="360" w:lineRule="auto"/>
        <w:rPr>
          <w:rFonts w:ascii="仿宋_GB2312" w:hAnsi="华文细黑" w:eastAsia="仿宋_GB2312"/>
          <w:bCs/>
          <w:kern w:val="0"/>
          <w:sz w:val="28"/>
          <w:szCs w:val="28"/>
        </w:rPr>
      </w:pPr>
      <w:r>
        <w:rPr>
          <w:rFonts w:hint="eastAsia" w:ascii="仿宋_GB2312" w:hAnsi="华文细黑" w:eastAsia="仿宋_GB2312"/>
          <w:bCs/>
          <w:kern w:val="0"/>
          <w:sz w:val="28"/>
          <w:szCs w:val="28"/>
        </w:rPr>
        <w:t>2.2 产品种类</w:t>
      </w:r>
    </w:p>
    <w:p>
      <w:pPr>
        <w:snapToGrid w:val="0"/>
        <w:spacing w:line="360" w:lineRule="auto"/>
        <w:ind w:firstLine="560" w:firstLineChars="200"/>
        <w:rPr>
          <w:rFonts w:hint="eastAsia" w:ascii="仿宋_GB2312" w:hAnsi="宋体" w:eastAsia="仿宋_GB2312"/>
          <w:sz w:val="28"/>
          <w:szCs w:val="28"/>
          <w:lang w:eastAsia="zh-CN"/>
        </w:rPr>
      </w:pPr>
      <w:r>
        <w:rPr>
          <w:rFonts w:hint="eastAsia" w:ascii="仿宋_GB2312" w:eastAsia="仿宋_GB2312"/>
          <w:sz w:val="28"/>
          <w:szCs w:val="28"/>
        </w:rPr>
        <w:t>包括</w:t>
      </w:r>
      <w:r>
        <w:rPr>
          <w:rFonts w:hint="eastAsia" w:ascii="仿宋_GB2312" w:hAnsi="宋体" w:eastAsia="仿宋_GB2312"/>
          <w:sz w:val="28"/>
          <w:szCs w:val="28"/>
        </w:rPr>
        <w:t>聚氯乙烯绝缘电缆电线</w:t>
      </w:r>
      <w:r>
        <w:rPr>
          <w:rFonts w:hint="eastAsia" w:ascii="仿宋_GB2312" w:hAnsi="宋体" w:eastAsia="仿宋_GB2312"/>
          <w:sz w:val="28"/>
          <w:szCs w:val="28"/>
          <w:lang w:eastAsia="zh-CN"/>
        </w:rPr>
        <w:t>。</w:t>
      </w:r>
    </w:p>
    <w:p>
      <w:pPr>
        <w:adjustRightInd w:val="0"/>
        <w:snapToGrid w:val="0"/>
        <w:spacing w:line="360" w:lineRule="auto"/>
        <w:rPr>
          <w:rFonts w:ascii="仿宋_GB2312" w:eastAsia="仿宋_GB2312"/>
          <w:sz w:val="28"/>
          <w:szCs w:val="28"/>
        </w:rPr>
      </w:pPr>
      <w:r>
        <w:rPr>
          <w:rFonts w:hint="eastAsia" w:ascii="仿宋_GB2312" w:eastAsia="仿宋_GB2312"/>
          <w:sz w:val="28"/>
          <w:szCs w:val="28"/>
        </w:rPr>
        <w:t>2.3术语和定义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本细则中未列出的术语和定义同相关引用标准。</w:t>
      </w:r>
    </w:p>
    <w:p>
      <w:pPr>
        <w:adjustRightInd w:val="0"/>
        <w:snapToGrid w:val="0"/>
        <w:spacing w:line="360" w:lineRule="auto"/>
        <w:rPr>
          <w:rFonts w:ascii="仿宋_GB2312" w:hAnsi="华文细黑" w:eastAsia="仿宋_GB2312"/>
          <w:bCs/>
          <w:kern w:val="0"/>
          <w:sz w:val="28"/>
          <w:szCs w:val="28"/>
        </w:rPr>
      </w:pPr>
      <w:r>
        <w:rPr>
          <w:rFonts w:hint="eastAsia" w:ascii="仿宋_GB2312" w:hAnsi="华文细黑" w:eastAsia="仿宋_GB2312"/>
          <w:bCs/>
          <w:kern w:val="0"/>
          <w:sz w:val="28"/>
          <w:szCs w:val="28"/>
        </w:rPr>
        <w:t>3   企业规模划分</w:t>
      </w:r>
    </w:p>
    <w:p>
      <w:pPr>
        <w:adjustRightInd w:val="0"/>
        <w:snapToGrid w:val="0"/>
        <w:spacing w:line="360" w:lineRule="auto"/>
        <w:ind w:firstLine="560" w:firstLineChars="200"/>
        <w:rPr>
          <w:shd w:val="clear" w:color="auto" w:fill="FFFFFF"/>
        </w:rPr>
      </w:pPr>
      <w:r>
        <w:rPr>
          <w:rFonts w:hint="eastAsia" w:ascii="仿宋_GB2312" w:eastAsia="仿宋_GB2312"/>
          <w:sz w:val="28"/>
          <w:szCs w:val="28"/>
        </w:rPr>
        <w:t>根据国家统计局印发的相关管理办法，确定企业规模。</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bCs/>
          <w:kern w:val="0"/>
          <w:sz w:val="28"/>
          <w:szCs w:val="28"/>
        </w:rPr>
        <w:t>4   检验依据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凡是注日期的文件，其随后所有的修改单（不包括勘误的内容）或修订版不适用于本实施细则。凡是不注日期的文件，其最新版本适用于本实施细则。</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5023.3-2008 额定电压450/750V及以下聚氯乙烯绝缘电缆 第3部分：固定布线用无护套电缆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5023.5-2008 额定电压450/750V及以下聚氯乙烯绝缘电缆 第5部分：软电缆（软线）</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JB/T 8734.2-2016 额定电压450/750V及以下聚氯乙烯绝缘电缆电线和软线 第2部分：固定布线用电缆电线</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JB/T 8734.3-2016 额定电压450/750V及以下聚氯乙烯绝缘电缆电线和软线 第3部分：连接用软电线和软电缆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9330-2020 塑料绝缘控制电缆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12706.1-2020 额定电压1 kV（Um=1.2 kV）到35 kV（Um=40.5 kV）挤包绝缘电力电缆及附件第1部分：额定电压1 kV（Um=1.2 kV）和3 kV（Um=3.6 kV）电缆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12706.2-2020 额定电压1 kV（Um=1.2 kV）到35 kV（Um=40.5 kV）挤包绝缘电力电缆及附件第2部分：额定电压6kV（Um=7.2 kV）到30 kV（Um=36 kV）电缆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12706.3-2020 额定电压1 kV（Um=1.2 kV）到35 kV（Um=40.5 kV）挤包绝缘电力电缆及附件第3部分：额定电压35 kV（Um=40.5 kV）电缆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12527-2008 额定电压1kV及以下架空绝缘电缆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14049-2008 额定电压10kV架空绝缘电缆</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GB/T 19666-2019 阻燃和耐火电线电缆或光缆通则</w:t>
      </w:r>
    </w:p>
    <w:p>
      <w:pPr>
        <w:adjustRightInd w:val="0"/>
        <w:snapToGrid w:val="0"/>
        <w:spacing w:line="360" w:lineRule="auto"/>
        <w:ind w:firstLine="560" w:firstLineChars="200"/>
        <w:rPr>
          <w:rFonts w:hint="eastAsia" w:ascii="仿宋_GB2312" w:hAnsi="华文细黑" w:eastAsia="仿宋_GB2312"/>
          <w:sz w:val="28"/>
          <w:szCs w:val="28"/>
        </w:rPr>
      </w:pPr>
      <w:r>
        <w:rPr>
          <w:rFonts w:hint="eastAsia" w:ascii="仿宋_GB2312" w:hAnsi="华文细黑" w:eastAsia="仿宋_GB2312"/>
          <w:sz w:val="28"/>
          <w:szCs w:val="28"/>
        </w:rPr>
        <w:t>现行有效的企业标准、团体标准、地方标准及产品明示质量要求</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相关的法律法规、部门规章和规范</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现行有效的企业标准、团体标准、地方标准及产品明示质量要求</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5   抽样</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5.1 抽样型号或规格</w:t>
      </w:r>
    </w:p>
    <w:p>
      <w:pPr>
        <w:adjustRightInd w:val="0"/>
        <w:snapToGrid w:val="0"/>
        <w:spacing w:line="360" w:lineRule="auto"/>
        <w:ind w:firstLine="568" w:firstLineChars="200"/>
        <w:rPr>
          <w:rFonts w:ascii="仿宋_GB2312" w:hAnsi="华文细黑" w:eastAsia="仿宋_GB2312"/>
          <w:sz w:val="28"/>
          <w:szCs w:val="28"/>
        </w:rPr>
      </w:pPr>
      <w:r>
        <w:rPr>
          <w:rFonts w:hint="eastAsia" w:ascii="仿宋_GB2312" w:hAnsi="华文细黑" w:eastAsia="仿宋_GB2312"/>
          <w:spacing w:val="2"/>
          <w:sz w:val="28"/>
          <w:szCs w:val="28"/>
        </w:rPr>
        <w:t>抽取的样品应为同一型号规格、同一批次的产品。应优先抽取企业主导产品。</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5.2 抽样基数、抽样数量</w:t>
      </w:r>
    </w:p>
    <w:p>
      <w:pPr>
        <w:pStyle w:val="4"/>
        <w:adjustRightInd w:val="0"/>
        <w:snapToGrid w:val="0"/>
        <w:spacing w:line="360" w:lineRule="auto"/>
        <w:ind w:firstLine="560" w:firstLineChars="200"/>
        <w:jc w:val="both"/>
        <w:rPr>
          <w:rFonts w:ascii="仿宋_GB2312" w:hAnsi="华文细黑" w:eastAsia="仿宋_GB2312"/>
          <w:sz w:val="28"/>
          <w:szCs w:val="28"/>
        </w:rPr>
      </w:pPr>
      <w:r>
        <w:rPr>
          <w:rFonts w:hint="eastAsia" w:ascii="仿宋_GB2312" w:hAnsi="华文细黑" w:eastAsia="仿宋_GB2312"/>
          <w:sz w:val="28"/>
          <w:szCs w:val="28"/>
        </w:rPr>
        <w:t>在企业成品库内随机抽取有产品质量检验合格证明或者以其他形式表明合格的、近期生产的产品（原则上一年以内）。</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当被抽检企业主导产品在企业成品库内有多个型号规格且符合下列抽样基数要求时，可用随机数表、掷骰子或抽扑克牌等方式随机确定被抽样品。</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架空绝缘电缆：每批次产品抽取样品40米，其中20米作为检验样品，20米作为备用样品。</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非阻燃塑料绝缘控制电缆：每批次产品抽取样品40米，其中20米作为检验样品，20米作为备用样品。</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非阻燃挤包绝缘低压电力电缆：每批次产品抽取样品40米，其中20米作为检验样品，20米作为备用样品。</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非阻燃挤包绝缘中压电力电缆：每批次产品抽取样品30米，其中15米作为检验样品，15米作为备用样品。</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非阻燃额定电压450/750V及以下聚氯乙烯绝缘电线电缆：每批次产品抽取样品50米，其中30米作为检验样品，20米作为备用样品。</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阻燃电线电缆：每批次产品抽取样品（非阻燃产品总长度+4X）米，其中（非阻燃检验样品长度+1.5X）米作为检验样品，（非阻燃备用样品长度+2.5X）米作为备用样品。X为成束燃烧试验所需样品长度，根据GB/T 18380.33-2008、GB/T 18380.34-2008、GB/T 18380.35-2008和GB/T 18380.36-2008标准中的简易计算方法进行计算，计算公式如下：</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A类阻燃：X=[7000/(3.14×D2/4-S)] 取整×3.5米</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B类阻燃：X=[3500/(3.14×D2/4-S)] 取整×3.5米</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C类阻燃：X=[1500/(3.14×D2/4-S)] 取整×3.5米</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D类阻燃：X=[500/(3.14×D2/4-S)] 取整×3.5米</w:t>
      </w:r>
    </w:p>
    <w:p>
      <w:pPr>
        <w:adjustRightInd w:val="0"/>
        <w:snapToGrid w:val="0"/>
        <w:spacing w:line="360" w:lineRule="auto"/>
        <w:rPr>
          <w:rFonts w:hint="eastAsia" w:ascii="仿宋_GB2312" w:hAnsi="华文细黑" w:eastAsia="仿宋_GB2312"/>
          <w:sz w:val="28"/>
          <w:szCs w:val="28"/>
        </w:rPr>
      </w:pPr>
      <w:r>
        <w:rPr>
          <w:rFonts w:hint="eastAsia" w:ascii="仿宋_GB2312" w:hAnsi="华文细黑" w:eastAsia="仿宋_GB2312"/>
          <w:sz w:val="28"/>
          <w:szCs w:val="28"/>
        </w:rPr>
        <w:t>以上计算公式中，D为电缆成品外径，单位为毫米（mm）；S为所有金属材料的截面积，单位为平方毫米（mm</w:t>
      </w:r>
      <w:r>
        <w:rPr>
          <w:rFonts w:hint="eastAsia" w:ascii="仿宋_GB2312" w:hAnsi="华文细黑" w:eastAsia="仿宋_GB2312"/>
          <w:sz w:val="28"/>
          <w:szCs w:val="28"/>
          <w:vertAlign w:val="superscript"/>
        </w:rPr>
        <w:t>2</w:t>
      </w:r>
      <w:r>
        <w:rPr>
          <w:rFonts w:hint="eastAsia" w:ascii="仿宋_GB2312" w:hAnsi="华文细黑" w:eastAsia="仿宋_GB2312"/>
          <w:sz w:val="28"/>
          <w:szCs w:val="28"/>
        </w:rPr>
        <w:t>）</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5.3 样品处置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检验样品和备用样品分别包装封样，做好样品保护、防潮和签封措施，附合格证明，并注意使样品的最小弯曲半径符合标准要求，随身携带或寄送检验机构。</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5.4 抽样单</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应按有关规定填写抽样单，并记录被抽查产品及企业有关信息。对于产品检验所需的样品技术参数等信息，需要被抽企业提供的，应在抽样现场获取，并经企业确认。</w:t>
      </w:r>
    </w:p>
    <w:p>
      <w:pPr>
        <w:adjustRightInd w:val="0"/>
        <w:snapToGrid w:val="0"/>
        <w:spacing w:line="360" w:lineRule="auto"/>
        <w:rPr>
          <w:rFonts w:ascii="仿宋_GB2312" w:eastAsia="仿宋_GB2312"/>
          <w:sz w:val="28"/>
          <w:szCs w:val="28"/>
        </w:rPr>
      </w:pPr>
      <w:r>
        <w:rPr>
          <w:rFonts w:hint="eastAsia" w:ascii="仿宋_GB2312" w:eastAsia="仿宋_GB2312"/>
          <w:sz w:val="28"/>
          <w:szCs w:val="28"/>
        </w:rPr>
        <w:t>5.5样品获取方式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监督抽查所需的样品要在受检单位以购买方式获取。</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6   检验要求</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6.1 检验项目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检验项目见表</w:t>
      </w:r>
      <w:r>
        <w:rPr>
          <w:rFonts w:hint="eastAsia" w:ascii="仿宋_GB2312" w:hAnsi="华文细黑" w:eastAsia="仿宋_GB2312"/>
          <w:sz w:val="28"/>
          <w:szCs w:val="28"/>
          <w:lang w:val="en-US" w:eastAsia="zh-CN"/>
        </w:rPr>
        <w:t>2</w:t>
      </w:r>
      <w:r>
        <w:rPr>
          <w:rFonts w:hint="eastAsia" w:ascii="仿宋_GB2312" w:hAnsi="华文细黑" w:eastAsia="仿宋_GB2312"/>
          <w:sz w:val="28"/>
          <w:szCs w:val="28"/>
        </w:rPr>
        <w:t>：</w:t>
      </w:r>
    </w:p>
    <w:p>
      <w:pPr>
        <w:adjustRightInd w:val="0"/>
        <w:snapToGrid w:val="0"/>
        <w:spacing w:line="360" w:lineRule="auto"/>
        <w:jc w:val="center"/>
        <w:rPr>
          <w:rFonts w:ascii="仿宋_GB2312" w:hAnsi="华文细黑" w:eastAsia="仿宋_GB2312"/>
          <w:sz w:val="28"/>
          <w:szCs w:val="28"/>
        </w:rPr>
      </w:pPr>
      <w:r>
        <w:rPr>
          <w:rFonts w:hint="eastAsia" w:ascii="仿宋_GB2312" w:hAnsi="华文细黑" w:eastAsia="仿宋_GB2312"/>
          <w:sz w:val="28"/>
          <w:szCs w:val="28"/>
        </w:rPr>
        <w:t>表</w:t>
      </w:r>
      <w:r>
        <w:rPr>
          <w:rFonts w:hint="eastAsia" w:ascii="仿宋_GB2312" w:hAnsi="华文细黑" w:eastAsia="仿宋_GB2312"/>
          <w:sz w:val="28"/>
          <w:szCs w:val="28"/>
          <w:lang w:val="en-US" w:eastAsia="zh-CN"/>
        </w:rPr>
        <w:t>2</w:t>
      </w:r>
      <w:r>
        <w:rPr>
          <w:rFonts w:hint="eastAsia" w:ascii="仿宋_GB2312" w:hAnsi="华文细黑" w:eastAsia="仿宋_GB2312"/>
          <w:sz w:val="28"/>
          <w:szCs w:val="28"/>
        </w:rPr>
        <w:t>检验项目</w:t>
      </w:r>
    </w:p>
    <w:tbl>
      <w:tblPr>
        <w:tblStyle w:val="14"/>
        <w:tblW w:w="8835" w:type="dxa"/>
        <w:tblInd w:w="93" w:type="dxa"/>
        <w:tblLayout w:type="fixed"/>
        <w:tblCellMar>
          <w:top w:w="0" w:type="dxa"/>
          <w:left w:w="108" w:type="dxa"/>
          <w:bottom w:w="0" w:type="dxa"/>
          <w:right w:w="108" w:type="dxa"/>
        </w:tblCellMar>
      </w:tblPr>
      <w:tblGrid>
        <w:gridCol w:w="1124"/>
        <w:gridCol w:w="610"/>
        <w:gridCol w:w="3974"/>
        <w:gridCol w:w="3127"/>
      </w:tblGrid>
      <w:tr>
        <w:tblPrEx>
          <w:tblCellMar>
            <w:top w:w="0" w:type="dxa"/>
            <w:left w:w="108" w:type="dxa"/>
            <w:bottom w:w="0" w:type="dxa"/>
            <w:right w:w="108" w:type="dxa"/>
          </w:tblCellMar>
        </w:tblPrEx>
        <w:trPr>
          <w:trHeight w:val="300" w:hRule="atLeast"/>
        </w:trPr>
        <w:tc>
          <w:tcPr>
            <w:tcW w:w="11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产品名称</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序号</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检验项目</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检测方法</w:t>
            </w:r>
          </w:p>
        </w:tc>
      </w:tr>
      <w:tr>
        <w:tblPrEx>
          <w:tblCellMar>
            <w:top w:w="0" w:type="dxa"/>
            <w:left w:w="108" w:type="dxa"/>
            <w:bottom w:w="0" w:type="dxa"/>
            <w:right w:w="108" w:type="dxa"/>
          </w:tblCellMar>
        </w:tblPrEx>
        <w:trPr>
          <w:trHeight w:val="450" w:hRule="atLeast"/>
        </w:trPr>
        <w:tc>
          <w:tcPr>
            <w:tcW w:w="1124" w:type="dxa"/>
            <w:vMerge w:val="restart"/>
            <w:tcBorders>
              <w:top w:val="single" w:color="000000" w:sz="4" w:space="0"/>
              <w:left w:val="single" w:color="000000" w:sz="4" w:space="0"/>
              <w:right w:val="single" w:color="000000" w:sz="4" w:space="0"/>
            </w:tcBorders>
            <w:noWrap w:val="0"/>
            <w:vAlign w:val="center"/>
          </w:tcPr>
          <w:p>
            <w:pPr>
              <w:jc w:val="center"/>
              <w:rPr>
                <w:rFonts w:hint="eastAsia"/>
                <w:bCs/>
                <w:color w:val="000000"/>
                <w:szCs w:val="21"/>
                <w:lang w:eastAsia="zh-CN"/>
              </w:rPr>
            </w:pPr>
            <w:r>
              <w:rPr>
                <w:rFonts w:hint="eastAsia"/>
                <w:bCs/>
                <w:color w:val="000000"/>
                <w:szCs w:val="21"/>
                <w:lang w:eastAsia="zh-CN"/>
              </w:rPr>
              <w:t>电线电缆</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绝缘平均厚度</w:t>
            </w:r>
          </w:p>
        </w:tc>
        <w:tc>
          <w:tcPr>
            <w:tcW w:w="3127" w:type="dxa"/>
            <w:vMerge w:val="restart"/>
            <w:tcBorders>
              <w:top w:val="single" w:color="000000" w:sz="4" w:space="0"/>
              <w:left w:val="single" w:color="000000" w:sz="4" w:space="0"/>
              <w:right w:val="single" w:color="000000" w:sz="4" w:space="0"/>
            </w:tcBorders>
            <w:noWrap w:val="0"/>
            <w:vAlign w:val="center"/>
          </w:tcPr>
          <w:p>
            <w:pPr>
              <w:jc w:val="center"/>
              <w:rPr>
                <w:rFonts w:hint="eastAsia"/>
                <w:bCs/>
                <w:color w:val="000000"/>
                <w:szCs w:val="21"/>
                <w:lang w:val="de-DE"/>
              </w:rPr>
            </w:pPr>
            <w:r>
              <w:rPr>
                <w:rFonts w:hint="eastAsia"/>
                <w:bCs/>
                <w:color w:val="000000"/>
                <w:szCs w:val="21"/>
                <w:lang w:val="de-DE"/>
              </w:rPr>
              <w:t>GB/T 2951.11-2008</w:t>
            </w:r>
          </w:p>
          <w:p>
            <w:pPr>
              <w:jc w:val="center"/>
              <w:rPr>
                <w:rFonts w:hint="eastAsia"/>
                <w:bCs/>
                <w:color w:val="000000"/>
                <w:szCs w:val="21"/>
              </w:rPr>
            </w:pPr>
            <w:r>
              <w:rPr>
                <w:rFonts w:hint="eastAsia"/>
                <w:bCs/>
                <w:color w:val="000000"/>
                <w:szCs w:val="21"/>
                <w:lang w:val="de-DE"/>
              </w:rPr>
              <w:t>GB/T 5023.2-2008</w:t>
            </w:r>
          </w:p>
        </w:tc>
      </w:tr>
      <w:tr>
        <w:tblPrEx>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2</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绝缘最薄处厚度</w:t>
            </w:r>
          </w:p>
        </w:tc>
        <w:tc>
          <w:tcPr>
            <w:tcW w:w="3127" w:type="dxa"/>
            <w:vMerge w:val="continue"/>
            <w:tcBorders>
              <w:left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3</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护套平均厚度</w:t>
            </w:r>
          </w:p>
        </w:tc>
        <w:tc>
          <w:tcPr>
            <w:tcW w:w="3127" w:type="dxa"/>
            <w:vMerge w:val="continue"/>
            <w:tcBorders>
              <w:left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27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4</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护套最薄处厚度</w:t>
            </w:r>
          </w:p>
        </w:tc>
        <w:tc>
          <w:tcPr>
            <w:tcW w:w="3127" w:type="dxa"/>
            <w:vMerge w:val="continue"/>
            <w:tcBorders>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5</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绝缘偏心度</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de-DE"/>
              </w:rPr>
              <w:t>GB/T 2951.11-2008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6</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导体电阻</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lang w:val="de-DE"/>
              </w:rPr>
            </w:pPr>
            <w:r>
              <w:rPr>
                <w:rFonts w:hint="eastAsia"/>
                <w:bCs/>
                <w:color w:val="000000"/>
                <w:szCs w:val="21"/>
                <w:lang w:val="de-DE"/>
              </w:rPr>
              <w:t>GB/T 3048.4-2007</w:t>
            </w:r>
          </w:p>
          <w:p>
            <w:pPr>
              <w:jc w:val="center"/>
              <w:rPr>
                <w:rFonts w:hint="eastAsia"/>
                <w:bCs/>
                <w:color w:val="000000"/>
                <w:szCs w:val="21"/>
                <w:lang w:val="de-DE"/>
              </w:rPr>
            </w:pPr>
            <w:r>
              <w:rPr>
                <w:rFonts w:hint="eastAsia"/>
                <w:bCs/>
                <w:color w:val="000000"/>
                <w:szCs w:val="21"/>
                <w:lang w:val="de-DE"/>
              </w:rPr>
              <w:t>GB/T 5023.2-2008</w:t>
            </w:r>
          </w:p>
          <w:p>
            <w:pPr>
              <w:jc w:val="center"/>
              <w:rPr>
                <w:rFonts w:hint="eastAsia"/>
                <w:bCs/>
                <w:color w:val="000000"/>
                <w:szCs w:val="21"/>
                <w:lang w:val="de-DE"/>
              </w:rPr>
            </w:pPr>
            <w:r>
              <w:rPr>
                <w:rFonts w:hint="eastAsia"/>
                <w:bCs/>
                <w:color w:val="000000"/>
                <w:szCs w:val="21"/>
                <w:lang w:val="de-DE"/>
              </w:rPr>
              <w:t>GB/T 3956-2008</w:t>
            </w:r>
          </w:p>
          <w:p>
            <w:pPr>
              <w:jc w:val="center"/>
              <w:rPr>
                <w:rFonts w:hint="eastAsia"/>
                <w:bCs/>
                <w:color w:val="000000"/>
                <w:szCs w:val="21"/>
                <w:lang w:val="de-DE"/>
              </w:rPr>
            </w:pPr>
            <w:r>
              <w:rPr>
                <w:rFonts w:hint="eastAsia"/>
                <w:bCs/>
                <w:color w:val="000000"/>
                <w:szCs w:val="21"/>
                <w:lang w:val="de-DE"/>
              </w:rPr>
              <w:t>GB/T 12706.1-2020</w:t>
            </w:r>
          </w:p>
          <w:p>
            <w:pPr>
              <w:jc w:val="center"/>
              <w:rPr>
                <w:rFonts w:hint="eastAsia"/>
                <w:bCs/>
                <w:color w:val="000000"/>
                <w:szCs w:val="21"/>
                <w:lang w:val="de-DE"/>
              </w:rPr>
            </w:pPr>
            <w:r>
              <w:rPr>
                <w:rFonts w:hint="eastAsia"/>
                <w:bCs/>
                <w:color w:val="000000"/>
                <w:szCs w:val="21"/>
                <w:lang w:val="de-DE"/>
              </w:rPr>
              <w:t>GB/T 12706.2-2020</w:t>
            </w:r>
          </w:p>
          <w:p>
            <w:pPr>
              <w:jc w:val="center"/>
              <w:rPr>
                <w:rFonts w:hint="eastAsia"/>
                <w:bCs/>
                <w:color w:val="000000"/>
                <w:szCs w:val="21"/>
              </w:rPr>
            </w:pPr>
            <w:r>
              <w:rPr>
                <w:rFonts w:hint="eastAsia"/>
                <w:bCs/>
                <w:color w:val="000000"/>
                <w:szCs w:val="21"/>
                <w:lang w:val="de-DE"/>
              </w:rPr>
              <w:t>GB/T 12706.3-2020</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7</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绝缘老化前抗张强度</w:t>
            </w:r>
          </w:p>
        </w:tc>
        <w:tc>
          <w:tcPr>
            <w:tcW w:w="3127" w:type="dxa"/>
            <w:vMerge w:val="restart"/>
            <w:tcBorders>
              <w:top w:val="single" w:color="000000" w:sz="4" w:space="0"/>
              <w:left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2951.11-2008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8</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绝缘老化前断裂伸长率</w:t>
            </w:r>
          </w:p>
        </w:tc>
        <w:tc>
          <w:tcPr>
            <w:tcW w:w="3127" w:type="dxa"/>
            <w:vMerge w:val="continue"/>
            <w:tcBorders>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r>
      <w:tr>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9</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绝缘老化后抗张强度</w:t>
            </w:r>
          </w:p>
        </w:tc>
        <w:tc>
          <w:tcPr>
            <w:tcW w:w="3127" w:type="dxa"/>
            <w:vMerge w:val="restart"/>
            <w:tcBorders>
              <w:top w:val="single" w:color="000000" w:sz="4" w:space="0"/>
              <w:left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2951.11-2008</w:t>
            </w:r>
          </w:p>
          <w:p>
            <w:pPr>
              <w:jc w:val="center"/>
              <w:rPr>
                <w:rFonts w:hint="eastAsia"/>
                <w:bCs/>
                <w:color w:val="000000"/>
                <w:szCs w:val="21"/>
              </w:rPr>
            </w:pPr>
            <w:r>
              <w:rPr>
                <w:rFonts w:hint="eastAsia"/>
                <w:bCs/>
                <w:color w:val="000000"/>
                <w:szCs w:val="21"/>
              </w:rPr>
              <w:t>GB/T 2951.12-2008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10</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绝缘老化前后抗张强度变化率</w:t>
            </w:r>
          </w:p>
        </w:tc>
        <w:tc>
          <w:tcPr>
            <w:tcW w:w="3127" w:type="dxa"/>
            <w:vMerge w:val="continue"/>
            <w:tcBorders>
              <w:left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11</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绝缘老化后断裂伸长率</w:t>
            </w:r>
          </w:p>
        </w:tc>
        <w:tc>
          <w:tcPr>
            <w:tcW w:w="3127" w:type="dxa"/>
            <w:vMerge w:val="continue"/>
            <w:tcBorders>
              <w:left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12</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绝缘老化前后断裂伸长率变化率</w:t>
            </w:r>
          </w:p>
        </w:tc>
        <w:tc>
          <w:tcPr>
            <w:tcW w:w="3127" w:type="dxa"/>
            <w:vMerge w:val="continue"/>
            <w:tcBorders>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13</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绝缘热收缩</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2951.13-2008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14</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绝缘热延伸</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2951.21-2008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15</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护套老化前抗张强度</w:t>
            </w:r>
          </w:p>
        </w:tc>
        <w:tc>
          <w:tcPr>
            <w:tcW w:w="3127" w:type="dxa"/>
            <w:vMerge w:val="restart"/>
            <w:tcBorders>
              <w:top w:val="single" w:color="000000" w:sz="4" w:space="0"/>
              <w:left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2951.11-2008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16</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护套老化前断裂伸长率</w:t>
            </w:r>
          </w:p>
        </w:tc>
        <w:tc>
          <w:tcPr>
            <w:tcW w:w="3127" w:type="dxa"/>
            <w:vMerge w:val="continue"/>
            <w:tcBorders>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17</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护套老化后抗张强度</w:t>
            </w:r>
          </w:p>
        </w:tc>
        <w:tc>
          <w:tcPr>
            <w:tcW w:w="3127" w:type="dxa"/>
            <w:vMerge w:val="restart"/>
            <w:tcBorders>
              <w:top w:val="single" w:color="000000" w:sz="4" w:space="0"/>
              <w:left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2951.11-2008</w:t>
            </w:r>
          </w:p>
          <w:p>
            <w:pPr>
              <w:jc w:val="center"/>
              <w:rPr>
                <w:rFonts w:hint="eastAsia"/>
                <w:bCs/>
                <w:color w:val="000000"/>
                <w:szCs w:val="21"/>
              </w:rPr>
            </w:pPr>
            <w:r>
              <w:rPr>
                <w:rFonts w:hint="eastAsia"/>
                <w:bCs/>
                <w:color w:val="000000"/>
                <w:szCs w:val="21"/>
              </w:rPr>
              <w:t>GB/T 2951.12-2008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18</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护套老化前后抗张强度变化率</w:t>
            </w:r>
          </w:p>
        </w:tc>
        <w:tc>
          <w:tcPr>
            <w:tcW w:w="3127" w:type="dxa"/>
            <w:vMerge w:val="continue"/>
            <w:tcBorders>
              <w:left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lang w:val="en-US"/>
              </w:rPr>
            </w:pPr>
            <w:r>
              <w:rPr>
                <w:rFonts w:hint="eastAsia"/>
                <w:bCs/>
                <w:color w:val="000000"/>
                <w:szCs w:val="21"/>
                <w:lang w:val="en-US" w:eastAsia="zh-CN"/>
              </w:rPr>
              <w:t>19</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护套老化后断裂伸长率</w:t>
            </w:r>
          </w:p>
        </w:tc>
        <w:tc>
          <w:tcPr>
            <w:tcW w:w="3127" w:type="dxa"/>
            <w:vMerge w:val="continue"/>
            <w:tcBorders>
              <w:left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20</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护套老化前后断裂伸长率变化率</w:t>
            </w:r>
          </w:p>
        </w:tc>
        <w:tc>
          <w:tcPr>
            <w:tcW w:w="3127" w:type="dxa"/>
            <w:vMerge w:val="continue"/>
            <w:tcBorders>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21</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护套热失重试验</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2951.32-2008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22</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曲挠试验</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5023.2-2008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lang w:val="en-US" w:eastAsia="zh-CN"/>
              </w:rPr>
              <w:t>23</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单根垂直燃烧试验</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rFonts w:hint="eastAsia"/>
                <w:bCs/>
                <w:color w:val="000000"/>
                <w:szCs w:val="21"/>
              </w:rPr>
              <w:t>GB/T 18380.12-2008</w:t>
            </w:r>
          </w:p>
          <w:p>
            <w:pPr>
              <w:jc w:val="center"/>
              <w:rPr>
                <w:rFonts w:hint="eastAsia"/>
                <w:bCs/>
                <w:color w:val="000000"/>
                <w:szCs w:val="21"/>
              </w:rPr>
            </w:pPr>
            <w:r>
              <w:rPr>
                <w:rFonts w:hint="eastAsia"/>
                <w:bCs/>
                <w:color w:val="000000"/>
                <w:szCs w:val="21"/>
              </w:rPr>
              <w:t>GB/T 18380.13-2008</w:t>
            </w:r>
          </w:p>
        </w:tc>
      </w:tr>
      <w:tr>
        <w:tblPrEx>
          <w:tblCellMar>
            <w:top w:w="0" w:type="dxa"/>
            <w:left w:w="108" w:type="dxa"/>
            <w:bottom w:w="0" w:type="dxa"/>
            <w:right w:w="108" w:type="dxa"/>
          </w:tblCellMar>
        </w:tblPrEx>
        <w:trPr>
          <w:trHeight w:val="450" w:hRule="atLeast"/>
        </w:trPr>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lang w:val="en-US" w:eastAsia="zh-CN"/>
              </w:rPr>
            </w:pPr>
            <w:r>
              <w:rPr>
                <w:rFonts w:hint="eastAsia"/>
                <w:bCs/>
                <w:color w:val="000000"/>
                <w:szCs w:val="21"/>
                <w:lang w:val="en-US" w:eastAsia="zh-CN"/>
              </w:rPr>
              <w:t>24</w:t>
            </w:r>
          </w:p>
        </w:tc>
        <w:tc>
          <w:tcPr>
            <w:tcW w:w="39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rPr>
            </w:pPr>
            <w:r>
              <w:rPr>
                <w:bCs/>
                <w:color w:val="000000"/>
                <w:szCs w:val="21"/>
              </w:rPr>
              <w:t>成束阻燃性能</w:t>
            </w:r>
          </w:p>
        </w:tc>
        <w:tc>
          <w:tcPr>
            <w:tcW w:w="31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Cs/>
                <w:color w:val="000000"/>
                <w:szCs w:val="21"/>
                <w:lang w:val="de-DE"/>
              </w:rPr>
            </w:pPr>
            <w:r>
              <w:rPr>
                <w:rFonts w:hint="eastAsia"/>
                <w:bCs/>
                <w:color w:val="000000"/>
                <w:szCs w:val="21"/>
                <w:lang w:val="de-DE"/>
              </w:rPr>
              <w:t>GB/T 18380.33-2008</w:t>
            </w:r>
          </w:p>
          <w:p>
            <w:pPr>
              <w:jc w:val="center"/>
              <w:rPr>
                <w:rFonts w:hint="eastAsia"/>
                <w:bCs/>
                <w:color w:val="000000"/>
                <w:szCs w:val="21"/>
                <w:lang w:val="de-DE"/>
              </w:rPr>
            </w:pPr>
            <w:r>
              <w:rPr>
                <w:rFonts w:hint="eastAsia"/>
                <w:bCs/>
                <w:color w:val="000000"/>
                <w:szCs w:val="21"/>
                <w:lang w:val="de-DE"/>
              </w:rPr>
              <w:t>GB/T 18380.34-2008</w:t>
            </w:r>
          </w:p>
          <w:p>
            <w:pPr>
              <w:jc w:val="center"/>
              <w:rPr>
                <w:rFonts w:hint="eastAsia"/>
                <w:bCs/>
                <w:color w:val="000000"/>
                <w:szCs w:val="21"/>
                <w:lang w:val="de-DE"/>
              </w:rPr>
            </w:pPr>
            <w:r>
              <w:rPr>
                <w:rFonts w:hint="eastAsia"/>
                <w:bCs/>
                <w:color w:val="000000"/>
                <w:szCs w:val="21"/>
                <w:lang w:val="de-DE"/>
              </w:rPr>
              <w:t>GB/T 18380.35-2008</w:t>
            </w:r>
          </w:p>
          <w:p>
            <w:pPr>
              <w:jc w:val="center"/>
              <w:rPr>
                <w:rFonts w:hint="eastAsia"/>
                <w:bCs/>
                <w:color w:val="000000"/>
                <w:szCs w:val="21"/>
              </w:rPr>
            </w:pPr>
            <w:r>
              <w:rPr>
                <w:rFonts w:hint="eastAsia"/>
                <w:bCs/>
                <w:color w:val="000000"/>
                <w:szCs w:val="21"/>
              </w:rPr>
              <w:t>GB/T 18380.36-2008</w:t>
            </w:r>
          </w:p>
        </w:tc>
      </w:tr>
    </w:tbl>
    <w:p>
      <w:pPr>
        <w:widowControl/>
        <w:spacing w:line="360" w:lineRule="auto"/>
        <w:jc w:val="left"/>
        <w:rPr>
          <w:sz w:val="21"/>
          <w:szCs w:val="2"/>
        </w:rPr>
      </w:pPr>
      <w:r>
        <w:rPr>
          <w:sz w:val="21"/>
          <w:szCs w:val="2"/>
        </w:rPr>
        <w:t>注：检验方法包括相关产品标准及试验方法标准。</w:t>
      </w:r>
    </w:p>
    <w:p>
      <w:pPr>
        <w:widowControl/>
        <w:spacing w:line="360" w:lineRule="auto"/>
        <w:ind w:firstLine="420" w:firstLineChars="200"/>
        <w:jc w:val="left"/>
        <w:rPr>
          <w:rFonts w:ascii="仿宋_GB2312" w:hAnsi="华文细黑" w:eastAsia="仿宋_GB2312"/>
          <w:sz w:val="28"/>
          <w:szCs w:val="28"/>
        </w:rPr>
      </w:pPr>
      <w:r>
        <w:rPr>
          <w:rFonts w:hint="eastAsia"/>
          <w:sz w:val="21"/>
          <w:szCs w:val="2"/>
        </w:rPr>
        <w:t>凡是注日期的文件，其随后所有的修改单（不包括勘误的内容）或修订版不适用于本细则。凡是不注日期的文件，其最新版本适用于本细则。</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6.2 检验应注意的问题</w:t>
      </w:r>
    </w:p>
    <w:p>
      <w:pPr>
        <w:pStyle w:val="4"/>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olor w:val="000000"/>
          <w:sz w:val="28"/>
          <w:szCs w:val="28"/>
        </w:rPr>
        <w:t>若被检产品明示的质量要求高于本细则中检验项目依据的标准要求时，应按被检产品明示的质量要求判定。</w:t>
      </w:r>
    </w:p>
    <w:p>
      <w:pPr>
        <w:pStyle w:val="4"/>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olor w:val="000000"/>
          <w:sz w:val="28"/>
          <w:szCs w:val="28"/>
        </w:rPr>
        <w:t>若被检产品明示的质量要求低于本细则中检验项目依据的强制性标准要求时，应按照强制性标准要求判定。</w:t>
      </w:r>
    </w:p>
    <w:p>
      <w:pPr>
        <w:pStyle w:val="4"/>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olor w:val="000000"/>
          <w:sz w:val="28"/>
          <w:szCs w:val="28"/>
        </w:rPr>
        <w:t>若被检产品明示的质量要求低于或包含本细则中检验项目依据的推荐性标准要求时，应以被检产品明示的质量要求判定。</w:t>
      </w:r>
    </w:p>
    <w:p>
      <w:pPr>
        <w:pStyle w:val="4"/>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olor w:val="000000"/>
          <w:sz w:val="28"/>
          <w:szCs w:val="28"/>
        </w:rPr>
        <w:t>若被检产品明示的质量要求缺少本细则中检验项目依据的强制性标准要求时，应按照强制性标准要求判定。</w:t>
      </w:r>
    </w:p>
    <w:p>
      <w:pPr>
        <w:pStyle w:val="4"/>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olor w:val="000000"/>
          <w:sz w:val="28"/>
          <w:szCs w:val="28"/>
        </w:rPr>
        <w:t>若被检产品明示的质量要求缺少本细则中检验项目依据的推荐性标准要求时，该项目不参与判定。</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7  判定原则</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原则：经检验，检验项目全部合格，判定为被抽查产品合格；检验项目中任一项或一项以上不合格，判定为被抽查产品不合格。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结论用语：</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经抽样检验，所检项目符合**标准要求，依据《盘锦市2022年</w:t>
      </w:r>
      <w:r>
        <w:rPr>
          <w:rFonts w:hint="eastAsia" w:ascii="仿宋" w:hAnsi="仿宋" w:eastAsia="仿宋"/>
          <w:kern w:val="2"/>
          <w:sz w:val="28"/>
          <w:szCs w:val="28"/>
          <w:lang w:eastAsia="zh-CN"/>
        </w:rPr>
        <w:t>电线电缆</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经抽样检验，**项目不符合**标准要求，依据《盘锦市2022年</w:t>
      </w:r>
      <w:r>
        <w:rPr>
          <w:rFonts w:hint="eastAsia" w:ascii="仿宋" w:hAnsi="仿宋" w:eastAsia="仿宋"/>
          <w:kern w:val="2"/>
          <w:sz w:val="28"/>
          <w:szCs w:val="28"/>
          <w:lang w:eastAsia="zh-CN"/>
        </w:rPr>
        <w:t>电线电缆</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产品质量监督抽查实施细则》，判定为不合格。</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8  异议处理</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iCs/>
          <w:sz w:val="28"/>
          <w:szCs w:val="28"/>
        </w:rPr>
        <w:t>对判定不合格产品进行异议处理时，按以下方式进行：</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sz w:val="28"/>
          <w:szCs w:val="28"/>
        </w:rPr>
        <w:t>8.1 核查不合格项目相关证据，能够以记录（纸质记录或电子记录或影像记录）或与不合格项目相关联的其它质量数据等检验证据证明。</w:t>
      </w:r>
    </w:p>
    <w:p>
      <w:pPr>
        <w:adjustRightInd w:val="0"/>
        <w:snapToGrid w:val="0"/>
        <w:spacing w:line="360" w:lineRule="auto"/>
        <w:rPr>
          <w:rFonts w:ascii="仿宋_GB2312" w:hAnsi="华文细黑" w:eastAsia="仿宋_GB2312" w:cs="宋体"/>
          <w:kern w:val="0"/>
          <w:sz w:val="28"/>
          <w:szCs w:val="28"/>
        </w:rPr>
      </w:pPr>
      <w:r>
        <w:rPr>
          <w:rFonts w:hint="eastAsia" w:ascii="仿宋_GB2312" w:hAnsi="华文细黑" w:eastAsia="仿宋_GB2312"/>
          <w:sz w:val="28"/>
          <w:szCs w:val="28"/>
        </w:rPr>
        <w:t>8.2 对需要复检并具备检验条件的，负责异议处理的市场监督管理部门或者指定检验机构应当按原监督抽查方案对留存的样品或抽取的备用样品组织复检</w:t>
      </w:r>
      <w:r>
        <w:rPr>
          <w:rFonts w:hint="eastAsia" w:ascii="仿宋_GB2312" w:hAnsi="华文细黑" w:eastAsia="仿宋_GB2312" w:cs="宋体"/>
          <w:kern w:val="0"/>
          <w:sz w:val="28"/>
          <w:szCs w:val="28"/>
        </w:rPr>
        <w:t>，并出具检验报告。复检结论为最终结论。</w:t>
      </w:r>
    </w:p>
    <w:p>
      <w:pPr>
        <w:adjustRightInd w:val="0"/>
        <w:snapToGrid w:val="0"/>
        <w:spacing w:line="360" w:lineRule="auto"/>
        <w:rPr>
          <w:rFonts w:ascii="仿宋_GB2312" w:hAnsi="华文细黑" w:eastAsia="仿宋_GB2312"/>
          <w:color w:val="000000"/>
          <w:sz w:val="28"/>
          <w:szCs w:val="28"/>
        </w:rPr>
      </w:pPr>
      <w:r>
        <w:rPr>
          <w:rFonts w:hint="eastAsia" w:ascii="仿宋_GB2312" w:hAnsi="华文细黑" w:eastAsia="仿宋_GB2312"/>
          <w:sz w:val="28"/>
          <w:szCs w:val="28"/>
        </w:rPr>
        <w:t>8.3类似绝缘最薄处厚度</w:t>
      </w:r>
      <w:r>
        <w:rPr>
          <w:rFonts w:hint="eastAsia" w:eastAsia="仿宋_GB2312" w:asciiTheme="minorHAnsi" w:hAnsiTheme="minorHAnsi"/>
          <w:sz w:val="28"/>
          <w:szCs w:val="28"/>
        </w:rPr>
        <w:t>、</w:t>
      </w:r>
      <w:r>
        <w:rPr>
          <w:rFonts w:hint="eastAsia" w:ascii="仿宋_GB2312" w:hAnsi="华文细黑" w:eastAsia="仿宋_GB2312"/>
          <w:sz w:val="28"/>
          <w:szCs w:val="28"/>
        </w:rPr>
        <w:t>绝缘平均厚度为关联性检验项目，护套平均厚度与护套最薄处厚度为关联性项目，老化前抗张强度与老化前断裂伸长率为关联性项目，绝缘（或护套）老化后抗张强度、绝缘（或护套）老化后断裂伸长率、绝缘（或护套）老化后抗张强度变化率与绝缘（或护套）老化后断裂伸长率变化率为关联性项目，</w:t>
      </w:r>
      <w:r>
        <w:rPr>
          <w:rFonts w:hint="eastAsia" w:ascii="仿宋_GB2312" w:hAnsi="华文细黑" w:eastAsia="仿宋_GB2312"/>
          <w:kern w:val="0"/>
          <w:sz w:val="28"/>
          <w:szCs w:val="28"/>
        </w:rPr>
        <w:t>若企业对其中之一提出异议，复检机构应对其关联项同时进行复检并同时判定。</w:t>
      </w:r>
      <w:r>
        <w:rPr>
          <w:rFonts w:hint="eastAsia" w:ascii="仿宋_GB2312" w:hAnsi="华文细黑" w:eastAsia="仿宋_GB2312" w:cs="宋体"/>
          <w:kern w:val="0"/>
          <w:sz w:val="28"/>
          <w:szCs w:val="28"/>
        </w:rPr>
        <w:t>复检结论为最终结论</w:t>
      </w:r>
      <w:r>
        <w:rPr>
          <w:rFonts w:hint="eastAsia" w:ascii="仿宋_GB2312" w:hAnsi="华文细黑" w:eastAsia="仿宋_GB2312"/>
          <w:kern w:val="0"/>
          <w:sz w:val="28"/>
          <w:szCs w:val="28"/>
        </w:rPr>
        <w:t>。</w:t>
      </w:r>
    </w:p>
    <w:p>
      <w:pPr>
        <w:adjustRightInd w:val="0"/>
        <w:snapToGrid w:val="0"/>
        <w:spacing w:line="360" w:lineRule="auto"/>
        <w:rPr>
          <w:rFonts w:ascii="仿宋_GB2312" w:hAnsi="华文细黑" w:eastAsia="仿宋_GB2312"/>
          <w:color w:val="000000"/>
          <w:sz w:val="28"/>
          <w:szCs w:val="28"/>
        </w:rPr>
      </w:pPr>
      <w:r>
        <w:rPr>
          <w:rFonts w:hint="eastAsia" w:ascii="仿宋_GB2312" w:hAnsi="华文细黑" w:eastAsia="仿宋_GB2312"/>
          <w:sz w:val="28"/>
          <w:szCs w:val="28"/>
        </w:rPr>
        <w:t>9  附则</w:t>
      </w:r>
    </w:p>
    <w:p>
      <w:pPr>
        <w:adjustRightInd w:val="0"/>
        <w:snapToGrid w:val="0"/>
        <w:spacing w:line="360" w:lineRule="auto"/>
        <w:ind w:firstLine="548" w:firstLineChars="196"/>
        <w:rPr>
          <w:rFonts w:hint="eastAsia" w:ascii="仿宋" w:hAnsi="仿宋" w:eastAsia="仿宋" w:cs="仿宋"/>
          <w:sz w:val="28"/>
          <w:szCs w:val="28"/>
          <w:lang w:eastAsia="zh-CN"/>
        </w:rPr>
      </w:pPr>
      <w:r>
        <w:rPr>
          <w:rFonts w:hint="eastAsia" w:ascii="仿宋" w:hAnsi="仿宋" w:eastAsia="仿宋" w:cs="仿宋"/>
          <w:sz w:val="28"/>
          <w:szCs w:val="28"/>
        </w:rPr>
        <w:t>本实施细则编制单位：</w:t>
      </w:r>
      <w:r>
        <w:rPr>
          <w:rFonts w:hint="eastAsia" w:ascii="仿宋" w:hAnsi="仿宋" w:eastAsia="仿宋" w:cs="仿宋"/>
          <w:sz w:val="28"/>
          <w:szCs w:val="28"/>
          <w:lang w:eastAsia="zh-CN"/>
        </w:rPr>
        <w:t>辽宁中北方正检测服务有限公司</w:t>
      </w:r>
    </w:p>
    <w:p>
      <w:pPr>
        <w:adjustRightInd w:val="0"/>
        <w:snapToGrid w:val="0"/>
        <w:spacing w:line="360" w:lineRule="auto"/>
        <w:ind w:firstLine="548" w:firstLineChars="196"/>
        <w:rPr>
          <w:rFonts w:ascii="仿宋_GB2312" w:eastAsia="仿宋_GB2312" w:cs="Sim sun"/>
          <w:kern w:val="0"/>
          <w:sz w:val="28"/>
          <w:szCs w:val="28"/>
        </w:rPr>
      </w:pPr>
      <w:r>
        <w:rPr>
          <w:rFonts w:hint="eastAsia" w:ascii="仿宋" w:hAnsi="仿宋" w:eastAsia="仿宋" w:cs="仿宋"/>
          <w:sz w:val="28"/>
          <w:szCs w:val="28"/>
        </w:rPr>
        <w:t>本实施细则由</w:t>
      </w:r>
      <w:r>
        <w:rPr>
          <w:rFonts w:hint="eastAsia" w:ascii="仿宋" w:hAnsi="仿宋" w:eastAsia="仿宋" w:cs="仿宋"/>
          <w:sz w:val="28"/>
          <w:szCs w:val="28"/>
          <w:lang w:eastAsia="zh-CN"/>
        </w:rPr>
        <w:t>盘锦市市场</w:t>
      </w:r>
      <w:r>
        <w:rPr>
          <w:rFonts w:hint="eastAsia" w:ascii="仿宋" w:hAnsi="仿宋" w:eastAsia="仿宋" w:cs="仿宋"/>
          <w:sz w:val="28"/>
          <w:szCs w:val="28"/>
        </w:rPr>
        <w:t>监督</w:t>
      </w:r>
      <w:r>
        <w:rPr>
          <w:rFonts w:hint="eastAsia" w:ascii="仿宋" w:hAnsi="仿宋" w:eastAsia="仿宋" w:cs="仿宋"/>
          <w:sz w:val="28"/>
          <w:szCs w:val="28"/>
          <w:lang w:eastAsia="zh-CN"/>
        </w:rPr>
        <w:t>管理</w:t>
      </w:r>
      <w:r>
        <w:rPr>
          <w:rFonts w:hint="eastAsia" w:ascii="仿宋" w:hAnsi="仿宋" w:eastAsia="仿宋" w:cs="仿宋"/>
          <w:sz w:val="28"/>
          <w:szCs w:val="28"/>
        </w:rPr>
        <w:t>局管理。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im sun">
    <w:altName w:val="微软雅黑"/>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0OTYzNGRiMDc4ZWJlOGNlZWNlNWM3MWQ3YzcxNjkifQ=="/>
  </w:docVars>
  <w:rsids>
    <w:rsidRoot w:val="00E90FF5"/>
    <w:rsid w:val="00027A9C"/>
    <w:rsid w:val="0003792E"/>
    <w:rsid w:val="0004623C"/>
    <w:rsid w:val="000A2353"/>
    <w:rsid w:val="000A6549"/>
    <w:rsid w:val="000C3D1E"/>
    <w:rsid w:val="000C5863"/>
    <w:rsid w:val="00141EC0"/>
    <w:rsid w:val="00157455"/>
    <w:rsid w:val="00165E86"/>
    <w:rsid w:val="001E5411"/>
    <w:rsid w:val="002127EF"/>
    <w:rsid w:val="00222CE2"/>
    <w:rsid w:val="002246F2"/>
    <w:rsid w:val="00232A24"/>
    <w:rsid w:val="00294205"/>
    <w:rsid w:val="00295242"/>
    <w:rsid w:val="002D66EC"/>
    <w:rsid w:val="002D6987"/>
    <w:rsid w:val="00330ACA"/>
    <w:rsid w:val="00374EE2"/>
    <w:rsid w:val="00381E6D"/>
    <w:rsid w:val="00395769"/>
    <w:rsid w:val="003C3409"/>
    <w:rsid w:val="003C70F9"/>
    <w:rsid w:val="003D0685"/>
    <w:rsid w:val="00402E17"/>
    <w:rsid w:val="00437BEA"/>
    <w:rsid w:val="00462AD9"/>
    <w:rsid w:val="004D0F82"/>
    <w:rsid w:val="004F69DE"/>
    <w:rsid w:val="005007EF"/>
    <w:rsid w:val="005057F1"/>
    <w:rsid w:val="00507BDC"/>
    <w:rsid w:val="00516C15"/>
    <w:rsid w:val="0054301E"/>
    <w:rsid w:val="00547B9E"/>
    <w:rsid w:val="00557DC2"/>
    <w:rsid w:val="00577216"/>
    <w:rsid w:val="005C031F"/>
    <w:rsid w:val="005C38D3"/>
    <w:rsid w:val="005F72C8"/>
    <w:rsid w:val="0060432D"/>
    <w:rsid w:val="00635396"/>
    <w:rsid w:val="006D7DED"/>
    <w:rsid w:val="006F56E9"/>
    <w:rsid w:val="007054B5"/>
    <w:rsid w:val="007076C2"/>
    <w:rsid w:val="0072167A"/>
    <w:rsid w:val="007464B7"/>
    <w:rsid w:val="0080013D"/>
    <w:rsid w:val="008235DB"/>
    <w:rsid w:val="008342EF"/>
    <w:rsid w:val="0088177D"/>
    <w:rsid w:val="0089020E"/>
    <w:rsid w:val="008A758D"/>
    <w:rsid w:val="008E66F5"/>
    <w:rsid w:val="008E78DC"/>
    <w:rsid w:val="00A22BEF"/>
    <w:rsid w:val="00A54F04"/>
    <w:rsid w:val="00A625F0"/>
    <w:rsid w:val="00A66D6D"/>
    <w:rsid w:val="00A84828"/>
    <w:rsid w:val="00AA4806"/>
    <w:rsid w:val="00AC6F5D"/>
    <w:rsid w:val="00AE7CA6"/>
    <w:rsid w:val="00AF18B7"/>
    <w:rsid w:val="00BA5776"/>
    <w:rsid w:val="00BF38E0"/>
    <w:rsid w:val="00C108B1"/>
    <w:rsid w:val="00C11236"/>
    <w:rsid w:val="00CA56FE"/>
    <w:rsid w:val="00CD5085"/>
    <w:rsid w:val="00CE034B"/>
    <w:rsid w:val="00CE6D52"/>
    <w:rsid w:val="00D10705"/>
    <w:rsid w:val="00D148B8"/>
    <w:rsid w:val="00D3416B"/>
    <w:rsid w:val="00D762D2"/>
    <w:rsid w:val="00DA5227"/>
    <w:rsid w:val="00DC368D"/>
    <w:rsid w:val="00E205BB"/>
    <w:rsid w:val="00E719FA"/>
    <w:rsid w:val="00E80635"/>
    <w:rsid w:val="00E90FF5"/>
    <w:rsid w:val="00EA2809"/>
    <w:rsid w:val="00EE5922"/>
    <w:rsid w:val="00EF7627"/>
    <w:rsid w:val="00F12580"/>
    <w:rsid w:val="00F75CDB"/>
    <w:rsid w:val="00F96262"/>
    <w:rsid w:val="00FB7640"/>
    <w:rsid w:val="017B5688"/>
    <w:rsid w:val="0E8C53DF"/>
    <w:rsid w:val="10BE733F"/>
    <w:rsid w:val="1C66286C"/>
    <w:rsid w:val="25F5515A"/>
    <w:rsid w:val="29A16512"/>
    <w:rsid w:val="33F77967"/>
    <w:rsid w:val="44627A06"/>
    <w:rsid w:val="46697924"/>
    <w:rsid w:val="488968F7"/>
    <w:rsid w:val="4FFE5499"/>
    <w:rsid w:val="5A6541E8"/>
    <w:rsid w:val="5FBC57A3"/>
    <w:rsid w:val="796C23D9"/>
    <w:rsid w:val="7DB848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99"/>
    <w:pPr>
      <w:keepNext/>
      <w:keepLines/>
      <w:autoSpaceDE w:val="0"/>
      <w:autoSpaceDN w:val="0"/>
      <w:adjustRightInd w:val="0"/>
      <w:spacing w:before="340" w:after="330" w:line="578" w:lineRule="auto"/>
      <w:jc w:val="left"/>
      <w:outlineLvl w:val="0"/>
    </w:pPr>
    <w:rPr>
      <w:rFonts w:ascii="宋体"/>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4">
    <w:name w:val="annotation text"/>
    <w:basedOn w:val="1"/>
    <w:link w:val="34"/>
    <w:qFormat/>
    <w:uiPriority w:val="0"/>
    <w:pPr>
      <w:jc w:val="left"/>
    </w:pPr>
  </w:style>
  <w:style w:type="paragraph" w:styleId="5">
    <w:name w:val="Body Text Indent"/>
    <w:basedOn w:val="1"/>
    <w:link w:val="30"/>
    <w:qFormat/>
    <w:uiPriority w:val="0"/>
    <w:pPr>
      <w:snapToGrid w:val="0"/>
      <w:spacing w:line="440" w:lineRule="exact"/>
      <w:ind w:firstLine="420" w:firstLineChars="200"/>
    </w:pPr>
    <w:rPr>
      <w:rFonts w:ascii="宋体" w:hAnsi="宋体"/>
      <w:color w:val="FF0000"/>
      <w:szCs w:val="20"/>
    </w:rPr>
  </w:style>
  <w:style w:type="paragraph" w:styleId="6">
    <w:name w:val="Date"/>
    <w:basedOn w:val="1"/>
    <w:next w:val="1"/>
    <w:link w:val="26"/>
    <w:qFormat/>
    <w:uiPriority w:val="0"/>
    <w:pPr>
      <w:ind w:left="100" w:leftChars="2500"/>
    </w:pPr>
  </w:style>
  <w:style w:type="paragraph" w:styleId="7">
    <w:name w:val="Body Text Indent 2"/>
    <w:basedOn w:val="1"/>
    <w:link w:val="29"/>
    <w:qFormat/>
    <w:uiPriority w:val="0"/>
    <w:pPr>
      <w:snapToGrid w:val="0"/>
      <w:spacing w:line="440" w:lineRule="exact"/>
      <w:ind w:firstLine="840" w:firstLineChars="400"/>
    </w:pPr>
    <w:rPr>
      <w:rFonts w:ascii="宋体" w:hAnsi="宋体"/>
      <w:szCs w:val="20"/>
    </w:rPr>
  </w:style>
  <w:style w:type="paragraph" w:styleId="8">
    <w:name w:val="Balloon Text"/>
    <w:basedOn w:val="1"/>
    <w:link w:val="25"/>
    <w:semiHidden/>
    <w:qFormat/>
    <w:uiPriority w:val="0"/>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8"/>
    <w:qFormat/>
    <w:uiPriority w:val="0"/>
    <w:pPr>
      <w:snapToGrid w:val="0"/>
      <w:jc w:val="left"/>
    </w:pPr>
    <w:rPr>
      <w:sz w:val="18"/>
      <w:szCs w:val="18"/>
    </w:rPr>
  </w:style>
  <w:style w:type="paragraph" w:styleId="12">
    <w:name w:val="Body Text Indent 3"/>
    <w:basedOn w:val="1"/>
    <w:link w:val="31"/>
    <w:qFormat/>
    <w:uiPriority w:val="0"/>
    <w:pPr>
      <w:snapToGrid w:val="0"/>
      <w:spacing w:line="440" w:lineRule="exact"/>
      <w:ind w:firstLine="418" w:firstLineChars="199"/>
    </w:pPr>
    <w:rPr>
      <w:rFonts w:ascii="宋体" w:hAnsi="宋体"/>
      <w:color w:val="FF00FF"/>
      <w:szCs w:val="20"/>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table" w:styleId="15">
    <w:name w:val="Table Grid"/>
    <w:basedOn w:val="1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unhideWhenUsed/>
    <w:qFormat/>
    <w:uiPriority w:val="99"/>
    <w:rPr>
      <w:color w:val="800080"/>
      <w:u w:val="single"/>
    </w:rPr>
  </w:style>
  <w:style w:type="character" w:styleId="19">
    <w:name w:val="Hyperlink"/>
    <w:unhideWhenUsed/>
    <w:qFormat/>
    <w:uiPriority w:val="99"/>
    <w:rPr>
      <w:color w:val="00008B"/>
      <w:u w:val="none"/>
    </w:rPr>
  </w:style>
  <w:style w:type="character" w:styleId="20">
    <w:name w:val="annotation reference"/>
    <w:qFormat/>
    <w:uiPriority w:val="0"/>
    <w:rPr>
      <w:rFonts w:cs="Times New Roman"/>
      <w:sz w:val="21"/>
      <w:lang w:bidi="ar-SA"/>
    </w:rPr>
  </w:style>
  <w:style w:type="character" w:styleId="21">
    <w:name w:val="footnote reference"/>
    <w:qFormat/>
    <w:uiPriority w:val="0"/>
    <w:rPr>
      <w:vertAlign w:val="superscript"/>
    </w:rPr>
  </w:style>
  <w:style w:type="character" w:customStyle="1" w:styleId="22">
    <w:name w:val="标题 1 Char"/>
    <w:basedOn w:val="16"/>
    <w:link w:val="3"/>
    <w:qFormat/>
    <w:uiPriority w:val="99"/>
    <w:rPr>
      <w:rFonts w:ascii="宋体" w:hAnsi="Times New Roman" w:eastAsia="宋体" w:cs="Times New Roman"/>
      <w:b/>
      <w:bCs/>
      <w:kern w:val="44"/>
      <w:sz w:val="44"/>
      <w:szCs w:val="44"/>
    </w:rPr>
  </w:style>
  <w:style w:type="paragraph" w:customStyle="1" w:styleId="23">
    <w:name w:val="纯文本1"/>
    <w:basedOn w:val="1"/>
    <w:qFormat/>
    <w:uiPriority w:val="0"/>
    <w:pPr>
      <w:adjustRightInd w:val="0"/>
      <w:textAlignment w:val="baseline"/>
    </w:pPr>
    <w:rPr>
      <w:rFonts w:ascii="宋体" w:hAnsi="Courier New"/>
      <w:szCs w:val="20"/>
    </w:rPr>
  </w:style>
  <w:style w:type="character" w:customStyle="1" w:styleId="24">
    <w:name w:val="页脚 Char"/>
    <w:basedOn w:val="16"/>
    <w:link w:val="9"/>
    <w:qFormat/>
    <w:uiPriority w:val="99"/>
    <w:rPr>
      <w:rFonts w:ascii="Times New Roman" w:hAnsi="Times New Roman" w:eastAsia="宋体" w:cs="Times New Roman"/>
      <w:sz w:val="18"/>
      <w:szCs w:val="18"/>
    </w:rPr>
  </w:style>
  <w:style w:type="character" w:customStyle="1" w:styleId="25">
    <w:name w:val="批注框文本 Char"/>
    <w:basedOn w:val="16"/>
    <w:link w:val="8"/>
    <w:semiHidden/>
    <w:qFormat/>
    <w:uiPriority w:val="0"/>
    <w:rPr>
      <w:rFonts w:ascii="Times New Roman" w:hAnsi="Times New Roman" w:eastAsia="宋体" w:cs="Times New Roman"/>
      <w:sz w:val="18"/>
      <w:szCs w:val="18"/>
    </w:rPr>
  </w:style>
  <w:style w:type="character" w:customStyle="1" w:styleId="26">
    <w:name w:val="日期 Char"/>
    <w:basedOn w:val="16"/>
    <w:link w:val="6"/>
    <w:qFormat/>
    <w:uiPriority w:val="0"/>
    <w:rPr>
      <w:rFonts w:ascii="Times New Roman" w:hAnsi="Times New Roman" w:eastAsia="宋体" w:cs="Times New Roman"/>
      <w:szCs w:val="24"/>
    </w:rPr>
  </w:style>
  <w:style w:type="character" w:customStyle="1" w:styleId="27">
    <w:name w:val="页眉 Char"/>
    <w:basedOn w:val="16"/>
    <w:link w:val="10"/>
    <w:qFormat/>
    <w:uiPriority w:val="99"/>
    <w:rPr>
      <w:rFonts w:ascii="Times New Roman" w:hAnsi="Times New Roman" w:eastAsia="宋体" w:cs="Times New Roman"/>
      <w:sz w:val="18"/>
      <w:szCs w:val="18"/>
    </w:rPr>
  </w:style>
  <w:style w:type="character" w:customStyle="1" w:styleId="28">
    <w:name w:val="脚注文本 Char"/>
    <w:basedOn w:val="16"/>
    <w:link w:val="11"/>
    <w:qFormat/>
    <w:uiPriority w:val="0"/>
    <w:rPr>
      <w:rFonts w:ascii="Times New Roman" w:hAnsi="Times New Roman" w:eastAsia="宋体" w:cs="Times New Roman"/>
      <w:sz w:val="18"/>
      <w:szCs w:val="18"/>
    </w:rPr>
  </w:style>
  <w:style w:type="character" w:customStyle="1" w:styleId="29">
    <w:name w:val="正文文本缩进 2 Char"/>
    <w:basedOn w:val="16"/>
    <w:link w:val="7"/>
    <w:qFormat/>
    <w:uiPriority w:val="0"/>
    <w:rPr>
      <w:rFonts w:ascii="宋体" w:hAnsi="宋体" w:eastAsia="宋体" w:cs="Times New Roman"/>
      <w:szCs w:val="20"/>
    </w:rPr>
  </w:style>
  <w:style w:type="character" w:customStyle="1" w:styleId="30">
    <w:name w:val="正文文本缩进 Char"/>
    <w:basedOn w:val="16"/>
    <w:link w:val="5"/>
    <w:qFormat/>
    <w:uiPriority w:val="0"/>
    <w:rPr>
      <w:rFonts w:ascii="宋体" w:hAnsi="宋体" w:eastAsia="宋体" w:cs="Times New Roman"/>
      <w:color w:val="FF0000"/>
      <w:szCs w:val="20"/>
    </w:rPr>
  </w:style>
  <w:style w:type="character" w:customStyle="1" w:styleId="31">
    <w:name w:val="正文文本缩进 3 Char"/>
    <w:basedOn w:val="16"/>
    <w:link w:val="12"/>
    <w:qFormat/>
    <w:uiPriority w:val="0"/>
    <w:rPr>
      <w:rFonts w:ascii="宋体" w:hAnsi="宋体" w:eastAsia="宋体" w:cs="Times New Roman"/>
      <w:color w:val="FF00FF"/>
      <w:szCs w:val="20"/>
    </w:rPr>
  </w:style>
  <w:style w:type="paragraph" w:customStyle="1" w:styleId="3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3">
    <w:name w:val="Char"/>
    <w:basedOn w:val="1"/>
    <w:qFormat/>
    <w:uiPriority w:val="0"/>
    <w:pPr>
      <w:widowControl/>
      <w:tabs>
        <w:tab w:val="center" w:pos="4153"/>
        <w:tab w:val="right" w:pos="8306"/>
      </w:tabs>
      <w:snapToGrid w:val="0"/>
      <w:spacing w:after="160" w:line="240" w:lineRule="exact"/>
      <w:jc w:val="center"/>
    </w:pPr>
    <w:rPr>
      <w:rFonts w:ascii="Verdana" w:hAnsi="Verdana"/>
      <w:kern w:val="0"/>
      <w:sz w:val="18"/>
      <w:szCs w:val="20"/>
      <w:lang w:eastAsia="en-US"/>
    </w:rPr>
  </w:style>
  <w:style w:type="character" w:customStyle="1" w:styleId="34">
    <w:name w:val="批注文字 Char"/>
    <w:basedOn w:val="16"/>
    <w:link w:val="4"/>
    <w:qFormat/>
    <w:uiPriority w:val="0"/>
    <w:rPr>
      <w:rFonts w:ascii="Times New Roman" w:hAnsi="Times New Roman" w:eastAsia="宋体" w:cs="Times New Roman"/>
      <w:szCs w:val="24"/>
    </w:rPr>
  </w:style>
  <w:style w:type="paragraph" w:styleId="35">
    <w:name w:val="List Paragraph"/>
    <w:basedOn w:val="1"/>
    <w:qFormat/>
    <w:uiPriority w:val="34"/>
    <w:pPr>
      <w:ind w:firstLine="420" w:firstLineChars="200"/>
    </w:pPr>
    <w:rPr>
      <w:sz w:val="24"/>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color w:val="000000"/>
      <w:kern w:val="0"/>
      <w:sz w:val="28"/>
      <w:szCs w:val="28"/>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color w:val="000000"/>
      <w:kern w:val="0"/>
      <w:sz w:val="28"/>
      <w:szCs w:val="28"/>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8"/>
      <w:szCs w:val="28"/>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8"/>
      <w:szCs w:val="28"/>
    </w:rPr>
  </w:style>
  <w:style w:type="paragraph" w:customStyle="1" w:styleId="42">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Cs w:val="21"/>
    </w:rPr>
  </w:style>
  <w:style w:type="paragraph" w:customStyle="1" w:styleId="43">
    <w:name w:val="xl7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Pages>
  <Words>2802</Words>
  <Characters>3971</Characters>
  <Lines>57</Lines>
  <Paragraphs>25</Paragraphs>
  <TotalTime>2</TotalTime>
  <ScaleCrop>false</ScaleCrop>
  <LinksUpToDate>false</LinksUpToDate>
  <CharactersWithSpaces>4143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2020-06-08T07:27:00Z</dcterms:created>
  <dc:creator>lenovo</dc:creator>
  <cp:lastModifiedBy>Administrator</cp:lastModifiedBy>
  <dcterms:modified xsi:type="dcterms:W3CDTF">2022-06-30T06:23:51Z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601F85629B044354B41FDE9D4F5CD3E9</vt:lpwstr>
  </property>
</Properties>
</file>