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黑体"/>
          <w:b/>
          <w:spacing w:val="20"/>
          <w:w w:val="105"/>
          <w:kern w:val="2"/>
          <w:sz w:val="36"/>
          <w:szCs w:val="36"/>
        </w:rPr>
      </w:pPr>
      <w:r>
        <w:rPr>
          <w:rFonts w:hint="eastAsia" w:ascii="仿宋" w:hAnsi="仿宋" w:eastAsia="仿宋" w:cs="黑体"/>
          <w:b/>
          <w:spacing w:val="20"/>
          <w:w w:val="105"/>
          <w:kern w:val="2"/>
          <w:sz w:val="36"/>
          <w:szCs w:val="36"/>
          <w:lang w:eastAsia="zh-CN"/>
        </w:rPr>
        <w:t>盘锦市</w:t>
      </w:r>
      <w:r>
        <w:rPr>
          <w:rFonts w:hint="eastAsia" w:ascii="仿宋" w:hAnsi="仿宋" w:eastAsia="仿宋" w:cs="黑体"/>
          <w:b/>
          <w:spacing w:val="20"/>
          <w:w w:val="105"/>
          <w:kern w:val="2"/>
          <w:sz w:val="36"/>
          <w:szCs w:val="36"/>
          <w:lang w:val="en-US" w:eastAsia="zh-CN"/>
        </w:rPr>
        <w:t>2022年</w:t>
      </w:r>
      <w:r>
        <w:rPr>
          <w:rFonts w:hint="eastAsia" w:ascii="仿宋" w:hAnsi="仿宋" w:eastAsia="仿宋" w:cs="黑体"/>
          <w:b/>
          <w:spacing w:val="20"/>
          <w:w w:val="105"/>
          <w:kern w:val="2"/>
          <w:sz w:val="36"/>
          <w:szCs w:val="36"/>
        </w:rPr>
        <w:t>油漆</w:t>
      </w:r>
      <w:r>
        <w:rPr>
          <w:rFonts w:hint="eastAsia" w:ascii="仿宋" w:hAnsi="仿宋" w:eastAsia="仿宋" w:cs="黑体"/>
          <w:b/>
          <w:spacing w:val="20"/>
          <w:w w:val="105"/>
          <w:kern w:val="2"/>
          <w:sz w:val="36"/>
          <w:szCs w:val="36"/>
          <w:lang w:eastAsia="zh-CN"/>
        </w:rPr>
        <w:t>（涂料）</w:t>
      </w:r>
      <w:r>
        <w:rPr>
          <w:rFonts w:hint="eastAsia" w:ascii="仿宋" w:hAnsi="仿宋" w:eastAsia="仿宋" w:cs="黑体"/>
          <w:b/>
          <w:spacing w:val="20"/>
          <w:w w:val="105"/>
          <w:kern w:val="2"/>
          <w:sz w:val="36"/>
          <w:szCs w:val="36"/>
        </w:rPr>
        <w:t>产品</w:t>
      </w:r>
    </w:p>
    <w:p>
      <w:pPr>
        <w:spacing w:line="360" w:lineRule="auto"/>
        <w:jc w:val="center"/>
        <w:rPr>
          <w:rFonts w:hint="eastAsia" w:ascii="仿宋" w:hAnsi="仿宋" w:eastAsia="仿宋" w:cs="黑体"/>
          <w:b/>
          <w:spacing w:val="20"/>
          <w:w w:val="105"/>
          <w:kern w:val="2"/>
          <w:sz w:val="36"/>
          <w:szCs w:val="36"/>
        </w:rPr>
      </w:pPr>
      <w:r>
        <w:rPr>
          <w:rFonts w:hint="eastAsia" w:ascii="仿宋" w:hAnsi="仿宋" w:eastAsia="仿宋" w:cs="黑体"/>
          <w:b/>
          <w:spacing w:val="20"/>
          <w:w w:val="105"/>
          <w:kern w:val="2"/>
          <w:sz w:val="36"/>
          <w:szCs w:val="36"/>
        </w:rPr>
        <w:t>质量监督抽查实施细则</w:t>
      </w:r>
    </w:p>
    <w:p>
      <w:pPr>
        <w:adjustRightInd w:val="0"/>
        <w:snapToGrid w:val="0"/>
        <w:spacing w:line="360" w:lineRule="auto"/>
        <w:ind w:firstLine="411" w:firstLineChars="196"/>
        <w:rPr>
          <w:rFonts w:hint="eastAsia" w:ascii="黑体" w:hAnsi="黑体" w:eastAsia="黑体" w:cs="黑体"/>
          <w:sz w:val="21"/>
          <w:szCs w:val="21"/>
        </w:rPr>
      </w:pP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1 适用范围</w:t>
      </w:r>
    </w:p>
    <w:p>
      <w:pPr>
        <w:spacing w:line="360" w:lineRule="auto"/>
        <w:ind w:firstLine="560" w:firstLineChars="200"/>
        <w:jc w:val="left"/>
        <w:rPr>
          <w:rFonts w:hint="eastAsia" w:ascii="仿宋" w:hAnsi="仿宋" w:eastAsia="仿宋"/>
          <w:kern w:val="2"/>
          <w:sz w:val="28"/>
          <w:szCs w:val="28"/>
        </w:rPr>
      </w:pPr>
      <w:r>
        <w:rPr>
          <w:rFonts w:hint="eastAsia" w:ascii="仿宋" w:hAnsi="仿宋" w:eastAsia="仿宋"/>
          <w:kern w:val="2"/>
          <w:sz w:val="28"/>
          <w:szCs w:val="28"/>
        </w:rPr>
        <w:t>本细则适用于</w:t>
      </w:r>
      <w:r>
        <w:rPr>
          <w:rFonts w:hint="eastAsia" w:ascii="仿宋" w:hAnsi="仿宋" w:eastAsia="仿宋"/>
          <w:kern w:val="2"/>
          <w:sz w:val="28"/>
          <w:szCs w:val="28"/>
          <w:lang w:eastAsia="zh-CN"/>
        </w:rPr>
        <w:t>盘锦市</w:t>
      </w:r>
      <w:r>
        <w:rPr>
          <w:rFonts w:hint="eastAsia" w:ascii="仿宋" w:hAnsi="仿宋" w:eastAsia="仿宋"/>
          <w:kern w:val="2"/>
          <w:sz w:val="28"/>
          <w:szCs w:val="28"/>
        </w:rPr>
        <w:t>油漆</w:t>
      </w:r>
      <w:r>
        <w:rPr>
          <w:rFonts w:hint="eastAsia" w:ascii="仿宋" w:hAnsi="仿宋" w:eastAsia="仿宋"/>
          <w:kern w:val="2"/>
          <w:sz w:val="28"/>
          <w:szCs w:val="28"/>
          <w:lang w:eastAsia="zh-CN"/>
        </w:rPr>
        <w:t>（涂料）</w:t>
      </w:r>
      <w:r>
        <w:rPr>
          <w:rFonts w:hint="eastAsia" w:ascii="仿宋" w:hAnsi="仿宋" w:eastAsia="仿宋"/>
          <w:kern w:val="2"/>
          <w:sz w:val="28"/>
          <w:szCs w:val="28"/>
        </w:rPr>
        <w:t>产品质量监督抽查。</w:t>
      </w:r>
      <w:r>
        <w:rPr>
          <w:rFonts w:hint="eastAsia" w:ascii="仿宋" w:hAnsi="仿宋" w:eastAsia="仿宋"/>
          <w:sz w:val="28"/>
          <w:szCs w:val="28"/>
        </w:rPr>
        <w:t>抽查范围为</w:t>
      </w:r>
      <w:r>
        <w:rPr>
          <w:rFonts w:hint="eastAsia" w:ascii="仿宋" w:hAnsi="仿宋" w:eastAsia="仿宋"/>
          <w:kern w:val="2"/>
          <w:sz w:val="28"/>
          <w:szCs w:val="28"/>
          <w:lang w:eastAsia="zh-CN"/>
        </w:rPr>
        <w:t>盘锦</w:t>
      </w:r>
      <w:r>
        <w:rPr>
          <w:rFonts w:hint="eastAsia" w:ascii="仿宋" w:hAnsi="仿宋" w:eastAsia="仿宋"/>
          <w:sz w:val="28"/>
          <w:szCs w:val="28"/>
          <w:lang w:eastAsia="zh-CN"/>
        </w:rPr>
        <w:t>市</w:t>
      </w:r>
      <w:r>
        <w:rPr>
          <w:rFonts w:hint="eastAsia" w:ascii="仿宋" w:hAnsi="仿宋" w:eastAsia="仿宋"/>
          <w:sz w:val="28"/>
          <w:szCs w:val="28"/>
        </w:rPr>
        <w:t>油漆</w:t>
      </w:r>
      <w:r>
        <w:rPr>
          <w:rFonts w:hint="eastAsia" w:ascii="仿宋" w:hAnsi="仿宋" w:eastAsia="仿宋"/>
          <w:kern w:val="2"/>
          <w:sz w:val="28"/>
          <w:szCs w:val="28"/>
          <w:lang w:eastAsia="zh-CN"/>
        </w:rPr>
        <w:t>（涂料）</w:t>
      </w:r>
      <w:r>
        <w:rPr>
          <w:rFonts w:hint="eastAsia" w:ascii="仿宋" w:hAnsi="仿宋" w:eastAsia="仿宋"/>
          <w:sz w:val="28"/>
          <w:szCs w:val="28"/>
        </w:rPr>
        <w:t>产品生产单位及销售单位。</w:t>
      </w:r>
      <w:r>
        <w:rPr>
          <w:rFonts w:hint="eastAsia" w:ascii="仿宋" w:hAnsi="仿宋" w:eastAsia="仿宋"/>
          <w:kern w:val="2"/>
          <w:sz w:val="28"/>
          <w:szCs w:val="28"/>
        </w:rPr>
        <w:t>本细则内容包括产品分类、术语和定义、</w:t>
      </w:r>
      <w:r>
        <w:rPr>
          <w:rFonts w:hint="eastAsia" w:ascii="仿宋" w:hAnsi="仿宋" w:eastAsia="仿宋"/>
          <w:sz w:val="28"/>
          <w:szCs w:val="28"/>
        </w:rPr>
        <w:t>企业规模划分、</w:t>
      </w:r>
      <w:r>
        <w:rPr>
          <w:rFonts w:hint="eastAsia" w:ascii="仿宋" w:hAnsi="仿宋" w:eastAsia="仿宋"/>
          <w:kern w:val="2"/>
          <w:sz w:val="28"/>
          <w:szCs w:val="28"/>
        </w:rPr>
        <w:t>检验依据、抽样、检验要求、判定原则、异议处理及附则。</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2 产品分类、术语和定义</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2.1 产品分类及代码见表1。</w:t>
      </w:r>
    </w:p>
    <w:p>
      <w:pPr>
        <w:spacing w:line="360" w:lineRule="auto"/>
        <w:ind w:firstLine="480" w:firstLineChars="20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表1 产品分类及代码</w:t>
      </w:r>
    </w:p>
    <w:tbl>
      <w:tblPr>
        <w:tblStyle w:val="6"/>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564"/>
        <w:gridCol w:w="2172"/>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57"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产品分类</w:t>
            </w:r>
          </w:p>
        </w:tc>
        <w:tc>
          <w:tcPr>
            <w:tcW w:w="2564"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一级分类</w:t>
            </w:r>
          </w:p>
        </w:tc>
        <w:tc>
          <w:tcPr>
            <w:tcW w:w="2172"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二级分类</w:t>
            </w:r>
          </w:p>
        </w:tc>
        <w:tc>
          <w:tcPr>
            <w:tcW w:w="1935"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57"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分类代码</w:t>
            </w:r>
          </w:p>
        </w:tc>
        <w:tc>
          <w:tcPr>
            <w:tcW w:w="2564"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4</w:t>
            </w:r>
          </w:p>
        </w:tc>
        <w:tc>
          <w:tcPr>
            <w:tcW w:w="2172"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411</w:t>
            </w:r>
          </w:p>
        </w:tc>
        <w:tc>
          <w:tcPr>
            <w:tcW w:w="1935"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57"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分类名称</w:t>
            </w:r>
          </w:p>
        </w:tc>
        <w:tc>
          <w:tcPr>
            <w:tcW w:w="2564"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建筑和装饰装修材料</w:t>
            </w:r>
          </w:p>
        </w:tc>
        <w:tc>
          <w:tcPr>
            <w:tcW w:w="2172"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建筑涂料</w:t>
            </w:r>
          </w:p>
        </w:tc>
        <w:tc>
          <w:tcPr>
            <w:tcW w:w="1935" w:type="dxa"/>
            <w:noWrap w:val="0"/>
            <w:vAlign w:val="center"/>
          </w:tcPr>
          <w:p>
            <w:pPr>
              <w:spacing w:line="276" w:lineRule="auto"/>
              <w:ind w:firstLine="21" w:firstLineChars="9"/>
              <w:jc w:val="center"/>
              <w:rPr>
                <w:rFonts w:hint="eastAsia" w:ascii="仿宋" w:hAnsi="仿宋" w:eastAsia="仿宋" w:cs="宋体"/>
                <w:kern w:val="2"/>
                <w:sz w:val="24"/>
                <w:szCs w:val="24"/>
              </w:rPr>
            </w:pPr>
            <w:r>
              <w:rPr>
                <w:rFonts w:hint="eastAsia" w:ascii="仿宋" w:hAnsi="仿宋" w:eastAsia="仿宋" w:cs="宋体"/>
                <w:kern w:val="2"/>
                <w:sz w:val="24"/>
                <w:szCs w:val="24"/>
              </w:rPr>
              <w:t>——</w:t>
            </w:r>
          </w:p>
        </w:tc>
      </w:tr>
    </w:tbl>
    <w:p>
      <w:pPr>
        <w:spacing w:line="360" w:lineRule="auto"/>
        <w:ind w:firstLine="420" w:firstLineChars="200"/>
        <w:rPr>
          <w:rFonts w:hint="eastAsia" w:ascii="仿宋_GB2312" w:hAnsi="Calibri" w:eastAsia="仿宋_GB2312"/>
          <w:kern w:val="2"/>
          <w:sz w:val="21"/>
          <w:szCs w:val="21"/>
        </w:rPr>
      </w:pP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2.2 产品种类</w:t>
      </w:r>
    </w:p>
    <w:p>
      <w:pPr>
        <w:adjustRightInd w:val="0"/>
        <w:snapToGrid w:val="0"/>
        <w:spacing w:line="360" w:lineRule="auto"/>
        <w:ind w:firstLine="560" w:firstLineChars="200"/>
        <w:rPr>
          <w:rFonts w:hint="eastAsia" w:ascii="仿宋_GB2312" w:eastAsia="仿宋_GB2312"/>
          <w:sz w:val="28"/>
          <w:szCs w:val="28"/>
        </w:rPr>
      </w:pPr>
      <w:r>
        <w:rPr>
          <w:rFonts w:hint="eastAsia" w:ascii="仿宋" w:hAnsi="仿宋" w:eastAsia="仿宋"/>
          <w:kern w:val="2"/>
          <w:sz w:val="28"/>
          <w:szCs w:val="28"/>
        </w:rPr>
        <w:t>本细则涉及产品种类：溶剂型丙烯酸树脂涂料、环氧树脂底漆、氨基漆稀释剂、硝基漆稀释剂、过氯乙烯漆稀释剂、硝基涂料、环氧沥青防腐涂料、醇酸树脂涂料、酚醛树脂涂料、氯化橡胶防腐涂料、环氧云铁中间漆、交联型氟树脂涂料、溶剂型聚氨酯涂料（双组份），共13种产品类型。</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2.3 术语和定义</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本细则中所使用的术语和定义同相关引用标准。</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 xml:space="preserve">3 </w:t>
      </w:r>
      <w:r>
        <w:rPr>
          <w:rFonts w:hint="eastAsia" w:ascii="仿宋" w:hAnsi="仿宋" w:eastAsia="仿宋"/>
          <w:b/>
          <w:sz w:val="28"/>
          <w:szCs w:val="28"/>
        </w:rPr>
        <w:t>企业规模划分</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根据国家统计局印发的相关管理办法，确定企业规模。</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4 检验依据</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凡是注日期的文件，其随后所有的修改单（不包括勘误的内容）或修订版不适用于本规范。凡是不注日期的文件，其最新版本适用于本细则。</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GB/T 9756—2018  合成树脂乳液内墙涂料</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GB 18582—2020  建筑用墙面涂料中有害物质限量</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相关的法律法规、部门规章和规范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经公示现行有效的企业标准、地方标准及产品明示质量要求</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5 抽样</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5.1 抽样型号或规格</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符合规定要求的任一型号或规格的同一批次产品均可抽取，每个企业同规格型号的产品仅抽查一种。企业有多个品种时，抽取该企业的主导产品。</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5.2 抽样基数及数量</w:t>
      </w:r>
    </w:p>
    <w:p>
      <w:pPr>
        <w:spacing w:line="360" w:lineRule="auto"/>
        <w:ind w:firstLine="560" w:firstLineChars="200"/>
        <w:rPr>
          <w:rFonts w:hint="eastAsia" w:ascii="仿宋_GB2312" w:eastAsia="仿宋_GB2312"/>
          <w:sz w:val="28"/>
          <w:szCs w:val="28"/>
        </w:rPr>
      </w:pPr>
      <w:r>
        <w:rPr>
          <w:rFonts w:hint="eastAsia" w:ascii="仿宋" w:hAnsi="仿宋" w:eastAsia="仿宋"/>
          <w:kern w:val="2"/>
          <w:sz w:val="28"/>
          <w:szCs w:val="28"/>
        </w:rPr>
        <w:t>5.2.1 抽样地点为生产企业的成品库、堆场，经销单位的销售现场、仓库</w:t>
      </w:r>
      <w:r>
        <w:rPr>
          <w:rFonts w:hint="eastAsia" w:ascii="仿宋_GB2312" w:eastAsia="仿宋_GB2312"/>
          <w:sz w:val="28"/>
          <w:szCs w:val="28"/>
        </w:rPr>
        <w:t>。</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在企业的成品库内或市场待销产品中随机抽取有产品质量检验合格证明或者以其他形式表明合格的、在保质期内的产品</w:t>
      </w:r>
      <w:r>
        <w:rPr>
          <w:rFonts w:hint="eastAsia" w:ascii="仿宋" w:hAnsi="仿宋" w:eastAsia="仿宋"/>
          <w:sz w:val="28"/>
          <w:szCs w:val="28"/>
        </w:rPr>
        <w:t>（但一般不超过十二个月）</w:t>
      </w:r>
      <w:r>
        <w:rPr>
          <w:rFonts w:hint="eastAsia" w:ascii="仿宋" w:hAnsi="仿宋" w:eastAsia="仿宋"/>
          <w:kern w:val="2"/>
          <w:sz w:val="28"/>
          <w:szCs w:val="28"/>
        </w:rPr>
        <w:t>。随机数一般可使用随机数表、骰子或扑克牌等方法产生。</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5.2.2 抽样基数</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在生产领域抽样，独立包装产品重量≤5kg时，同一批次产品抽样基数不少于20个独立包装；在贮罐、大桶或其它较大容器中抽样，抽样基数不低于100kg</w:t>
      </w:r>
      <w:r>
        <w:rPr>
          <w:rFonts w:hint="eastAsia" w:ascii="仿宋" w:hAnsi="仿宋" w:eastAsia="仿宋"/>
          <w:sz w:val="28"/>
          <w:szCs w:val="28"/>
        </w:rPr>
        <w:t>，搅拌均匀后抽取</w:t>
      </w:r>
      <w:r>
        <w:rPr>
          <w:rFonts w:hint="eastAsia" w:ascii="仿宋" w:hAnsi="仿宋" w:eastAsia="仿宋"/>
          <w:kern w:val="2"/>
          <w:sz w:val="28"/>
          <w:szCs w:val="28"/>
        </w:rPr>
        <w:t>。在流通领域抽样，抽样基数满足抽取样品数量即可。</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5.2.3 抽样数量</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以随机抽样的方式在被抽样生产者、销售者的待销产品中抽取。</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随机数一般可使用</w:t>
      </w:r>
      <w:bookmarkStart w:id="0" w:name="_Hlk28691753"/>
      <w:r>
        <w:rPr>
          <w:rFonts w:hint="eastAsia" w:ascii="仿宋" w:hAnsi="仿宋" w:eastAsia="仿宋"/>
          <w:kern w:val="2"/>
          <w:sz w:val="28"/>
          <w:szCs w:val="28"/>
        </w:rPr>
        <w:t>随机数</w:t>
      </w:r>
      <w:bookmarkEnd w:id="0"/>
      <w:r>
        <w:rPr>
          <w:rFonts w:hint="eastAsia" w:ascii="仿宋" w:hAnsi="仿宋" w:eastAsia="仿宋"/>
          <w:kern w:val="2"/>
          <w:sz w:val="28"/>
          <w:szCs w:val="28"/>
        </w:rPr>
        <w:t>表等方法产生。</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抽取2份样品，每份不少于3kg，一份为检验样品，一份为备用样品。当独立包装产品不大于5L或7.5kg时，应尽量整包装抽取，避免分装。</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如需配套底漆，抽取底漆2份，每份不少于0.5kg，一份为检验样品，一份为备用样品。</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5.3 样品处置</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5.3.1 抽取的样品应密封在金属容器中，分别注明“检验样品”与“备用样品”或类似字样。当场对样品的瓶口或桶口密封，为保证样品的真实性，要有相应的防拆封措施，并保证封条在运输过程中不会破损。</w:t>
      </w:r>
      <w:r>
        <w:rPr>
          <w:rFonts w:hint="eastAsia" w:ascii="仿宋" w:hAnsi="仿宋" w:eastAsia="仿宋"/>
          <w:sz w:val="28"/>
          <w:szCs w:val="28"/>
        </w:rPr>
        <w:t>抽取的样品上应标明产品名称和型号，封条上应包括但不限于抽样日期、抽样人签字、被抽查企业代表签字及抽样单位公章等相关信息。</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5.3.2 抽取的样品由抽样单位负责寄、送到检验机构，在包装与运送中应保证样品、签封、产品包装或说明书等完好无损。样品运送时应按照产品明示的搬运要求进行，以防损坏样品。</w:t>
      </w:r>
    </w:p>
    <w:p>
      <w:pPr>
        <w:spacing w:line="360" w:lineRule="auto"/>
        <w:ind w:firstLine="560" w:firstLineChars="200"/>
        <w:rPr>
          <w:rFonts w:hint="eastAsia"/>
        </w:rPr>
      </w:pPr>
      <w:r>
        <w:rPr>
          <w:rFonts w:hint="eastAsia" w:ascii="仿宋" w:hAnsi="仿宋" w:eastAsia="仿宋"/>
          <w:sz w:val="28"/>
          <w:szCs w:val="28"/>
        </w:rPr>
        <w:t>5.3.3 备用样品及检验结束后的样品，储存条件要满足产品规定或明示的要求，备用样品要保证在整个保存期间内签封完整无损。</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5.4 抽样单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应按有关规定填写抽样单，记录被抽查产品及企业相关信息。同时记录所抽查产品生产企业上一年度的销售总额（以万元计）；若企业上一年度未销售，则记录本年度实际产品的销售总额，并加以注明。</w:t>
      </w:r>
    </w:p>
    <w:p>
      <w:pPr>
        <w:spacing w:line="360" w:lineRule="auto"/>
        <w:rPr>
          <w:rFonts w:hint="eastAsia" w:ascii="仿宋" w:hAnsi="仿宋" w:eastAsia="仿宋"/>
          <w:sz w:val="28"/>
          <w:szCs w:val="28"/>
        </w:rPr>
      </w:pPr>
      <w:r>
        <w:rPr>
          <w:rFonts w:hint="eastAsia" w:ascii="仿宋" w:hAnsi="仿宋" w:eastAsia="仿宋"/>
          <w:sz w:val="28"/>
          <w:szCs w:val="28"/>
        </w:rPr>
        <w:t>对于产品检验所需的样品技术参数等信息，需要被抽企业提供的，应在抽样现场获取，并经企业确认。</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以下情况应在抽样单备注栏中说明：</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1）产品的施工要求；</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2）在贮罐</w:t>
      </w:r>
      <w:bookmarkStart w:id="1" w:name="OLE_LINK5"/>
      <w:bookmarkStart w:id="2" w:name="OLE_LINK6"/>
      <w:r>
        <w:rPr>
          <w:rFonts w:hint="eastAsia" w:ascii="仿宋" w:hAnsi="仿宋" w:eastAsia="仿宋"/>
          <w:kern w:val="2"/>
          <w:sz w:val="28"/>
          <w:szCs w:val="28"/>
        </w:rPr>
        <w:t>、</w:t>
      </w:r>
      <w:bookmarkEnd w:id="1"/>
      <w:bookmarkEnd w:id="2"/>
      <w:r>
        <w:rPr>
          <w:rFonts w:hint="eastAsia" w:ascii="仿宋" w:hAnsi="仿宋" w:eastAsia="仿宋"/>
          <w:kern w:val="2"/>
          <w:sz w:val="28"/>
          <w:szCs w:val="28"/>
        </w:rPr>
        <w:t>大桶或其他较大容器中抽样的过程和样品状态描述；</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3）在生产线末端抽样时，应有“样品自检合格、待出厂”描述；</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4）贴牌生产或委托加工应说明，并附协议或证明；</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5）企业需要陈述的情况。</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5.5 其他要求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可对抽样的关键过程留下影像资料。在进入企业、取样、双方签字确认等环节时，影像资料要能清晰记录企业名称、营业执照名称、被抽查产品、抽样方式、封样状态、抽样人员和企业陪同人员等。</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5.6 样品获取方式</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监督抽查所需的样品要在受检单位以购买方式获取。</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5.7 </w:t>
      </w:r>
      <w:r>
        <w:rPr>
          <w:rFonts w:hint="eastAsia" w:ascii="仿宋_GB2312" w:eastAsia="仿宋_GB2312"/>
          <w:sz w:val="28"/>
          <w:szCs w:val="28"/>
        </w:rPr>
        <w:t>抽样时应注意的问题</w:t>
      </w:r>
    </w:p>
    <w:p>
      <w:pPr>
        <w:spacing w:line="360" w:lineRule="auto"/>
        <w:ind w:firstLine="560" w:firstLineChars="200"/>
        <w:rPr>
          <w:rFonts w:hint="eastAsia" w:ascii="仿宋" w:hAnsi="仿宋" w:eastAsia="仿宋"/>
          <w:kern w:val="2"/>
          <w:sz w:val="28"/>
          <w:szCs w:val="28"/>
        </w:rPr>
      </w:pPr>
      <w:r>
        <w:rPr>
          <w:rFonts w:hint="eastAsia" w:ascii="仿宋" w:hAnsi="仿宋" w:eastAsia="仿宋"/>
          <w:sz w:val="28"/>
          <w:szCs w:val="28"/>
        </w:rPr>
        <w:t xml:space="preserve">5.7.1 </w:t>
      </w:r>
      <w:r>
        <w:rPr>
          <w:rFonts w:hint="eastAsia" w:ascii="仿宋" w:hAnsi="仿宋" w:eastAsia="仿宋"/>
          <w:kern w:val="2"/>
          <w:sz w:val="28"/>
          <w:szCs w:val="28"/>
        </w:rPr>
        <w:t>应由抽样技术人员在现场进行抽取，不得由企业自行抽样。抽取的样品应当是有产品质量检验合格证明或者以其他形式表明合格的产品，其保质期应满足检验及异议处理时间要求。</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5.7.2 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（1）被抽查企业无监督抽查通知书或者相关文件复印件所列产品的；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（2）有充分证据证明拟抽查的产品是不用于销售的；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（3）产品不涉及强制性标准要求，仅按双方约定的技术要求加工生产，且未执行任何标准的；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（4）有充分证据证明拟抽查的产品为企业用于出口，并且出口合同对产品质量另有规定的；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（5）产品或者标签、包装、说明书标有“试制”、“处理”或者“样品”等字样的；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（6）企业提供上级市场监管部门6个月内该种产品的监督抽查抽样单或者合格检验报告的（专项抽查除外）。</w:t>
      </w:r>
    </w:p>
    <w:p>
      <w:pPr>
        <w:spacing w:line="360" w:lineRule="auto"/>
        <w:ind w:firstLine="560" w:firstLineChars="200"/>
        <w:rPr>
          <w:rFonts w:eastAsia="仿宋"/>
        </w:rPr>
      </w:pPr>
      <w:r>
        <w:rPr>
          <w:rFonts w:hint="eastAsia" w:ascii="仿宋" w:hAnsi="仿宋" w:eastAsia="仿宋"/>
          <w:sz w:val="28"/>
          <w:szCs w:val="28"/>
        </w:rPr>
        <w:t>5.7.3 抽样人员应对所抽样品的外包装上所示内容拍照，对于多组分样品，各组分按实际配比抽取，并在抽样单注明比例。</w:t>
      </w:r>
    </w:p>
    <w:p>
      <w:pPr>
        <w:spacing w:line="360" w:lineRule="auto"/>
        <w:ind w:firstLine="562" w:firstLineChars="200"/>
        <w:rPr>
          <w:rFonts w:hint="eastAsia" w:ascii="仿宋" w:hAnsi="仿宋" w:eastAsia="仿宋"/>
          <w:b/>
          <w:kern w:val="2"/>
          <w:sz w:val="28"/>
          <w:szCs w:val="28"/>
        </w:rPr>
      </w:pPr>
    </w:p>
    <w:p>
      <w:pPr>
        <w:spacing w:line="360" w:lineRule="auto"/>
        <w:ind w:firstLine="562" w:firstLineChars="200"/>
        <w:rPr>
          <w:rFonts w:hint="eastAsia" w:ascii="仿宋" w:hAnsi="仿宋" w:eastAsia="仿宋"/>
          <w:b/>
          <w:kern w:val="2"/>
          <w:sz w:val="28"/>
          <w:szCs w:val="28"/>
        </w:rPr>
      </w:pPr>
    </w:p>
    <w:p>
      <w:pPr>
        <w:spacing w:line="360" w:lineRule="auto"/>
        <w:ind w:firstLine="562" w:firstLineChars="200"/>
        <w:rPr>
          <w:rFonts w:hint="eastAsia" w:ascii="仿宋" w:hAnsi="仿宋" w:eastAsia="仿宋"/>
          <w:b/>
          <w:kern w:val="2"/>
          <w:sz w:val="28"/>
          <w:szCs w:val="28"/>
        </w:rPr>
      </w:pPr>
    </w:p>
    <w:p>
      <w:pPr>
        <w:spacing w:line="360" w:lineRule="auto"/>
        <w:ind w:firstLine="562" w:firstLineChars="200"/>
        <w:rPr>
          <w:rFonts w:hint="eastAsia" w:ascii="仿宋" w:hAnsi="仿宋" w:eastAsia="仿宋"/>
          <w:b/>
          <w:kern w:val="2"/>
          <w:sz w:val="28"/>
          <w:szCs w:val="28"/>
        </w:rPr>
      </w:pP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6 检验要求</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6.1 检验项目</w:t>
      </w:r>
    </w:p>
    <w:p>
      <w:pPr>
        <w:spacing w:line="360" w:lineRule="auto"/>
        <w:jc w:val="center"/>
        <w:rPr>
          <w:rFonts w:hint="eastAsia" w:ascii="仿宋" w:hAnsi="仿宋" w:eastAsia="仿宋"/>
          <w:kern w:val="2"/>
          <w:sz w:val="24"/>
          <w:szCs w:val="24"/>
        </w:rPr>
      </w:pPr>
      <w:r>
        <w:rPr>
          <w:rFonts w:hint="eastAsia" w:ascii="仿宋" w:hAnsi="仿宋" w:eastAsia="仿宋"/>
          <w:kern w:val="2"/>
          <w:sz w:val="24"/>
          <w:szCs w:val="24"/>
        </w:rPr>
        <w:t>表</w:t>
      </w:r>
      <w:r>
        <w:rPr>
          <w:rFonts w:hint="eastAsia" w:ascii="仿宋" w:hAnsi="仿宋" w:eastAsia="仿宋"/>
          <w:kern w:val="2"/>
          <w:sz w:val="24"/>
          <w:szCs w:val="24"/>
          <w:lang w:val="en-US" w:eastAsia="zh-CN"/>
        </w:rPr>
        <w:t>2</w:t>
      </w:r>
      <w:r>
        <w:rPr>
          <w:rFonts w:hint="eastAsia" w:ascii="仿宋" w:hAnsi="仿宋" w:eastAsia="仿宋"/>
          <w:kern w:val="2"/>
          <w:sz w:val="24"/>
          <w:szCs w:val="24"/>
        </w:rPr>
        <w:t>产品检验项目</w:t>
      </w:r>
    </w:p>
    <w:tbl>
      <w:tblPr>
        <w:tblStyle w:val="7"/>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3704"/>
        <w:gridCol w:w="233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sz w:val="21"/>
                <w:szCs w:val="2"/>
                <w:vertAlign w:val="baseline"/>
              </w:rPr>
            </w:pPr>
            <w:r>
              <w:rPr>
                <w:rFonts w:hint="eastAsia"/>
                <w:sz w:val="21"/>
                <w:szCs w:val="2"/>
                <w:vertAlign w:val="baseline"/>
              </w:rPr>
              <w:t>序号</w:t>
            </w:r>
          </w:p>
        </w:tc>
        <w:tc>
          <w:tcPr>
            <w:tcW w:w="3704" w:type="dxa"/>
          </w:tcPr>
          <w:p>
            <w:pPr>
              <w:widowControl/>
              <w:spacing w:line="360" w:lineRule="auto"/>
              <w:jc w:val="left"/>
              <w:rPr>
                <w:sz w:val="21"/>
                <w:szCs w:val="2"/>
                <w:vertAlign w:val="baseline"/>
              </w:rPr>
            </w:pPr>
            <w:r>
              <w:rPr>
                <w:rFonts w:hint="eastAsia"/>
                <w:sz w:val="21"/>
                <w:szCs w:val="2"/>
                <w:vertAlign w:val="baseline"/>
              </w:rPr>
              <w:t>检验项目</w:t>
            </w:r>
          </w:p>
        </w:tc>
        <w:tc>
          <w:tcPr>
            <w:tcW w:w="2330"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rPr>
              <w:t>检验</w:t>
            </w:r>
            <w:r>
              <w:rPr>
                <w:rFonts w:hint="eastAsia"/>
                <w:sz w:val="21"/>
                <w:szCs w:val="2"/>
                <w:vertAlign w:val="baseline"/>
                <w:lang w:val="en-US" w:eastAsia="zh-CN"/>
              </w:rPr>
              <w:t>依据</w:t>
            </w:r>
          </w:p>
        </w:tc>
        <w:tc>
          <w:tcPr>
            <w:tcW w:w="2412" w:type="dxa"/>
          </w:tcPr>
          <w:p>
            <w:pPr>
              <w:widowControl/>
              <w:spacing w:line="360" w:lineRule="auto"/>
              <w:jc w:val="left"/>
              <w:rPr>
                <w:rFonts w:hint="default" w:eastAsia="宋体"/>
                <w:sz w:val="21"/>
                <w:szCs w:val="2"/>
                <w:vertAlign w:val="baseline"/>
                <w:lang w:val="en-US" w:eastAsia="zh-CN"/>
              </w:rPr>
            </w:pPr>
            <w:r>
              <w:rPr>
                <w:rFonts w:hint="eastAsia"/>
                <w:sz w:val="21"/>
                <w:szCs w:val="2"/>
                <w:vertAlign w:val="baseline"/>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1</w:t>
            </w:r>
          </w:p>
        </w:tc>
        <w:tc>
          <w:tcPr>
            <w:tcW w:w="3704" w:type="dxa"/>
          </w:tcPr>
          <w:p>
            <w:pPr>
              <w:widowControl/>
              <w:spacing w:line="360" w:lineRule="auto"/>
              <w:jc w:val="left"/>
              <w:rPr>
                <w:sz w:val="21"/>
                <w:szCs w:val="2"/>
                <w:vertAlign w:val="baseline"/>
              </w:rPr>
            </w:pPr>
            <w:r>
              <w:rPr>
                <w:sz w:val="21"/>
                <w:szCs w:val="2"/>
                <w:vertAlign w:val="baseline"/>
              </w:rPr>
              <w:t>VOC含量</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sz w:val="21"/>
                <w:szCs w:val="2"/>
                <w:vertAlign w:val="baseline"/>
              </w:rPr>
            </w:pPr>
            <w:r>
              <w:rPr>
                <w:rFonts w:hint="eastAsia"/>
                <w:sz w:val="21"/>
                <w:szCs w:val="2"/>
                <w:vertAlign w:val="baseline"/>
              </w:rPr>
              <w:t>GB 18582—2020</w:t>
            </w:r>
          </w:p>
          <w:p>
            <w:pPr>
              <w:widowControl/>
              <w:spacing w:line="360" w:lineRule="auto"/>
              <w:jc w:val="left"/>
              <w:rPr>
                <w:rFonts w:hint="eastAsia"/>
                <w:sz w:val="21"/>
                <w:szCs w:val="2"/>
                <w:vertAlign w:val="baseline"/>
              </w:rPr>
            </w:pPr>
            <w:r>
              <w:rPr>
                <w:rFonts w:hint="eastAsia"/>
                <w:sz w:val="21"/>
                <w:szCs w:val="2"/>
                <w:vertAlign w:val="baseline"/>
              </w:rPr>
              <w:t>GB/T</w:t>
            </w:r>
            <w:r>
              <w:rPr>
                <w:rFonts w:hint="eastAsia"/>
                <w:b w:val="0"/>
                <w:bCs w:val="0"/>
                <w:sz w:val="21"/>
                <w:szCs w:val="2"/>
                <w:vertAlign w:val="baseline"/>
              </w:rPr>
              <w:t xml:space="preserve"> 6750—2007</w:t>
            </w:r>
          </w:p>
          <w:p>
            <w:pPr>
              <w:widowControl/>
              <w:spacing w:line="360" w:lineRule="auto"/>
              <w:jc w:val="left"/>
              <w:rPr>
                <w:sz w:val="21"/>
                <w:szCs w:val="2"/>
                <w:vertAlign w:val="baseline"/>
              </w:rPr>
            </w:pPr>
            <w:r>
              <w:rPr>
                <w:rFonts w:hint="eastAsia"/>
                <w:sz w:val="21"/>
                <w:szCs w:val="2"/>
                <w:vertAlign w:val="baseline"/>
              </w:rPr>
              <w:t>GB/T 23986—2009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2</w:t>
            </w:r>
          </w:p>
        </w:tc>
        <w:tc>
          <w:tcPr>
            <w:tcW w:w="3704" w:type="dxa"/>
          </w:tcPr>
          <w:p>
            <w:pPr>
              <w:widowControl/>
              <w:spacing w:line="360" w:lineRule="auto"/>
              <w:jc w:val="left"/>
              <w:rPr>
                <w:sz w:val="21"/>
                <w:szCs w:val="2"/>
                <w:vertAlign w:val="baseline"/>
              </w:rPr>
            </w:pPr>
            <w:r>
              <w:rPr>
                <w:rFonts w:hint="eastAsia"/>
                <w:sz w:val="21"/>
                <w:szCs w:val="2"/>
                <w:vertAlign w:val="baseline"/>
              </w:rPr>
              <w:t>甲醛含量</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23993—2009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3</w:t>
            </w:r>
          </w:p>
        </w:tc>
        <w:tc>
          <w:tcPr>
            <w:tcW w:w="3704" w:type="dxa"/>
          </w:tcPr>
          <w:p>
            <w:pPr>
              <w:widowControl/>
              <w:spacing w:line="360" w:lineRule="auto"/>
              <w:jc w:val="left"/>
              <w:rPr>
                <w:sz w:val="21"/>
                <w:szCs w:val="2"/>
                <w:vertAlign w:val="baseline"/>
              </w:rPr>
            </w:pPr>
            <w:r>
              <w:rPr>
                <w:rFonts w:hint="eastAsia"/>
                <w:sz w:val="21"/>
                <w:szCs w:val="2"/>
                <w:vertAlign w:val="baseline"/>
              </w:rPr>
              <w:t>苯系物总和含量[限苯、甲苯、二甲苯（含乙苯）</w:t>
            </w:r>
            <w:r>
              <w:rPr>
                <w:sz w:val="21"/>
                <w:szCs w:val="2"/>
                <w:vertAlign w:val="baseline"/>
              </w:rPr>
              <w:t>]</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23990—2009（B法）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4</w:t>
            </w:r>
          </w:p>
        </w:tc>
        <w:tc>
          <w:tcPr>
            <w:tcW w:w="3704" w:type="dxa"/>
          </w:tcPr>
          <w:p>
            <w:pPr>
              <w:widowControl/>
              <w:spacing w:line="360" w:lineRule="auto"/>
              <w:jc w:val="left"/>
              <w:rPr>
                <w:sz w:val="21"/>
                <w:szCs w:val="2"/>
                <w:vertAlign w:val="baseline"/>
              </w:rPr>
            </w:pPr>
            <w:r>
              <w:rPr>
                <w:rFonts w:hint="eastAsia"/>
                <w:sz w:val="21"/>
                <w:szCs w:val="2"/>
                <w:vertAlign w:val="baseline"/>
              </w:rPr>
              <w:t>总铅（Pb）含量（限色漆）</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30647—2014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5</w:t>
            </w:r>
          </w:p>
        </w:tc>
        <w:tc>
          <w:tcPr>
            <w:tcW w:w="3704" w:type="dxa"/>
          </w:tcPr>
          <w:p>
            <w:pPr>
              <w:widowControl/>
              <w:spacing w:line="360" w:lineRule="auto"/>
              <w:jc w:val="left"/>
              <w:rPr>
                <w:sz w:val="21"/>
                <w:szCs w:val="2"/>
                <w:vertAlign w:val="baseline"/>
              </w:rPr>
            </w:pPr>
            <w:r>
              <w:rPr>
                <w:rFonts w:hint="eastAsia"/>
                <w:sz w:val="21"/>
                <w:szCs w:val="2"/>
                <w:vertAlign w:val="baseline"/>
              </w:rPr>
              <w:t>可溶性重金属含量（镉、铬、汞）（限色漆）</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23991—2009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6</w:t>
            </w:r>
          </w:p>
        </w:tc>
        <w:tc>
          <w:tcPr>
            <w:tcW w:w="3704" w:type="dxa"/>
          </w:tcPr>
          <w:p>
            <w:pPr>
              <w:widowControl/>
              <w:spacing w:line="360" w:lineRule="auto"/>
              <w:jc w:val="left"/>
              <w:rPr>
                <w:sz w:val="21"/>
                <w:szCs w:val="2"/>
                <w:vertAlign w:val="baseline"/>
              </w:rPr>
            </w:pPr>
            <w:r>
              <w:rPr>
                <w:rFonts w:hint="eastAsia"/>
                <w:sz w:val="21"/>
                <w:szCs w:val="2"/>
                <w:vertAlign w:val="baseline"/>
              </w:rPr>
              <w:t>烷基酚聚氧乙烯醚总和含量</w:t>
            </w:r>
            <w:r>
              <w:rPr>
                <w:sz w:val="21"/>
                <w:szCs w:val="2"/>
                <w:vertAlign w:val="baseline"/>
              </w:rPr>
              <w:t>{</w:t>
            </w:r>
            <w:r>
              <w:rPr>
                <w:rFonts w:hint="eastAsia"/>
                <w:sz w:val="21"/>
                <w:szCs w:val="2"/>
                <w:vertAlign w:val="baseline"/>
              </w:rPr>
              <w:t>限辛基酚聚氧乙烯醚</w:t>
            </w:r>
            <w:r>
              <w:rPr>
                <w:sz w:val="21"/>
                <w:szCs w:val="2"/>
                <w:vertAlign w:val="baseline"/>
              </w:rPr>
              <w:t>[C8H17</w:t>
            </w:r>
            <w:r>
              <w:rPr>
                <w:rFonts w:hint="eastAsia"/>
                <w:sz w:val="21"/>
                <w:szCs w:val="2"/>
                <w:vertAlign w:val="baseline"/>
              </w:rPr>
              <w:t>-</w:t>
            </w:r>
            <w:r>
              <w:rPr>
                <w:sz w:val="21"/>
                <w:szCs w:val="2"/>
                <w:vertAlign w:val="baseline"/>
              </w:rPr>
              <w:t>C6H4</w:t>
            </w:r>
            <w:r>
              <w:rPr>
                <w:rFonts w:hint="eastAsia"/>
                <w:sz w:val="21"/>
                <w:szCs w:val="2"/>
                <w:vertAlign w:val="baseline"/>
              </w:rPr>
              <w:t>-</w:t>
            </w:r>
            <w:r>
              <w:rPr>
                <w:sz w:val="21"/>
                <w:szCs w:val="2"/>
                <w:vertAlign w:val="baseline"/>
              </w:rPr>
              <w:t>(OC2H4)nOH,</w:t>
            </w:r>
            <w:r>
              <w:rPr>
                <w:rFonts w:hint="eastAsia"/>
                <w:sz w:val="21"/>
                <w:szCs w:val="2"/>
                <w:vertAlign w:val="baseline"/>
              </w:rPr>
              <w:t>简称</w:t>
            </w:r>
            <w:r>
              <w:rPr>
                <w:sz w:val="21"/>
                <w:szCs w:val="2"/>
                <w:vertAlign w:val="baseline"/>
              </w:rPr>
              <w:t>OPnEO]</w:t>
            </w:r>
            <w:r>
              <w:rPr>
                <w:rFonts w:hint="eastAsia"/>
                <w:sz w:val="21"/>
                <w:szCs w:val="2"/>
                <w:vertAlign w:val="baseline"/>
              </w:rPr>
              <w:t>和壬基酚聚氧乙烯醚</w:t>
            </w:r>
            <w:r>
              <w:rPr>
                <w:sz w:val="21"/>
                <w:szCs w:val="2"/>
                <w:vertAlign w:val="baseline"/>
              </w:rPr>
              <w:t>[C9H19</w:t>
            </w:r>
            <w:r>
              <w:rPr>
                <w:rFonts w:hint="eastAsia"/>
                <w:sz w:val="21"/>
                <w:szCs w:val="2"/>
                <w:vertAlign w:val="baseline"/>
              </w:rPr>
              <w:t>-</w:t>
            </w:r>
            <w:r>
              <w:rPr>
                <w:sz w:val="21"/>
                <w:szCs w:val="2"/>
                <w:vertAlign w:val="baseline"/>
              </w:rPr>
              <w:t>C6H4</w:t>
            </w:r>
            <w:r>
              <w:rPr>
                <w:rFonts w:hint="eastAsia"/>
                <w:sz w:val="21"/>
                <w:szCs w:val="2"/>
                <w:vertAlign w:val="baseline"/>
              </w:rPr>
              <w:t>-</w:t>
            </w:r>
            <w:r>
              <w:rPr>
                <w:sz w:val="21"/>
                <w:szCs w:val="2"/>
                <w:vertAlign w:val="baseline"/>
              </w:rPr>
              <w:t>(OC2H4)nOH,</w:t>
            </w:r>
            <w:r>
              <w:rPr>
                <w:rFonts w:hint="eastAsia"/>
                <w:sz w:val="21"/>
                <w:szCs w:val="2"/>
                <w:vertAlign w:val="baseline"/>
              </w:rPr>
              <w:t>简称</w:t>
            </w:r>
            <w:r>
              <w:rPr>
                <w:sz w:val="21"/>
                <w:szCs w:val="2"/>
                <w:vertAlign w:val="baseline"/>
              </w:rPr>
              <w:t>NPnEO],n=2</w:t>
            </w:r>
            <w:r>
              <w:rPr>
                <w:rFonts w:hint="eastAsia"/>
                <w:sz w:val="21"/>
                <w:szCs w:val="2"/>
                <w:vertAlign w:val="baseline"/>
              </w:rPr>
              <w:t>～</w:t>
            </w:r>
            <w:r>
              <w:rPr>
                <w:sz w:val="21"/>
                <w:szCs w:val="2"/>
                <w:vertAlign w:val="baseline"/>
              </w:rPr>
              <w:t>16}</w:t>
            </w:r>
          </w:p>
        </w:tc>
        <w:tc>
          <w:tcPr>
            <w:tcW w:w="2330" w:type="dxa"/>
          </w:tcPr>
          <w:p>
            <w:pPr>
              <w:widowControl/>
              <w:spacing w:line="360" w:lineRule="auto"/>
              <w:jc w:val="left"/>
              <w:rPr>
                <w:sz w:val="21"/>
                <w:szCs w:val="2"/>
                <w:vertAlign w:val="baseline"/>
              </w:rPr>
            </w:pPr>
            <w:r>
              <w:rPr>
                <w:rFonts w:hint="eastAsia"/>
                <w:sz w:val="21"/>
                <w:szCs w:val="2"/>
                <w:vertAlign w:val="baseline"/>
              </w:rPr>
              <w:t>GB 18582—2020</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31414—2015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eastAsia" w:eastAsia="宋体"/>
                <w:sz w:val="21"/>
                <w:szCs w:val="2"/>
                <w:vertAlign w:val="baseline"/>
                <w:lang w:val="en-US" w:eastAsia="zh-CN"/>
              </w:rPr>
            </w:pPr>
            <w:r>
              <w:rPr>
                <w:rFonts w:hint="eastAsia"/>
                <w:sz w:val="21"/>
                <w:szCs w:val="2"/>
                <w:vertAlign w:val="baseline"/>
                <w:lang w:val="en-US" w:eastAsia="zh-CN"/>
              </w:rPr>
              <w:t>7</w:t>
            </w:r>
          </w:p>
        </w:tc>
        <w:tc>
          <w:tcPr>
            <w:tcW w:w="3704" w:type="dxa"/>
          </w:tcPr>
          <w:p>
            <w:pPr>
              <w:widowControl/>
              <w:spacing w:line="360" w:lineRule="auto"/>
              <w:jc w:val="left"/>
              <w:rPr>
                <w:sz w:val="21"/>
                <w:szCs w:val="2"/>
                <w:vertAlign w:val="baseline"/>
              </w:rPr>
            </w:pPr>
            <w:r>
              <w:rPr>
                <w:rFonts w:hint="eastAsia"/>
                <w:sz w:val="21"/>
                <w:szCs w:val="2"/>
                <w:vertAlign w:val="baseline"/>
              </w:rPr>
              <w:t>低温稳定性</w:t>
            </w:r>
          </w:p>
        </w:tc>
        <w:tc>
          <w:tcPr>
            <w:tcW w:w="2330" w:type="dxa"/>
          </w:tcPr>
          <w:p>
            <w:pPr>
              <w:widowControl/>
              <w:spacing w:line="360" w:lineRule="auto"/>
              <w:jc w:val="left"/>
              <w:rPr>
                <w:sz w:val="21"/>
                <w:szCs w:val="2"/>
                <w:vertAlign w:val="baseline"/>
              </w:rPr>
            </w:pPr>
            <w:r>
              <w:rPr>
                <w:rFonts w:hint="eastAsia"/>
                <w:b w:val="0"/>
                <w:bCs w:val="0"/>
                <w:sz w:val="21"/>
                <w:szCs w:val="2"/>
                <w:vertAlign w:val="baseline"/>
              </w:rPr>
              <w:t>GB/T 9756—2018</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9268—2008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default"/>
                <w:sz w:val="21"/>
                <w:szCs w:val="2"/>
                <w:vertAlign w:val="baseline"/>
                <w:lang w:val="en-US" w:eastAsia="zh-CN"/>
              </w:rPr>
            </w:pPr>
            <w:r>
              <w:rPr>
                <w:rFonts w:hint="eastAsia"/>
                <w:sz w:val="21"/>
                <w:szCs w:val="2"/>
                <w:vertAlign w:val="baseline"/>
                <w:lang w:val="en-US" w:eastAsia="zh-CN"/>
              </w:rPr>
              <w:t>8</w:t>
            </w:r>
          </w:p>
        </w:tc>
        <w:tc>
          <w:tcPr>
            <w:tcW w:w="3704" w:type="dxa"/>
          </w:tcPr>
          <w:p>
            <w:pPr>
              <w:widowControl/>
              <w:spacing w:line="360" w:lineRule="auto"/>
              <w:jc w:val="left"/>
              <w:rPr>
                <w:sz w:val="21"/>
                <w:szCs w:val="2"/>
                <w:vertAlign w:val="baseline"/>
              </w:rPr>
            </w:pPr>
            <w:r>
              <w:rPr>
                <w:rFonts w:hint="eastAsia"/>
                <w:sz w:val="21"/>
                <w:szCs w:val="2"/>
                <w:vertAlign w:val="baseline"/>
              </w:rPr>
              <w:t>对比率（白色和浅色）</w:t>
            </w:r>
          </w:p>
        </w:tc>
        <w:tc>
          <w:tcPr>
            <w:tcW w:w="2330" w:type="dxa"/>
          </w:tcPr>
          <w:p>
            <w:pPr>
              <w:widowControl/>
              <w:spacing w:line="360" w:lineRule="auto"/>
              <w:jc w:val="left"/>
              <w:rPr>
                <w:sz w:val="21"/>
                <w:szCs w:val="2"/>
                <w:vertAlign w:val="baseline"/>
              </w:rPr>
            </w:pPr>
            <w:r>
              <w:rPr>
                <w:rFonts w:hint="eastAsia"/>
                <w:b w:val="0"/>
                <w:bCs w:val="0"/>
                <w:sz w:val="21"/>
                <w:szCs w:val="2"/>
                <w:vertAlign w:val="baseline"/>
              </w:rPr>
              <w:t>GB/T 9756—2018</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 xml:space="preserve">GB/T 23981—2009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55" w:type="dxa"/>
          </w:tcPr>
          <w:p>
            <w:pPr>
              <w:widowControl/>
              <w:spacing w:line="360" w:lineRule="auto"/>
              <w:jc w:val="left"/>
              <w:rPr>
                <w:rFonts w:hint="default"/>
                <w:sz w:val="21"/>
                <w:szCs w:val="2"/>
                <w:vertAlign w:val="baseline"/>
                <w:lang w:val="en-US" w:eastAsia="zh-CN"/>
              </w:rPr>
            </w:pPr>
            <w:r>
              <w:rPr>
                <w:rFonts w:hint="eastAsia"/>
                <w:sz w:val="21"/>
                <w:szCs w:val="2"/>
                <w:vertAlign w:val="baseline"/>
                <w:lang w:val="en-US" w:eastAsia="zh-CN"/>
              </w:rPr>
              <w:t>9</w:t>
            </w:r>
          </w:p>
        </w:tc>
        <w:tc>
          <w:tcPr>
            <w:tcW w:w="3704" w:type="dxa"/>
          </w:tcPr>
          <w:p>
            <w:pPr>
              <w:widowControl/>
              <w:spacing w:line="360" w:lineRule="auto"/>
              <w:jc w:val="left"/>
              <w:rPr>
                <w:sz w:val="21"/>
                <w:szCs w:val="2"/>
                <w:vertAlign w:val="baseline"/>
              </w:rPr>
            </w:pPr>
            <w:r>
              <w:rPr>
                <w:rFonts w:hint="eastAsia"/>
                <w:sz w:val="21"/>
                <w:szCs w:val="2"/>
                <w:vertAlign w:val="baseline"/>
              </w:rPr>
              <w:t>耐碱性</w:t>
            </w:r>
          </w:p>
        </w:tc>
        <w:tc>
          <w:tcPr>
            <w:tcW w:w="2330" w:type="dxa"/>
          </w:tcPr>
          <w:p>
            <w:pPr>
              <w:widowControl/>
              <w:spacing w:line="360" w:lineRule="auto"/>
              <w:jc w:val="left"/>
              <w:rPr>
                <w:sz w:val="21"/>
                <w:szCs w:val="2"/>
                <w:vertAlign w:val="baseline"/>
              </w:rPr>
            </w:pPr>
            <w:r>
              <w:rPr>
                <w:rFonts w:hint="eastAsia"/>
                <w:b w:val="0"/>
                <w:bCs w:val="0"/>
                <w:sz w:val="21"/>
                <w:szCs w:val="2"/>
                <w:vertAlign w:val="baseline"/>
              </w:rPr>
              <w:t>GB/T 9756—2018</w:t>
            </w:r>
          </w:p>
        </w:tc>
        <w:tc>
          <w:tcPr>
            <w:tcW w:w="2412" w:type="dxa"/>
          </w:tcPr>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9756—2018</w:t>
            </w:r>
          </w:p>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9265—2009</w:t>
            </w:r>
          </w:p>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1766—2008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widowControl/>
              <w:spacing w:line="360" w:lineRule="auto"/>
              <w:jc w:val="left"/>
              <w:rPr>
                <w:rFonts w:hint="default"/>
                <w:sz w:val="21"/>
                <w:szCs w:val="2"/>
                <w:vertAlign w:val="baseline"/>
                <w:lang w:val="en-US" w:eastAsia="zh-CN"/>
              </w:rPr>
            </w:pPr>
            <w:r>
              <w:rPr>
                <w:rFonts w:hint="eastAsia"/>
                <w:sz w:val="21"/>
                <w:szCs w:val="2"/>
                <w:vertAlign w:val="baseline"/>
                <w:lang w:val="en-US" w:eastAsia="zh-CN"/>
              </w:rPr>
              <w:t>10</w:t>
            </w:r>
          </w:p>
        </w:tc>
        <w:tc>
          <w:tcPr>
            <w:tcW w:w="3704" w:type="dxa"/>
          </w:tcPr>
          <w:p>
            <w:pPr>
              <w:widowControl/>
              <w:spacing w:line="360" w:lineRule="auto"/>
              <w:jc w:val="left"/>
              <w:rPr>
                <w:sz w:val="21"/>
                <w:szCs w:val="2"/>
                <w:vertAlign w:val="baseline"/>
              </w:rPr>
            </w:pPr>
            <w:r>
              <w:rPr>
                <w:rFonts w:hint="eastAsia"/>
                <w:sz w:val="21"/>
                <w:szCs w:val="2"/>
                <w:vertAlign w:val="baseline"/>
              </w:rPr>
              <w:t>耐洗刷性</w:t>
            </w:r>
          </w:p>
        </w:tc>
        <w:tc>
          <w:tcPr>
            <w:tcW w:w="2330" w:type="dxa"/>
          </w:tcPr>
          <w:p>
            <w:pPr>
              <w:widowControl/>
              <w:spacing w:line="360" w:lineRule="auto"/>
              <w:jc w:val="left"/>
              <w:rPr>
                <w:sz w:val="21"/>
                <w:szCs w:val="2"/>
                <w:vertAlign w:val="baseline"/>
              </w:rPr>
            </w:pPr>
            <w:r>
              <w:rPr>
                <w:rFonts w:hint="eastAsia"/>
                <w:b w:val="0"/>
                <w:bCs w:val="0"/>
                <w:sz w:val="21"/>
                <w:szCs w:val="2"/>
                <w:vertAlign w:val="baseline"/>
              </w:rPr>
              <w:t>GB/T 9756—2018</w:t>
            </w:r>
          </w:p>
        </w:tc>
        <w:tc>
          <w:tcPr>
            <w:tcW w:w="2412" w:type="dxa"/>
          </w:tcPr>
          <w:p>
            <w:pPr>
              <w:widowControl/>
              <w:spacing w:line="360" w:lineRule="auto"/>
              <w:jc w:val="left"/>
              <w:rPr>
                <w:rFonts w:hint="eastAsia"/>
                <w:b w:val="0"/>
                <w:bCs w:val="0"/>
                <w:sz w:val="21"/>
                <w:szCs w:val="2"/>
                <w:vertAlign w:val="baseline"/>
              </w:rPr>
            </w:pPr>
            <w:bookmarkStart w:id="3" w:name="_GoBack"/>
            <w:r>
              <w:rPr>
                <w:rFonts w:hint="eastAsia"/>
                <w:b w:val="0"/>
                <w:bCs w:val="0"/>
                <w:sz w:val="21"/>
                <w:szCs w:val="2"/>
                <w:vertAlign w:val="baseline"/>
              </w:rPr>
              <w:t>GB/T 9756—2018</w:t>
            </w:r>
          </w:p>
          <w:p>
            <w:pPr>
              <w:widowControl/>
              <w:spacing w:line="360" w:lineRule="auto"/>
              <w:jc w:val="left"/>
              <w:rPr>
                <w:rFonts w:hint="eastAsia"/>
                <w:b w:val="0"/>
                <w:bCs w:val="0"/>
                <w:sz w:val="21"/>
                <w:szCs w:val="2"/>
                <w:vertAlign w:val="baseline"/>
              </w:rPr>
            </w:pPr>
            <w:r>
              <w:rPr>
                <w:rFonts w:hint="eastAsia"/>
                <w:b w:val="0"/>
                <w:bCs w:val="0"/>
                <w:sz w:val="21"/>
                <w:szCs w:val="2"/>
                <w:vertAlign w:val="baseline"/>
              </w:rPr>
              <w:t>GB/T 9266—2009</w:t>
            </w:r>
            <w:bookmarkEnd w:id="3"/>
          </w:p>
        </w:tc>
      </w:tr>
    </w:tbl>
    <w:p>
      <w:pPr>
        <w:widowControl/>
        <w:spacing w:line="360" w:lineRule="auto"/>
        <w:jc w:val="left"/>
        <w:rPr>
          <w:sz w:val="21"/>
          <w:szCs w:val="2"/>
        </w:rPr>
      </w:pPr>
      <w:r>
        <w:rPr>
          <w:sz w:val="21"/>
          <w:szCs w:val="2"/>
        </w:rPr>
        <w:t>注：检验方法包括相关产品标准及试验方法标准。</w:t>
      </w:r>
    </w:p>
    <w:p>
      <w:pPr>
        <w:widowControl/>
        <w:spacing w:line="360" w:lineRule="auto"/>
        <w:ind w:firstLine="420" w:firstLineChars="200"/>
        <w:jc w:val="left"/>
        <w:rPr>
          <w:rFonts w:hint="eastAsia" w:ascii="仿宋" w:hAnsi="仿宋" w:eastAsia="仿宋"/>
          <w:kern w:val="2"/>
          <w:sz w:val="24"/>
          <w:szCs w:val="24"/>
        </w:rPr>
      </w:pPr>
      <w:r>
        <w:rPr>
          <w:rFonts w:hint="eastAsia"/>
          <w:sz w:val="21"/>
          <w:szCs w:val="2"/>
        </w:rPr>
        <w:t>凡是注日期的文件，其随后所有的修改单（不包括勘误的内容）或修订版不适用于本细则。凡是不注日期的文件，其最新版本适用于本细则。</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6.2 检验应注意的问题</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若被检产品明示的质量要求高于本细则中检验项目依据的标准要求时，应按被检产品明示的质量要求判定。</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若被检产品明示的质量要求低于本细则中检验项目依据的强制性标准要求时，应按照强制性标准要求判定。</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若被检产品明示的质量要求低于或包含本细则中检验项目依据的推荐性标准要求时，应以被检产品明示的质量要求判定。</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若被检产品明示的质量要求缺少本细则中检验项目依据的强制性标准要求时，应按照强制性标准要求判定。</w:t>
      </w:r>
    </w:p>
    <w:p>
      <w:pPr>
        <w:pStyle w:val="2"/>
        <w:spacing w:line="360" w:lineRule="auto"/>
        <w:ind w:firstLine="560"/>
        <w:rPr>
          <w:rFonts w:hint="eastAsia" w:ascii="仿宋" w:hAnsi="仿宋" w:eastAsia="仿宋"/>
          <w:kern w:val="2"/>
          <w:sz w:val="28"/>
          <w:szCs w:val="28"/>
        </w:rPr>
      </w:pPr>
      <w:r>
        <w:rPr>
          <w:rFonts w:hint="eastAsia" w:ascii="仿宋" w:hAnsi="仿宋" w:eastAsia="仿宋"/>
          <w:kern w:val="2"/>
          <w:sz w:val="28"/>
          <w:szCs w:val="28"/>
        </w:rPr>
        <w:t>若被检产品明示的质量要求缺少本细则中检验项目依据的推荐性标准要求时，该项目不参与判定，但应在检验报告备注中进行说明。</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7 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w:t>
      </w:r>
      <w:r>
        <w:rPr>
          <w:rFonts w:hint="eastAsia" w:ascii="仿宋" w:hAnsi="仿宋" w:eastAsia="仿宋"/>
          <w:kern w:val="2"/>
          <w:sz w:val="28"/>
          <w:szCs w:val="28"/>
        </w:rPr>
        <w:t>油漆</w:t>
      </w:r>
      <w:r>
        <w:rPr>
          <w:rFonts w:hint="eastAsia" w:ascii="仿宋" w:hAnsi="仿宋" w:eastAsia="仿宋"/>
          <w:kern w:val="2"/>
          <w:sz w:val="28"/>
          <w:szCs w:val="28"/>
          <w:lang w:eastAsia="zh-CN"/>
        </w:rPr>
        <w:t>（涂料）</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w:t>
      </w:r>
      <w:r>
        <w:rPr>
          <w:rFonts w:hint="eastAsia" w:ascii="仿宋" w:hAnsi="仿宋" w:eastAsia="仿宋"/>
          <w:kern w:val="2"/>
          <w:sz w:val="28"/>
          <w:szCs w:val="28"/>
        </w:rPr>
        <w:t>油漆</w:t>
      </w:r>
      <w:r>
        <w:rPr>
          <w:rFonts w:hint="eastAsia" w:ascii="仿宋" w:hAnsi="仿宋" w:eastAsia="仿宋"/>
          <w:kern w:val="2"/>
          <w:sz w:val="28"/>
          <w:szCs w:val="28"/>
          <w:lang w:eastAsia="zh-CN"/>
        </w:rPr>
        <w:t>（涂料）</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产品质量监督抽查实施细则》，判定为不合格。</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8 异议处理</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对判定不合格企业进行异议处理时，按以下方式进行：</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8.1 核查不合格项目相关证据，能够以记录（纸质记录或电子记录或影像记录）或与不合格项目相关联的其它质量数据等检验证据证明。</w:t>
      </w:r>
    </w:p>
    <w:p>
      <w:pPr>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8.2 对需要复检并具备检验条件的，处理企业异议的市场监督管理部门或者指定检验机构应当按原监督抽查细则对留存的样品或抽取的备用样品组织复检，复检项目如有仲裁法需用仲裁法进行复检，并出具检验报告。复检结论为最终结论。</w:t>
      </w:r>
    </w:p>
    <w:p>
      <w:pPr>
        <w:spacing w:line="360" w:lineRule="auto"/>
        <w:ind w:firstLine="562" w:firstLineChars="200"/>
        <w:rPr>
          <w:rFonts w:hint="eastAsia" w:ascii="仿宋" w:hAnsi="仿宋" w:eastAsia="仿宋"/>
          <w:b/>
          <w:kern w:val="2"/>
          <w:sz w:val="28"/>
          <w:szCs w:val="28"/>
        </w:rPr>
      </w:pPr>
      <w:r>
        <w:rPr>
          <w:rFonts w:hint="eastAsia" w:ascii="仿宋" w:hAnsi="仿宋" w:eastAsia="仿宋"/>
          <w:b/>
          <w:kern w:val="2"/>
          <w:sz w:val="28"/>
          <w:szCs w:val="28"/>
        </w:rPr>
        <w:t>9 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p>
      <w:pPr>
        <w:spacing w:line="360" w:lineRule="auto"/>
        <w:ind w:firstLine="560" w:firstLineChars="200"/>
        <w:rPr>
          <w:rFonts w:hint="eastAsia" w:ascii="仿宋" w:hAnsi="仿宋" w:eastAsia="仿宋"/>
          <w:kern w:val="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OTYzNGRiMDc4ZWJlOGNlZWNlNWM3MWQ3YzcxNjkifQ=="/>
  </w:docVars>
  <w:rsids>
    <w:rsidRoot w:val="006E4EEA"/>
    <w:rsid w:val="00004121"/>
    <w:rsid w:val="000C1036"/>
    <w:rsid w:val="00167570"/>
    <w:rsid w:val="001A6AEF"/>
    <w:rsid w:val="00237347"/>
    <w:rsid w:val="003C2244"/>
    <w:rsid w:val="004619BC"/>
    <w:rsid w:val="004B551A"/>
    <w:rsid w:val="00567686"/>
    <w:rsid w:val="005E3038"/>
    <w:rsid w:val="006159BE"/>
    <w:rsid w:val="006678F5"/>
    <w:rsid w:val="006A089C"/>
    <w:rsid w:val="006E4EEA"/>
    <w:rsid w:val="007906C6"/>
    <w:rsid w:val="007B0B1A"/>
    <w:rsid w:val="008556F4"/>
    <w:rsid w:val="008570C8"/>
    <w:rsid w:val="008F7BB2"/>
    <w:rsid w:val="00987D47"/>
    <w:rsid w:val="00A44A8B"/>
    <w:rsid w:val="00BA52FF"/>
    <w:rsid w:val="00BB7D33"/>
    <w:rsid w:val="00C06367"/>
    <w:rsid w:val="00C80E59"/>
    <w:rsid w:val="00D41941"/>
    <w:rsid w:val="00D6520D"/>
    <w:rsid w:val="00E76B14"/>
    <w:rsid w:val="00F61812"/>
    <w:rsid w:val="00FC5383"/>
    <w:rsid w:val="018177D8"/>
    <w:rsid w:val="019F06AD"/>
    <w:rsid w:val="022B18E7"/>
    <w:rsid w:val="037A57C2"/>
    <w:rsid w:val="040236EE"/>
    <w:rsid w:val="09380D3B"/>
    <w:rsid w:val="0A0D280B"/>
    <w:rsid w:val="0A79278F"/>
    <w:rsid w:val="0B4A44E2"/>
    <w:rsid w:val="0C4F6D39"/>
    <w:rsid w:val="0C5C4541"/>
    <w:rsid w:val="0E8D1065"/>
    <w:rsid w:val="0F936226"/>
    <w:rsid w:val="103511F8"/>
    <w:rsid w:val="11000269"/>
    <w:rsid w:val="116664FB"/>
    <w:rsid w:val="11D358E4"/>
    <w:rsid w:val="128C5D7F"/>
    <w:rsid w:val="12F36731"/>
    <w:rsid w:val="1328165D"/>
    <w:rsid w:val="134E67F4"/>
    <w:rsid w:val="139C4AB6"/>
    <w:rsid w:val="146574B9"/>
    <w:rsid w:val="150359EC"/>
    <w:rsid w:val="16C33528"/>
    <w:rsid w:val="1B7E4C12"/>
    <w:rsid w:val="1C840DAB"/>
    <w:rsid w:val="1CEE0783"/>
    <w:rsid w:val="1DD443AC"/>
    <w:rsid w:val="1DD54E80"/>
    <w:rsid w:val="1E827545"/>
    <w:rsid w:val="1F132CD3"/>
    <w:rsid w:val="1F89349F"/>
    <w:rsid w:val="213125FD"/>
    <w:rsid w:val="219B4C37"/>
    <w:rsid w:val="22053343"/>
    <w:rsid w:val="2333273C"/>
    <w:rsid w:val="23C71239"/>
    <w:rsid w:val="24A00A6B"/>
    <w:rsid w:val="274D78E4"/>
    <w:rsid w:val="29D75704"/>
    <w:rsid w:val="2A6F1C32"/>
    <w:rsid w:val="2E1C5B65"/>
    <w:rsid w:val="2F834955"/>
    <w:rsid w:val="30D93AC9"/>
    <w:rsid w:val="316B034D"/>
    <w:rsid w:val="31EA0205"/>
    <w:rsid w:val="31FC0A45"/>
    <w:rsid w:val="32DA2635"/>
    <w:rsid w:val="34491C65"/>
    <w:rsid w:val="357A7A38"/>
    <w:rsid w:val="357D70A8"/>
    <w:rsid w:val="36F90466"/>
    <w:rsid w:val="36F92CE8"/>
    <w:rsid w:val="397D5FB2"/>
    <w:rsid w:val="3BC677F9"/>
    <w:rsid w:val="3F3B0F1B"/>
    <w:rsid w:val="403619BC"/>
    <w:rsid w:val="408D6174"/>
    <w:rsid w:val="40B30E09"/>
    <w:rsid w:val="4167521C"/>
    <w:rsid w:val="41676503"/>
    <w:rsid w:val="41797275"/>
    <w:rsid w:val="42146EDE"/>
    <w:rsid w:val="43D56C40"/>
    <w:rsid w:val="46E62E4A"/>
    <w:rsid w:val="47357ECC"/>
    <w:rsid w:val="47BF051D"/>
    <w:rsid w:val="48F56CDF"/>
    <w:rsid w:val="4A086B0E"/>
    <w:rsid w:val="4A261609"/>
    <w:rsid w:val="4A6613C8"/>
    <w:rsid w:val="4BCE463A"/>
    <w:rsid w:val="4C741A8B"/>
    <w:rsid w:val="4DBA34B5"/>
    <w:rsid w:val="4E765ED9"/>
    <w:rsid w:val="52137B9F"/>
    <w:rsid w:val="532A6572"/>
    <w:rsid w:val="545B6849"/>
    <w:rsid w:val="54747CB1"/>
    <w:rsid w:val="57BA4FA3"/>
    <w:rsid w:val="592431BE"/>
    <w:rsid w:val="5CBA49EE"/>
    <w:rsid w:val="5CCC516F"/>
    <w:rsid w:val="5F313341"/>
    <w:rsid w:val="5F971862"/>
    <w:rsid w:val="610A50D6"/>
    <w:rsid w:val="62287B25"/>
    <w:rsid w:val="629C09CB"/>
    <w:rsid w:val="62F83F65"/>
    <w:rsid w:val="66BB0E7D"/>
    <w:rsid w:val="671F25A6"/>
    <w:rsid w:val="6AAC208E"/>
    <w:rsid w:val="6C1677CC"/>
    <w:rsid w:val="6DF7326E"/>
    <w:rsid w:val="6E800094"/>
    <w:rsid w:val="6EB82A21"/>
    <w:rsid w:val="6ED45D7F"/>
    <w:rsid w:val="7175595E"/>
    <w:rsid w:val="728E6888"/>
    <w:rsid w:val="72EB7807"/>
    <w:rsid w:val="75A753B9"/>
    <w:rsid w:val="766014B9"/>
    <w:rsid w:val="76EA73D1"/>
    <w:rsid w:val="785E24F1"/>
    <w:rsid w:val="79DA68C4"/>
    <w:rsid w:val="7A42647D"/>
    <w:rsid w:val="7A832FFF"/>
    <w:rsid w:val="7B473550"/>
    <w:rsid w:val="7BAB26C4"/>
    <w:rsid w:val="7C394707"/>
    <w:rsid w:val="7C437932"/>
    <w:rsid w:val="7C8259CE"/>
    <w:rsid w:val="7FF426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2"/>
      <w:sz w:val="80"/>
      <w:szCs w:val="80"/>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qFormat/>
    <w:uiPriority w:val="0"/>
    <w:rPr>
      <w:i/>
    </w:rPr>
  </w:style>
  <w:style w:type="character" w:styleId="10">
    <w:name w:val="Hyperlink"/>
    <w:qFormat/>
    <w:uiPriority w:val="0"/>
    <w:rPr>
      <w:color w:val="0000FF"/>
      <w:u w:val="single"/>
    </w:rPr>
  </w:style>
  <w:style w:type="character" w:customStyle="1" w:styleId="11">
    <w:name w:val="页脚 Char"/>
    <w:basedOn w:val="8"/>
    <w:link w:val="4"/>
    <w:qFormat/>
    <w:uiPriority w:val="0"/>
    <w:rPr>
      <w:rFonts w:ascii="宋体" w:hAnsi="宋体"/>
      <w:kern w:val="22"/>
      <w:sz w:val="18"/>
      <w:szCs w:val="18"/>
    </w:rPr>
  </w:style>
  <w:style w:type="character" w:customStyle="1" w:styleId="12">
    <w:name w:val="页眉 Char"/>
    <w:basedOn w:val="8"/>
    <w:link w:val="5"/>
    <w:qFormat/>
    <w:uiPriority w:val="0"/>
    <w:rPr>
      <w:rFonts w:ascii="宋体" w:hAnsi="宋体"/>
      <w:kern w:val="2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3116</Words>
  <Characters>3519</Characters>
  <Lines>45</Lines>
  <Paragraphs>12</Paragraphs>
  <TotalTime>3</TotalTime>
  <ScaleCrop>false</ScaleCrop>
  <LinksUpToDate>false</LinksUpToDate>
  <CharactersWithSpaces>3585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2020-06-08T02:41:00Z</dcterms:created>
  <dc:creator>lixw</dc:creator>
  <cp:lastModifiedBy>Administrator</cp:lastModifiedBy>
  <cp:lastPrinted>2020-05-18T08:26:00Z</cp:lastPrinted>
  <dcterms:modified xsi:type="dcterms:W3CDTF">2022-07-01T03:15:01Z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A482CB41BFD84FDD8F12276B621AE3BC</vt:lpwstr>
  </property>
</Properties>
</file>