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28720">
      <w:pPr>
        <w:ind w:firstLine="0" w:firstLineChars="0"/>
        <w:jc w:val="center"/>
        <w:outlineLvl w:val="0"/>
        <w:rPr>
          <w:rFonts w:hint="default" w:eastAsia="方正小标宋_GBK"/>
          <w:bCs/>
          <w:sz w:val="72"/>
          <w:szCs w:val="72"/>
          <w:lang w:val="en-US" w:eastAsia="zh-CN"/>
        </w:rPr>
      </w:pPr>
      <w:bookmarkStart w:id="11" w:name="_GoBack"/>
      <w:bookmarkEnd w:id="11"/>
      <w:r>
        <w:rPr>
          <w:rFonts w:hint="eastAsia" w:eastAsia="方正小标宋_GBK"/>
          <w:bCs/>
          <w:sz w:val="72"/>
          <w:szCs w:val="72"/>
          <w:lang w:eastAsia="zh-CN"/>
        </w:rPr>
        <w:t>发布时间：</w:t>
      </w:r>
      <w:r>
        <w:rPr>
          <w:rFonts w:hint="eastAsia" w:eastAsia="方正小标宋_GBK"/>
          <w:bCs/>
          <w:sz w:val="72"/>
          <w:szCs w:val="72"/>
          <w:lang w:val="en-US" w:eastAsia="zh-CN"/>
        </w:rPr>
        <w:t>5.4</w:t>
      </w:r>
    </w:p>
    <w:p w14:paraId="4B9DCF42">
      <w:pPr>
        <w:ind w:firstLine="0" w:firstLineChars="0"/>
        <w:jc w:val="center"/>
        <w:outlineLvl w:val="0"/>
        <w:rPr>
          <w:rFonts w:eastAsia="方正小标宋_GBK"/>
          <w:bCs/>
          <w:sz w:val="72"/>
          <w:szCs w:val="72"/>
        </w:rPr>
      </w:pPr>
      <w:r>
        <w:rPr>
          <w:rFonts w:eastAsia="方正小标宋_GBK"/>
          <w:bCs/>
          <w:sz w:val="72"/>
          <w:szCs w:val="72"/>
        </w:rPr>
        <w:t>建设项目环境影响报告表</w:t>
      </w:r>
    </w:p>
    <w:p w14:paraId="4305D81C">
      <w:pPr>
        <w:spacing w:beforeLines="80"/>
        <w:ind w:firstLine="0" w:firstLineChars="0"/>
        <w:jc w:val="center"/>
        <w:rPr>
          <w:rFonts w:eastAsia="楷体_GB2312"/>
          <w:bCs/>
          <w:sz w:val="48"/>
          <w:szCs w:val="48"/>
        </w:rPr>
      </w:pPr>
      <w:r>
        <w:rPr>
          <w:rFonts w:eastAsia="楷体_GB2312"/>
          <w:bCs/>
          <w:sz w:val="48"/>
          <w:szCs w:val="48"/>
        </w:rPr>
        <w:t>（污染影响类）</w:t>
      </w:r>
    </w:p>
    <w:p w14:paraId="23E9359A">
      <w:pPr>
        <w:pStyle w:val="28"/>
        <w:ind w:firstLine="480"/>
        <w:jc w:val="center"/>
        <w:rPr>
          <w:rFonts w:hint="default" w:eastAsia="宋体"/>
          <w:highlight w:val="yellow"/>
          <w:lang w:val="en-US" w:eastAsia="zh-CN"/>
        </w:rPr>
      </w:pPr>
    </w:p>
    <w:p w14:paraId="76DD6F1B">
      <w:pPr>
        <w:pStyle w:val="28"/>
        <w:ind w:firstLine="480"/>
      </w:pPr>
    </w:p>
    <w:p w14:paraId="4C4ABB27">
      <w:pPr>
        <w:pStyle w:val="28"/>
        <w:ind w:firstLine="480"/>
      </w:pPr>
    </w:p>
    <w:p w14:paraId="1775E46C">
      <w:pPr>
        <w:pStyle w:val="28"/>
        <w:ind w:firstLine="480"/>
      </w:pPr>
    </w:p>
    <w:p w14:paraId="14BAE864">
      <w:pPr>
        <w:ind w:firstLine="880"/>
        <w:rPr>
          <w:rFonts w:eastAsia="仿宋"/>
          <w:sz w:val="44"/>
          <w:szCs w:val="44"/>
        </w:rPr>
      </w:pPr>
    </w:p>
    <w:p w14:paraId="41FD07A0">
      <w:pPr>
        <w:pStyle w:val="28"/>
        <w:ind w:firstLine="480"/>
      </w:pPr>
    </w:p>
    <w:p w14:paraId="72A3E582">
      <w:pPr>
        <w:pStyle w:val="28"/>
        <w:ind w:firstLine="480"/>
      </w:pPr>
    </w:p>
    <w:p w14:paraId="56BC772C">
      <w:pPr>
        <w:pStyle w:val="28"/>
        <w:ind w:firstLine="480"/>
      </w:pPr>
    </w:p>
    <w:p w14:paraId="5610E301">
      <w:pPr>
        <w:spacing w:line="288" w:lineRule="auto"/>
        <w:ind w:firstLine="0" w:firstLineChars="0"/>
        <w:rPr>
          <w:rFonts w:eastAsia="仿宋_GB2312"/>
          <w:sz w:val="32"/>
          <w:szCs w:val="32"/>
          <w:u w:val="single"/>
        </w:rPr>
      </w:pPr>
      <w:r>
        <w:rPr>
          <w:rFonts w:eastAsia="仿宋_GB2312"/>
          <w:sz w:val="32"/>
          <w:szCs w:val="32"/>
        </w:rPr>
        <w:t>项目名称：</w:t>
      </w:r>
      <w:r>
        <w:rPr>
          <w:rFonts w:eastAsia="仿宋_GB2312"/>
          <w:sz w:val="32"/>
          <w:szCs w:val="32"/>
          <w:u w:val="single"/>
        </w:rPr>
        <w:t xml:space="preserve">15万立方米/年复合不燃隔热保温新材料生产项目   </w:t>
      </w:r>
    </w:p>
    <w:p w14:paraId="38A19239">
      <w:pPr>
        <w:spacing w:line="288" w:lineRule="auto"/>
        <w:ind w:firstLine="0" w:firstLineChars="0"/>
        <w:rPr>
          <w:rFonts w:eastAsia="仿宋_GB2312"/>
          <w:sz w:val="32"/>
          <w:szCs w:val="32"/>
          <w:u w:val="single"/>
        </w:rPr>
      </w:pPr>
      <w:r>
        <w:rPr>
          <w:rFonts w:eastAsia="仿宋_GB2312"/>
          <w:sz w:val="32"/>
          <w:szCs w:val="32"/>
        </w:rPr>
        <w:t>建设单位（盖章）：</w:t>
      </w:r>
      <w:r>
        <w:rPr>
          <w:rFonts w:eastAsia="仿宋_GB2312"/>
          <w:sz w:val="32"/>
          <w:szCs w:val="32"/>
          <w:u w:val="single"/>
        </w:rPr>
        <w:t xml:space="preserve"> 上海德迈世欧化工有限公司辽宁分公司   </w:t>
      </w:r>
    </w:p>
    <w:p w14:paraId="0DA09419">
      <w:pPr>
        <w:spacing w:line="288" w:lineRule="auto"/>
        <w:ind w:firstLine="0" w:firstLineChars="0"/>
        <w:rPr>
          <w:rFonts w:eastAsia="仿宋_GB2312"/>
          <w:sz w:val="36"/>
          <w:szCs w:val="36"/>
          <w:u w:val="single"/>
        </w:rPr>
      </w:pPr>
      <w:r>
        <w:rPr>
          <w:rFonts w:eastAsia="仿宋_GB2312"/>
          <w:sz w:val="32"/>
          <w:szCs w:val="32"/>
        </w:rPr>
        <w:t>编制日期：</w:t>
      </w:r>
      <w:r>
        <w:rPr>
          <w:rFonts w:eastAsia="仿宋_GB2312"/>
          <w:sz w:val="32"/>
          <w:szCs w:val="32"/>
          <w:u w:val="single"/>
        </w:rPr>
        <w:t xml:space="preserve">                  2022年</w:t>
      </w:r>
      <w:r>
        <w:rPr>
          <w:rFonts w:eastAsia="仿宋_GB2312"/>
          <w:color w:val="FF0000"/>
          <w:sz w:val="32"/>
          <w:szCs w:val="32"/>
          <w:highlight w:val="none"/>
          <w:u w:val="single"/>
        </w:rPr>
        <w:t>4</w:t>
      </w:r>
      <w:r>
        <w:rPr>
          <w:rFonts w:eastAsia="仿宋_GB2312"/>
          <w:sz w:val="32"/>
          <w:szCs w:val="32"/>
          <w:u w:val="single"/>
        </w:rPr>
        <w:t xml:space="preserve">月                    </w:t>
      </w:r>
      <w:r>
        <w:rPr>
          <w:rFonts w:eastAsia="仿宋_GB2312"/>
          <w:sz w:val="36"/>
          <w:szCs w:val="36"/>
          <w:u w:val="single"/>
        </w:rPr>
        <w:t xml:space="preserve"> </w:t>
      </w:r>
    </w:p>
    <w:p w14:paraId="5225351A">
      <w:pPr>
        <w:spacing w:line="288" w:lineRule="auto"/>
        <w:ind w:firstLine="720"/>
        <w:rPr>
          <w:rFonts w:eastAsia="仿宋_GB2312"/>
          <w:sz w:val="36"/>
          <w:szCs w:val="36"/>
          <w:u w:val="single"/>
        </w:rPr>
      </w:pPr>
      <w:bookmarkStart w:id="0" w:name="_Hlk57884087"/>
    </w:p>
    <w:p w14:paraId="074DE0E9">
      <w:pPr>
        <w:spacing w:line="288" w:lineRule="auto"/>
        <w:ind w:firstLine="720"/>
        <w:rPr>
          <w:rFonts w:eastAsia="仿宋_GB2312"/>
          <w:sz w:val="36"/>
          <w:szCs w:val="36"/>
        </w:rPr>
      </w:pPr>
    </w:p>
    <w:bookmarkEnd w:id="0"/>
    <w:p w14:paraId="00CB7010">
      <w:pPr>
        <w:spacing w:line="288" w:lineRule="auto"/>
        <w:ind w:firstLine="720"/>
        <w:jc w:val="center"/>
        <w:rPr>
          <w:rFonts w:hint="eastAsia" w:eastAsia="楷体_GB2312"/>
          <w:sz w:val="36"/>
          <w:szCs w:val="36"/>
        </w:rPr>
      </w:pPr>
      <w:r>
        <w:rPr>
          <w:rFonts w:eastAsia="楷体_GB2312"/>
          <w:sz w:val="36"/>
          <w:szCs w:val="36"/>
        </w:rPr>
        <w:t>中华人民共和国生态环境部制</w:t>
      </w:r>
    </w:p>
    <w:p w14:paraId="1F29EDDD">
      <w:pPr>
        <w:pStyle w:val="28"/>
        <w:ind w:firstLine="480"/>
      </w:pPr>
    </w:p>
    <w:p w14:paraId="7E9D613F">
      <w:pPr>
        <w:ind w:firstLine="480"/>
        <w:sectPr>
          <w:headerReference r:id="rId7" w:type="first"/>
          <w:footerReference r:id="rId10" w:type="first"/>
          <w:headerReference r:id="rId5" w:type="default"/>
          <w:footerReference r:id="rId8" w:type="default"/>
          <w:headerReference r:id="rId6" w:type="even"/>
          <w:footerReference r:id="rId9" w:type="even"/>
          <w:pgSz w:w="11907" w:h="16840"/>
          <w:pgMar w:top="1474" w:right="1701" w:bottom="1474" w:left="1701" w:header="851" w:footer="907" w:gutter="0"/>
          <w:cols w:space="720" w:num="1"/>
          <w:docGrid w:linePitch="312" w:charSpace="0"/>
        </w:sectPr>
      </w:pPr>
    </w:p>
    <w:p w14:paraId="502AC26F">
      <w:pPr>
        <w:pStyle w:val="3"/>
        <w:spacing w:before="120"/>
      </w:pPr>
      <w:r>
        <w:t>一、建设项目基本情况</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47"/>
        <w:gridCol w:w="2595"/>
        <w:gridCol w:w="2044"/>
        <w:gridCol w:w="2745"/>
      </w:tblGrid>
      <w:tr w14:paraId="02222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72" w:type="pct"/>
            <w:tcMar>
              <w:top w:w="16" w:type="dxa"/>
              <w:left w:w="16" w:type="dxa"/>
              <w:right w:w="16" w:type="dxa"/>
            </w:tcMar>
            <w:vAlign w:val="center"/>
          </w:tcPr>
          <w:p w14:paraId="129A9CE7">
            <w:pPr>
              <w:pStyle w:val="34"/>
              <w:spacing w:before="48" w:after="48"/>
              <w:rPr>
                <w:b/>
                <w:bCs/>
              </w:rPr>
            </w:pPr>
            <w:r>
              <w:rPr>
                <w:b/>
                <w:bCs/>
              </w:rPr>
              <w:t>建设项目名称</w:t>
            </w:r>
          </w:p>
        </w:tc>
        <w:tc>
          <w:tcPr>
            <w:tcW w:w="4328" w:type="pct"/>
            <w:gridSpan w:val="3"/>
            <w:vAlign w:val="center"/>
          </w:tcPr>
          <w:p w14:paraId="72BE44B2">
            <w:pPr>
              <w:pStyle w:val="34"/>
              <w:spacing w:before="48" w:after="48"/>
            </w:pPr>
            <w:r>
              <w:t>15万立方米/年复合不燃隔热保温新材料生产项目</w:t>
            </w:r>
          </w:p>
        </w:tc>
      </w:tr>
      <w:tr w14:paraId="3988DA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72" w:type="pct"/>
            <w:tcMar>
              <w:top w:w="16" w:type="dxa"/>
              <w:left w:w="16" w:type="dxa"/>
              <w:right w:w="16" w:type="dxa"/>
            </w:tcMar>
            <w:vAlign w:val="center"/>
          </w:tcPr>
          <w:p w14:paraId="3276356E">
            <w:pPr>
              <w:pStyle w:val="34"/>
              <w:spacing w:before="48" w:after="48"/>
              <w:rPr>
                <w:b/>
                <w:bCs/>
              </w:rPr>
            </w:pPr>
            <w:r>
              <w:rPr>
                <w:b/>
                <w:bCs/>
              </w:rPr>
              <w:t>项目代码</w:t>
            </w:r>
          </w:p>
        </w:tc>
        <w:tc>
          <w:tcPr>
            <w:tcW w:w="4328" w:type="pct"/>
            <w:gridSpan w:val="3"/>
            <w:vAlign w:val="center"/>
          </w:tcPr>
          <w:p w14:paraId="06E15115">
            <w:pPr>
              <w:pStyle w:val="34"/>
              <w:spacing w:before="48" w:after="48"/>
            </w:pPr>
            <w:r>
              <w:t>2202-211122-04-03-502438</w:t>
            </w:r>
          </w:p>
        </w:tc>
      </w:tr>
      <w:tr w14:paraId="0289D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72" w:type="pct"/>
            <w:tcMar>
              <w:top w:w="16" w:type="dxa"/>
              <w:left w:w="16" w:type="dxa"/>
              <w:right w:w="16" w:type="dxa"/>
            </w:tcMar>
            <w:vAlign w:val="center"/>
          </w:tcPr>
          <w:p w14:paraId="0F2C5608">
            <w:pPr>
              <w:pStyle w:val="34"/>
              <w:spacing w:before="48" w:after="48"/>
              <w:rPr>
                <w:b/>
                <w:bCs/>
              </w:rPr>
            </w:pPr>
            <w:r>
              <w:rPr>
                <w:b/>
                <w:bCs/>
              </w:rPr>
              <w:t>建设单位联系人</w:t>
            </w:r>
          </w:p>
        </w:tc>
        <w:tc>
          <w:tcPr>
            <w:tcW w:w="1521" w:type="pct"/>
            <w:vAlign w:val="center"/>
          </w:tcPr>
          <w:p w14:paraId="17EC9B08">
            <w:pPr>
              <w:pStyle w:val="34"/>
              <w:spacing w:before="48" w:after="48"/>
            </w:pPr>
            <w:r>
              <w:t>常仁德</w:t>
            </w:r>
          </w:p>
        </w:tc>
        <w:tc>
          <w:tcPr>
            <w:tcW w:w="1198" w:type="pct"/>
            <w:vAlign w:val="center"/>
          </w:tcPr>
          <w:p w14:paraId="2EA70ABF">
            <w:pPr>
              <w:pStyle w:val="34"/>
              <w:spacing w:before="48" w:after="48"/>
            </w:pPr>
            <w:r>
              <w:t>联系方式</w:t>
            </w:r>
          </w:p>
        </w:tc>
        <w:tc>
          <w:tcPr>
            <w:tcW w:w="1609" w:type="pct"/>
            <w:vAlign w:val="center"/>
          </w:tcPr>
          <w:p w14:paraId="3BC2F02E">
            <w:pPr>
              <w:pStyle w:val="34"/>
              <w:spacing w:before="48" w:after="48"/>
            </w:pPr>
            <w:r>
              <w:t>13304119497</w:t>
            </w:r>
          </w:p>
        </w:tc>
      </w:tr>
      <w:tr w14:paraId="42065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72" w:type="pct"/>
            <w:tcMar>
              <w:top w:w="16" w:type="dxa"/>
              <w:left w:w="16" w:type="dxa"/>
              <w:right w:w="16" w:type="dxa"/>
            </w:tcMar>
            <w:vAlign w:val="center"/>
          </w:tcPr>
          <w:p w14:paraId="7FA66D0F">
            <w:pPr>
              <w:pStyle w:val="34"/>
              <w:spacing w:before="48" w:after="48"/>
              <w:rPr>
                <w:b/>
                <w:bCs/>
              </w:rPr>
            </w:pPr>
            <w:r>
              <w:rPr>
                <w:b/>
                <w:bCs/>
              </w:rPr>
              <w:t>建设地点</w:t>
            </w:r>
          </w:p>
        </w:tc>
        <w:tc>
          <w:tcPr>
            <w:tcW w:w="4328" w:type="pct"/>
            <w:gridSpan w:val="3"/>
            <w:vAlign w:val="center"/>
          </w:tcPr>
          <w:p w14:paraId="2E62A406">
            <w:pPr>
              <w:pStyle w:val="34"/>
              <w:spacing w:before="48" w:after="48"/>
            </w:pPr>
            <w:r>
              <w:t>辽宁省盘锦市盘山县辽宁新材料产业经济开发区</w:t>
            </w:r>
          </w:p>
        </w:tc>
      </w:tr>
      <w:tr w14:paraId="06001D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72" w:type="pct"/>
            <w:tcMar>
              <w:top w:w="16" w:type="dxa"/>
              <w:left w:w="16" w:type="dxa"/>
              <w:right w:w="16" w:type="dxa"/>
            </w:tcMar>
            <w:vAlign w:val="center"/>
          </w:tcPr>
          <w:p w14:paraId="661DE2AC">
            <w:pPr>
              <w:pStyle w:val="34"/>
              <w:spacing w:before="48" w:after="48"/>
              <w:rPr>
                <w:b/>
                <w:bCs/>
              </w:rPr>
            </w:pPr>
            <w:r>
              <w:rPr>
                <w:b/>
                <w:bCs/>
              </w:rPr>
              <w:t>地理坐标</w:t>
            </w:r>
          </w:p>
        </w:tc>
        <w:tc>
          <w:tcPr>
            <w:tcW w:w="4328" w:type="pct"/>
            <w:gridSpan w:val="3"/>
            <w:vAlign w:val="center"/>
          </w:tcPr>
          <w:p w14:paraId="20CC579A">
            <w:pPr>
              <w:pStyle w:val="34"/>
              <w:spacing w:before="48" w:after="48"/>
            </w:pPr>
            <w:r>
              <w:t>东经：121°59'55.030"；北纬：41°14'49.440"</w:t>
            </w:r>
          </w:p>
        </w:tc>
      </w:tr>
      <w:tr w14:paraId="793814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672" w:type="pct"/>
            <w:tcMar>
              <w:top w:w="16" w:type="dxa"/>
              <w:left w:w="16" w:type="dxa"/>
              <w:right w:w="16" w:type="dxa"/>
            </w:tcMar>
            <w:vAlign w:val="center"/>
          </w:tcPr>
          <w:p w14:paraId="45A33377">
            <w:pPr>
              <w:pStyle w:val="34"/>
              <w:spacing w:before="48" w:after="48"/>
              <w:rPr>
                <w:b/>
                <w:bCs/>
              </w:rPr>
            </w:pPr>
            <w:r>
              <w:rPr>
                <w:b/>
                <w:bCs/>
              </w:rPr>
              <w:t>国民经济</w:t>
            </w:r>
          </w:p>
          <w:p w14:paraId="7E2F82F4">
            <w:pPr>
              <w:pStyle w:val="34"/>
              <w:spacing w:before="48" w:after="48"/>
              <w:rPr>
                <w:b/>
                <w:bCs/>
                <w:highlight w:val="yellow"/>
              </w:rPr>
            </w:pPr>
            <w:r>
              <w:rPr>
                <w:b/>
                <w:bCs/>
              </w:rPr>
              <w:t>行业类别</w:t>
            </w:r>
          </w:p>
        </w:tc>
        <w:tc>
          <w:tcPr>
            <w:tcW w:w="1521" w:type="pct"/>
            <w:vAlign w:val="center"/>
          </w:tcPr>
          <w:p w14:paraId="3226108B">
            <w:pPr>
              <w:pStyle w:val="34"/>
              <w:spacing w:before="48" w:after="48"/>
              <w:rPr>
                <w:highlight w:val="yellow"/>
              </w:rPr>
            </w:pPr>
            <w:r>
              <w:rPr>
                <w:szCs w:val="21"/>
              </w:rPr>
              <w:t>C3034 隔热和隔音材料制造</w:t>
            </w:r>
          </w:p>
        </w:tc>
        <w:tc>
          <w:tcPr>
            <w:tcW w:w="1198" w:type="pct"/>
            <w:vAlign w:val="center"/>
          </w:tcPr>
          <w:p w14:paraId="789CC846">
            <w:pPr>
              <w:pStyle w:val="34"/>
              <w:spacing w:before="48" w:after="48"/>
              <w:rPr>
                <w:b/>
                <w:bCs/>
              </w:rPr>
            </w:pPr>
            <w:bookmarkStart w:id="1" w:name="_Hlk49843745"/>
            <w:r>
              <w:rPr>
                <w:b/>
                <w:bCs/>
              </w:rPr>
              <w:t>建设项目</w:t>
            </w:r>
          </w:p>
          <w:p w14:paraId="458B5277">
            <w:pPr>
              <w:pStyle w:val="34"/>
              <w:spacing w:before="48" w:after="48"/>
              <w:rPr>
                <w:b/>
                <w:bCs/>
              </w:rPr>
            </w:pPr>
            <w:r>
              <w:rPr>
                <w:b/>
                <w:bCs/>
              </w:rPr>
              <w:t>行业类别</w:t>
            </w:r>
            <w:bookmarkEnd w:id="1"/>
          </w:p>
        </w:tc>
        <w:tc>
          <w:tcPr>
            <w:tcW w:w="1609" w:type="pct"/>
            <w:vAlign w:val="center"/>
          </w:tcPr>
          <w:p w14:paraId="15A0784D">
            <w:pPr>
              <w:pStyle w:val="34"/>
              <w:spacing w:before="48" w:after="48"/>
            </w:pPr>
            <w:r>
              <w:t>二十七、非金属矿物制品业30-56砖瓦、石材等建筑材料制造303-粘土砖瓦及建筑砌块制造；建筑用石加工；防水建筑材料制造；隔热、隔音材料制造；其他建筑材料制造（含干粉砂浆搅拌站）以上均不含利用石材板材切割、打磨、成型的</w:t>
            </w:r>
          </w:p>
        </w:tc>
      </w:tr>
      <w:tr w14:paraId="376227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672" w:type="pct"/>
            <w:tcMar>
              <w:top w:w="16" w:type="dxa"/>
              <w:left w:w="16" w:type="dxa"/>
              <w:right w:w="16" w:type="dxa"/>
            </w:tcMar>
            <w:vAlign w:val="center"/>
          </w:tcPr>
          <w:p w14:paraId="25830DAB">
            <w:pPr>
              <w:pStyle w:val="34"/>
              <w:spacing w:before="48" w:after="48"/>
              <w:rPr>
                <w:b/>
                <w:bCs/>
              </w:rPr>
            </w:pPr>
            <w:r>
              <w:rPr>
                <w:b/>
                <w:bCs/>
              </w:rPr>
              <w:t>建设性质</w:t>
            </w:r>
          </w:p>
        </w:tc>
        <w:tc>
          <w:tcPr>
            <w:tcW w:w="1521" w:type="pct"/>
            <w:vAlign w:val="center"/>
          </w:tcPr>
          <w:p w14:paraId="674E2C31">
            <w:pPr>
              <w:pStyle w:val="34"/>
              <w:spacing w:before="48" w:after="48"/>
              <w:jc w:val="left"/>
            </w:pPr>
            <w:r>
              <w:rPr/>
              <w:sym w:font="Wingdings 2" w:char="0052"/>
            </w:r>
            <w:r>
              <w:t>新建（迁建）</w:t>
            </w:r>
          </w:p>
          <w:p w14:paraId="6A0C90D0">
            <w:pPr>
              <w:pStyle w:val="34"/>
              <w:spacing w:before="48" w:after="48"/>
              <w:jc w:val="left"/>
            </w:pPr>
            <w:r>
              <w:rPr/>
              <w:sym w:font="Wingdings 2" w:char="00A3"/>
            </w:r>
            <w:r>
              <w:t>改建</w:t>
            </w:r>
          </w:p>
          <w:p w14:paraId="2F7400AB">
            <w:pPr>
              <w:pStyle w:val="34"/>
              <w:spacing w:before="48" w:after="48"/>
              <w:jc w:val="left"/>
            </w:pPr>
            <w:r>
              <w:rPr/>
              <w:sym w:font="Wingdings 2" w:char="00A3"/>
            </w:r>
            <w:r>
              <w:t>扩建</w:t>
            </w:r>
          </w:p>
          <w:p w14:paraId="31CA5C73">
            <w:pPr>
              <w:pStyle w:val="34"/>
              <w:spacing w:before="48" w:after="48"/>
              <w:jc w:val="left"/>
            </w:pPr>
            <w:r>
              <w:rPr/>
              <w:sym w:font="Wingdings 2" w:char="00A3"/>
            </w:r>
            <w:r>
              <w:t>技术改造</w:t>
            </w:r>
          </w:p>
        </w:tc>
        <w:tc>
          <w:tcPr>
            <w:tcW w:w="1198" w:type="pct"/>
            <w:vAlign w:val="center"/>
          </w:tcPr>
          <w:p w14:paraId="6395BC6A">
            <w:pPr>
              <w:pStyle w:val="34"/>
              <w:spacing w:before="48" w:after="48"/>
              <w:rPr>
                <w:b/>
                <w:bCs/>
              </w:rPr>
            </w:pPr>
            <w:r>
              <w:rPr>
                <w:b/>
                <w:bCs/>
              </w:rPr>
              <w:t>建设项目</w:t>
            </w:r>
          </w:p>
          <w:p w14:paraId="4092326F">
            <w:pPr>
              <w:pStyle w:val="34"/>
              <w:spacing w:before="48" w:after="48"/>
              <w:rPr>
                <w:b/>
                <w:bCs/>
              </w:rPr>
            </w:pPr>
            <w:r>
              <w:rPr>
                <w:b/>
                <w:bCs/>
              </w:rPr>
              <w:t>申报情形</w:t>
            </w:r>
          </w:p>
        </w:tc>
        <w:tc>
          <w:tcPr>
            <w:tcW w:w="1609" w:type="pct"/>
            <w:vAlign w:val="center"/>
          </w:tcPr>
          <w:p w14:paraId="70E74F97">
            <w:pPr>
              <w:pStyle w:val="34"/>
              <w:spacing w:before="48" w:after="48"/>
              <w:jc w:val="left"/>
            </w:pPr>
            <w:r>
              <w:rPr/>
              <w:sym w:font="Wingdings 2" w:char="0052"/>
            </w:r>
            <w:r>
              <w:t xml:space="preserve">首次申报项目             </w:t>
            </w:r>
          </w:p>
          <w:p w14:paraId="66B41594">
            <w:pPr>
              <w:pStyle w:val="34"/>
              <w:spacing w:before="48" w:after="48"/>
              <w:jc w:val="left"/>
            </w:pPr>
            <w:r>
              <w:rPr/>
              <w:sym w:font="Wingdings 2" w:char="00A3"/>
            </w:r>
            <w:r>
              <w:t>不予批准后再次申报项目</w:t>
            </w:r>
          </w:p>
          <w:p w14:paraId="25C35B2E">
            <w:pPr>
              <w:pStyle w:val="34"/>
              <w:spacing w:before="48" w:after="48"/>
              <w:jc w:val="left"/>
            </w:pPr>
            <w:r>
              <w:rPr/>
              <w:sym w:font="Wingdings 2" w:char="00A3"/>
            </w:r>
            <w:r>
              <w:t xml:space="preserve">超五年重新审核项目     </w:t>
            </w:r>
          </w:p>
          <w:p w14:paraId="3AA2FFA4">
            <w:pPr>
              <w:pStyle w:val="34"/>
              <w:spacing w:before="48" w:after="48"/>
              <w:jc w:val="left"/>
            </w:pPr>
            <w:r>
              <w:rPr/>
              <w:sym w:font="Wingdings 2" w:char="00A3"/>
            </w:r>
            <w:r>
              <w:t>重大变动重新报批项目</w:t>
            </w:r>
          </w:p>
        </w:tc>
      </w:tr>
      <w:tr w14:paraId="389FF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672" w:type="pct"/>
            <w:tcMar>
              <w:top w:w="16" w:type="dxa"/>
              <w:left w:w="16" w:type="dxa"/>
              <w:right w:w="16" w:type="dxa"/>
            </w:tcMar>
            <w:vAlign w:val="center"/>
          </w:tcPr>
          <w:p w14:paraId="66C39A6C">
            <w:pPr>
              <w:pStyle w:val="34"/>
              <w:spacing w:before="48" w:after="48"/>
              <w:rPr>
                <w:b/>
                <w:bCs/>
              </w:rPr>
            </w:pPr>
            <w:r>
              <w:rPr>
                <w:b/>
                <w:bCs/>
              </w:rPr>
              <w:t>项目审批（核准/</w:t>
            </w:r>
          </w:p>
          <w:p w14:paraId="6EEDAC97">
            <w:pPr>
              <w:pStyle w:val="34"/>
              <w:spacing w:before="48" w:after="48"/>
              <w:rPr>
                <w:b/>
                <w:bCs/>
              </w:rPr>
            </w:pPr>
            <w:r>
              <w:rPr>
                <w:b/>
                <w:bCs/>
              </w:rPr>
              <w:t>备案）部门（选填）</w:t>
            </w:r>
          </w:p>
        </w:tc>
        <w:tc>
          <w:tcPr>
            <w:tcW w:w="1521" w:type="pct"/>
            <w:vAlign w:val="center"/>
          </w:tcPr>
          <w:p w14:paraId="79CA123A">
            <w:pPr>
              <w:pStyle w:val="34"/>
              <w:spacing w:before="48" w:after="48"/>
            </w:pPr>
            <w:r>
              <w:t>盘山县发展和改革局</w:t>
            </w:r>
          </w:p>
        </w:tc>
        <w:tc>
          <w:tcPr>
            <w:tcW w:w="1198" w:type="pct"/>
            <w:vAlign w:val="center"/>
          </w:tcPr>
          <w:p w14:paraId="1AF47F24">
            <w:pPr>
              <w:pStyle w:val="34"/>
              <w:spacing w:before="48" w:after="48"/>
              <w:rPr>
                <w:b/>
                <w:bCs/>
              </w:rPr>
            </w:pPr>
            <w:r>
              <w:rPr>
                <w:b/>
                <w:bCs/>
              </w:rPr>
              <w:t>项目审批（核准/</w:t>
            </w:r>
          </w:p>
          <w:p w14:paraId="5804B69C">
            <w:pPr>
              <w:pStyle w:val="34"/>
              <w:spacing w:before="48" w:after="48"/>
              <w:rPr>
                <w:b/>
                <w:bCs/>
              </w:rPr>
            </w:pPr>
            <w:r>
              <w:rPr>
                <w:b/>
                <w:bCs/>
              </w:rPr>
              <w:t>备案）文号（选填）</w:t>
            </w:r>
          </w:p>
        </w:tc>
        <w:tc>
          <w:tcPr>
            <w:tcW w:w="1609" w:type="pct"/>
            <w:vAlign w:val="center"/>
          </w:tcPr>
          <w:p w14:paraId="07DB2B49">
            <w:pPr>
              <w:pStyle w:val="34"/>
              <w:spacing w:before="48" w:after="48"/>
            </w:pPr>
            <w:r>
              <w:t>盘县行备[2022]22号</w:t>
            </w:r>
          </w:p>
        </w:tc>
      </w:tr>
      <w:tr w14:paraId="780C6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72" w:type="pct"/>
            <w:tcMar>
              <w:top w:w="16" w:type="dxa"/>
              <w:left w:w="16" w:type="dxa"/>
              <w:right w:w="16" w:type="dxa"/>
            </w:tcMar>
            <w:vAlign w:val="center"/>
          </w:tcPr>
          <w:p w14:paraId="1C80419D">
            <w:pPr>
              <w:pStyle w:val="34"/>
              <w:spacing w:before="48" w:after="48"/>
              <w:rPr>
                <w:b/>
                <w:bCs/>
              </w:rPr>
            </w:pPr>
            <w:r>
              <w:rPr>
                <w:b/>
                <w:bCs/>
              </w:rPr>
              <w:t>总投资（万元）</w:t>
            </w:r>
          </w:p>
        </w:tc>
        <w:tc>
          <w:tcPr>
            <w:tcW w:w="1521" w:type="pct"/>
            <w:vAlign w:val="center"/>
          </w:tcPr>
          <w:p w14:paraId="3D2FFFE3">
            <w:pPr>
              <w:pStyle w:val="34"/>
              <w:spacing w:before="48" w:after="48"/>
            </w:pPr>
            <w:r>
              <w:t>2360</w:t>
            </w:r>
          </w:p>
        </w:tc>
        <w:tc>
          <w:tcPr>
            <w:tcW w:w="1198" w:type="pct"/>
            <w:tcMar>
              <w:top w:w="16" w:type="dxa"/>
              <w:left w:w="16" w:type="dxa"/>
              <w:right w:w="16" w:type="dxa"/>
            </w:tcMar>
            <w:vAlign w:val="center"/>
          </w:tcPr>
          <w:p w14:paraId="3A16E2A3">
            <w:pPr>
              <w:pStyle w:val="34"/>
              <w:spacing w:before="48" w:after="48"/>
              <w:rPr>
                <w:b/>
                <w:bCs/>
              </w:rPr>
            </w:pPr>
            <w:r>
              <w:rPr>
                <w:b/>
                <w:bCs/>
              </w:rPr>
              <w:t>环保投资（万元）</w:t>
            </w:r>
          </w:p>
        </w:tc>
        <w:tc>
          <w:tcPr>
            <w:tcW w:w="1609" w:type="pct"/>
            <w:vAlign w:val="center"/>
          </w:tcPr>
          <w:p w14:paraId="35B785C6">
            <w:pPr>
              <w:pStyle w:val="34"/>
              <w:spacing w:before="48" w:after="48"/>
            </w:pPr>
            <w:r>
              <w:t>40</w:t>
            </w:r>
          </w:p>
        </w:tc>
      </w:tr>
      <w:tr w14:paraId="5F1C8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72" w:type="pct"/>
            <w:tcMar>
              <w:top w:w="16" w:type="dxa"/>
              <w:left w:w="16" w:type="dxa"/>
              <w:right w:w="16" w:type="dxa"/>
            </w:tcMar>
            <w:vAlign w:val="center"/>
          </w:tcPr>
          <w:p w14:paraId="5960AB93">
            <w:pPr>
              <w:pStyle w:val="34"/>
              <w:spacing w:before="48" w:after="48"/>
              <w:rPr>
                <w:b/>
                <w:bCs/>
              </w:rPr>
            </w:pPr>
            <w:r>
              <w:rPr>
                <w:b/>
                <w:bCs/>
              </w:rPr>
              <w:t>环保投资占比（%）</w:t>
            </w:r>
          </w:p>
        </w:tc>
        <w:tc>
          <w:tcPr>
            <w:tcW w:w="1521" w:type="pct"/>
            <w:vAlign w:val="center"/>
          </w:tcPr>
          <w:p w14:paraId="36C3FDFD">
            <w:pPr>
              <w:pStyle w:val="34"/>
              <w:spacing w:before="48" w:after="48"/>
            </w:pPr>
            <w:r>
              <w:t>1.7</w:t>
            </w:r>
          </w:p>
        </w:tc>
        <w:tc>
          <w:tcPr>
            <w:tcW w:w="1198" w:type="pct"/>
            <w:tcMar>
              <w:top w:w="16" w:type="dxa"/>
              <w:left w:w="16" w:type="dxa"/>
              <w:right w:w="16" w:type="dxa"/>
            </w:tcMar>
            <w:vAlign w:val="center"/>
          </w:tcPr>
          <w:p w14:paraId="30479FAD">
            <w:pPr>
              <w:pStyle w:val="34"/>
              <w:spacing w:before="48" w:after="48"/>
              <w:rPr>
                <w:b/>
                <w:bCs/>
              </w:rPr>
            </w:pPr>
            <w:r>
              <w:rPr>
                <w:b/>
                <w:bCs/>
              </w:rPr>
              <w:t>施工工期</w:t>
            </w:r>
          </w:p>
        </w:tc>
        <w:tc>
          <w:tcPr>
            <w:tcW w:w="1609" w:type="pct"/>
            <w:vAlign w:val="center"/>
          </w:tcPr>
          <w:p w14:paraId="48C165B9">
            <w:pPr>
              <w:pStyle w:val="34"/>
              <w:spacing w:before="48" w:after="48"/>
            </w:pPr>
            <w:r>
              <w:t>3个月</w:t>
            </w:r>
          </w:p>
        </w:tc>
      </w:tr>
      <w:tr w14:paraId="225961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72" w:type="pct"/>
            <w:tcMar>
              <w:top w:w="16" w:type="dxa"/>
              <w:left w:w="16" w:type="dxa"/>
              <w:right w:w="16" w:type="dxa"/>
            </w:tcMar>
            <w:vAlign w:val="center"/>
          </w:tcPr>
          <w:p w14:paraId="7E935D00">
            <w:pPr>
              <w:pStyle w:val="34"/>
              <w:spacing w:before="48" w:after="48"/>
              <w:rPr>
                <w:b/>
                <w:bCs/>
              </w:rPr>
            </w:pPr>
            <w:r>
              <w:rPr>
                <w:b/>
                <w:bCs/>
              </w:rPr>
              <w:t>是否开工建设</w:t>
            </w:r>
          </w:p>
        </w:tc>
        <w:tc>
          <w:tcPr>
            <w:tcW w:w="1521" w:type="pct"/>
            <w:vAlign w:val="center"/>
          </w:tcPr>
          <w:p w14:paraId="586495B6">
            <w:pPr>
              <w:pStyle w:val="34"/>
              <w:spacing w:before="48" w:after="48"/>
            </w:pPr>
            <w:r>
              <w:rPr/>
              <w:sym w:font="Wingdings 2" w:char="0052"/>
            </w:r>
            <w:r>
              <w:t>否</w:t>
            </w:r>
          </w:p>
          <w:p w14:paraId="01988E7D">
            <w:pPr>
              <w:pStyle w:val="34"/>
              <w:spacing w:before="48" w:after="48"/>
            </w:pPr>
            <w:r>
              <w:rPr/>
              <w:sym w:font="Wingdings 2" w:char="00A3"/>
            </w:r>
            <w:r>
              <w:t>是</w:t>
            </w:r>
          </w:p>
        </w:tc>
        <w:tc>
          <w:tcPr>
            <w:tcW w:w="1198" w:type="pct"/>
            <w:tcMar>
              <w:top w:w="16" w:type="dxa"/>
              <w:left w:w="16" w:type="dxa"/>
              <w:right w:w="16" w:type="dxa"/>
            </w:tcMar>
            <w:vAlign w:val="center"/>
          </w:tcPr>
          <w:p w14:paraId="2779A9EF">
            <w:pPr>
              <w:pStyle w:val="34"/>
              <w:spacing w:before="48" w:after="48"/>
              <w:rPr>
                <w:b/>
                <w:bCs/>
              </w:rPr>
            </w:pPr>
            <w:r>
              <w:rPr>
                <w:b/>
                <w:bCs/>
              </w:rPr>
              <w:t>用地面积（m</w:t>
            </w:r>
            <w:r>
              <w:rPr>
                <w:b/>
                <w:bCs/>
                <w:vertAlign w:val="superscript"/>
              </w:rPr>
              <w:t>2</w:t>
            </w:r>
            <w:r>
              <w:rPr>
                <w:b/>
                <w:bCs/>
              </w:rPr>
              <w:t>）</w:t>
            </w:r>
          </w:p>
        </w:tc>
        <w:tc>
          <w:tcPr>
            <w:tcW w:w="1609" w:type="pct"/>
            <w:vAlign w:val="center"/>
          </w:tcPr>
          <w:p w14:paraId="2F855B97">
            <w:pPr>
              <w:pStyle w:val="34"/>
              <w:spacing w:before="48" w:after="48"/>
            </w:pPr>
            <w:r>
              <w:t>10500</w:t>
            </w:r>
          </w:p>
        </w:tc>
      </w:tr>
      <w:tr w14:paraId="19CBD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72" w:type="pct"/>
            <w:vAlign w:val="center"/>
          </w:tcPr>
          <w:p w14:paraId="48C6B8BB">
            <w:pPr>
              <w:pStyle w:val="34"/>
              <w:spacing w:before="48" w:after="48"/>
              <w:rPr>
                <w:b/>
                <w:bCs/>
              </w:rPr>
            </w:pPr>
            <w:r>
              <w:rPr>
                <w:b/>
                <w:bCs/>
              </w:rPr>
              <w:t>专项评价设置情况</w:t>
            </w:r>
          </w:p>
        </w:tc>
        <w:tc>
          <w:tcPr>
            <w:tcW w:w="4328" w:type="pct"/>
            <w:gridSpan w:val="3"/>
            <w:vAlign w:val="center"/>
          </w:tcPr>
          <w:p w14:paraId="438B530A">
            <w:pPr>
              <w:pStyle w:val="34"/>
              <w:spacing w:before="48" w:after="48"/>
              <w:jc w:val="left"/>
            </w:pPr>
            <w:r>
              <w:rPr>
                <w:color w:val="FF0000"/>
              </w:rPr>
              <w:t>根据《建设项目环境影响报告表编制技术指南（污染影响类）（试行）》相关要求，土壤、声环境不开展专项评价，本项目排放废气不属于“含有毒有害污染物、二噁英、苯并[a]芘、氰化物、氯气且厂界外500米范围内有环境空气保护目标的建设项目”，则不开展大气专项评价；本项目无生产废水外排，不属于“新增工业废水直排建设项目（槽罐车外送污水处理厂的除外），新增废水直排的污水集中处理厂”，则不开展地表水专项评价；本项目不涉及相关的危险物质，则不开展环境风险专项评价；本项目用水为市政供水，不涉及新增河道取水，则不开展生态专项评价；本项目不属于“直接向海排放污染物的海洋工程建设项目”，则不开展海洋专项评价；本项目不涉及集中式饮用水水源和热水、矿泉水、温泉等特殊地下水资源保护区，则不开展地下水专项评价。</w:t>
            </w:r>
          </w:p>
        </w:tc>
      </w:tr>
      <w:tr w14:paraId="28AA5C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72" w:type="pct"/>
            <w:vAlign w:val="center"/>
          </w:tcPr>
          <w:p w14:paraId="6F9C6141">
            <w:pPr>
              <w:pStyle w:val="34"/>
              <w:spacing w:before="48" w:after="48"/>
              <w:rPr>
                <w:b/>
                <w:bCs/>
              </w:rPr>
            </w:pPr>
            <w:r>
              <w:rPr>
                <w:b/>
                <w:bCs/>
              </w:rPr>
              <w:t>规划情况</w:t>
            </w:r>
          </w:p>
        </w:tc>
        <w:tc>
          <w:tcPr>
            <w:tcW w:w="4328" w:type="pct"/>
            <w:gridSpan w:val="3"/>
            <w:vAlign w:val="center"/>
          </w:tcPr>
          <w:p w14:paraId="6E12B824">
            <w:pPr>
              <w:pStyle w:val="34"/>
              <w:spacing w:before="48" w:after="48"/>
              <w:jc w:val="left"/>
            </w:pPr>
            <w:r>
              <w:t>盘山县城乡规划委员会于2021年1月19日同意《辽宁新材料产业经济开发区及延伸区总体规划（2019-2035）》。</w:t>
            </w:r>
          </w:p>
        </w:tc>
      </w:tr>
      <w:tr w14:paraId="12255D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72" w:type="pct"/>
            <w:vAlign w:val="center"/>
          </w:tcPr>
          <w:p w14:paraId="4FE50235">
            <w:pPr>
              <w:pStyle w:val="34"/>
              <w:spacing w:before="48" w:after="48"/>
              <w:rPr>
                <w:b/>
                <w:bCs/>
              </w:rPr>
            </w:pPr>
            <w:r>
              <w:rPr>
                <w:b/>
                <w:bCs/>
              </w:rPr>
              <w:t>规划环境影响</w:t>
            </w:r>
          </w:p>
          <w:p w14:paraId="6399873C">
            <w:pPr>
              <w:pStyle w:val="34"/>
              <w:spacing w:before="48" w:after="48"/>
              <w:rPr>
                <w:b/>
                <w:bCs/>
              </w:rPr>
            </w:pPr>
            <w:r>
              <w:rPr>
                <w:b/>
                <w:bCs/>
              </w:rPr>
              <w:t>评价情况</w:t>
            </w:r>
          </w:p>
        </w:tc>
        <w:tc>
          <w:tcPr>
            <w:tcW w:w="4328" w:type="pct"/>
            <w:gridSpan w:val="3"/>
            <w:vAlign w:val="center"/>
          </w:tcPr>
          <w:p w14:paraId="71DD9640">
            <w:pPr>
              <w:pStyle w:val="34"/>
              <w:spacing w:before="48" w:after="48"/>
              <w:jc w:val="left"/>
            </w:pPr>
            <w:r>
              <w:t>辽宁省生态环境厅于2020年12月15日出具了《辽宁省生态环境厅关于辽宁新材料产业经济开发区及延伸区总体规划（2019-2035）环境影响报告书审查意见的函》（辽环函[2020]184号）。规划环评审查意见见附件3。</w:t>
            </w:r>
          </w:p>
        </w:tc>
      </w:tr>
      <w:tr w14:paraId="73A66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72" w:type="pct"/>
            <w:vAlign w:val="center"/>
          </w:tcPr>
          <w:p w14:paraId="15CA02E1">
            <w:pPr>
              <w:pStyle w:val="34"/>
              <w:spacing w:before="48" w:after="48"/>
              <w:rPr>
                <w:b/>
                <w:bCs/>
              </w:rPr>
            </w:pPr>
            <w:r>
              <w:rPr>
                <w:b/>
                <w:bCs/>
              </w:rPr>
              <w:t>规划及规划环境影响评价符合性分析</w:t>
            </w:r>
          </w:p>
        </w:tc>
        <w:tc>
          <w:tcPr>
            <w:tcW w:w="4328" w:type="pct"/>
            <w:gridSpan w:val="3"/>
            <w:vAlign w:val="center"/>
          </w:tcPr>
          <w:p w14:paraId="701A03CE">
            <w:pPr>
              <w:pStyle w:val="34"/>
              <w:adjustRightInd w:val="0"/>
              <w:snapToGrid w:val="0"/>
              <w:spacing w:before="48" w:after="48" w:line="300" w:lineRule="auto"/>
              <w:ind w:firstLine="480" w:firstLineChars="200"/>
              <w:jc w:val="both"/>
              <w:rPr>
                <w:color w:val="FF0000"/>
              </w:rPr>
            </w:pPr>
            <w:r>
              <w:rPr>
                <w:color w:val="FF0000"/>
              </w:rPr>
              <w:t>1、园区规划概况</w:t>
            </w:r>
          </w:p>
          <w:p w14:paraId="7E25915F">
            <w:pPr>
              <w:pStyle w:val="34"/>
              <w:adjustRightInd w:val="0"/>
              <w:snapToGrid w:val="0"/>
              <w:spacing w:before="48" w:after="48" w:line="300" w:lineRule="auto"/>
              <w:ind w:firstLine="480" w:firstLineChars="200"/>
              <w:jc w:val="both"/>
              <w:rPr>
                <w:color w:val="FF0000"/>
                <w:lang w:val="zh-CN"/>
              </w:rPr>
            </w:pPr>
            <w:r>
              <w:rPr>
                <w:color w:val="FF0000"/>
                <w:lang w:val="zh-CN"/>
              </w:rPr>
              <w:t>辽宁新材料产业经济开发区及延伸区位于盘锦市盘山县，地理坐标为东经121°27′-122°29′，北纬40°45′-40°27′。</w:t>
            </w:r>
          </w:p>
          <w:p w14:paraId="03C2324E">
            <w:pPr>
              <w:pStyle w:val="34"/>
              <w:adjustRightInd w:val="0"/>
              <w:snapToGrid w:val="0"/>
              <w:spacing w:before="48" w:after="48" w:line="300" w:lineRule="auto"/>
              <w:ind w:firstLine="480" w:firstLineChars="200"/>
              <w:jc w:val="both"/>
              <w:rPr>
                <w:color w:val="FF0000"/>
                <w:lang w:val="zh-CN"/>
              </w:rPr>
            </w:pPr>
            <w:r>
              <w:rPr>
                <w:color w:val="FF0000"/>
                <w:lang w:val="zh-CN"/>
              </w:rPr>
              <w:t>辽宁新材料产业经济开发区及延伸区的用地范围，东起沈盘公路和盘锦市环城西路，与盘山县新县城相接，西至绕阳河大坝，南起太平河，并与曙光采油厂生活区相连，北至绕阳河大坝和沟海铁路，规划用地面积为19.45平方公里。</w:t>
            </w:r>
          </w:p>
          <w:p w14:paraId="6FD2337C">
            <w:pPr>
              <w:pStyle w:val="34"/>
              <w:adjustRightInd w:val="0"/>
              <w:snapToGrid w:val="0"/>
              <w:spacing w:before="48" w:after="48" w:line="300" w:lineRule="auto"/>
              <w:ind w:firstLine="480" w:firstLineChars="200"/>
              <w:jc w:val="both"/>
              <w:rPr>
                <w:color w:val="FF0000"/>
              </w:rPr>
            </w:pPr>
            <w:r>
              <w:rPr>
                <w:color w:val="FF0000"/>
                <w:lang w:val="zh-CN"/>
              </w:rPr>
              <w:t>本次规划期限为2019—2035年。其中，近期2019—2025年；远期202</w:t>
            </w:r>
            <w:r>
              <w:rPr>
                <w:color w:val="FF0000"/>
              </w:rPr>
              <w:t>6</w:t>
            </w:r>
            <w:r>
              <w:rPr>
                <w:color w:val="FF0000"/>
                <w:lang w:val="zh-CN"/>
              </w:rPr>
              <w:t>—2035年。</w:t>
            </w:r>
          </w:p>
          <w:p w14:paraId="0FFB1D21">
            <w:pPr>
              <w:pStyle w:val="34"/>
              <w:adjustRightInd w:val="0"/>
              <w:snapToGrid w:val="0"/>
              <w:spacing w:before="48" w:after="48" w:line="300" w:lineRule="auto"/>
              <w:ind w:firstLine="480" w:firstLineChars="200"/>
              <w:jc w:val="both"/>
              <w:rPr>
                <w:color w:val="FF0000"/>
                <w:lang w:val="zh-CN"/>
              </w:rPr>
            </w:pPr>
            <w:r>
              <w:rPr>
                <w:color w:val="FF0000"/>
                <w:lang w:val="zh-CN"/>
              </w:rPr>
              <w:t>立足园区发展现状，融入盘山县及盘锦市整体发展格局，落实国家产业政策及辽宁省“五大区域发展战略”等，明确辽宁新材料产业经济开发区及延伸区未来的发展，主要依托辽河油田及国家大型石化企业的产品资源，以新材料、新能源及高端装备制造为主导产业，兼顾发展生物科技、新型建材、石化及精细化工、橡胶制品业、现代物流等优势产业。</w:t>
            </w:r>
          </w:p>
          <w:p w14:paraId="570FE8A6">
            <w:pPr>
              <w:pStyle w:val="34"/>
              <w:adjustRightInd w:val="0"/>
              <w:snapToGrid w:val="0"/>
              <w:spacing w:before="48" w:after="48" w:line="300" w:lineRule="auto"/>
              <w:ind w:firstLine="480" w:firstLineChars="200"/>
              <w:jc w:val="both"/>
              <w:rPr>
                <w:color w:val="FF0000"/>
              </w:rPr>
            </w:pPr>
            <w:r>
              <w:rPr>
                <w:color w:val="FF0000"/>
                <w:lang w:val="zh-CN"/>
              </w:rPr>
              <w:t>发展新型材料产业，以及与新材料产业相配套的塑料深加工、塑料模具加工、塑料物流等相关行业企业。</w:t>
            </w:r>
          </w:p>
          <w:p w14:paraId="18459434">
            <w:pPr>
              <w:pStyle w:val="34"/>
              <w:adjustRightInd w:val="0"/>
              <w:snapToGrid w:val="0"/>
              <w:spacing w:before="48" w:after="48" w:line="300" w:lineRule="auto"/>
              <w:ind w:firstLine="480" w:firstLineChars="200"/>
              <w:jc w:val="both"/>
              <w:rPr>
                <w:color w:val="FF0000"/>
                <w:lang w:val="zh-CN"/>
              </w:rPr>
            </w:pPr>
            <w:r>
              <w:rPr>
                <w:color w:val="FF0000"/>
              </w:rPr>
              <w:t>环境</w:t>
            </w:r>
            <w:r>
              <w:rPr>
                <w:color w:val="FF0000"/>
                <w:lang w:val="zh-CN"/>
              </w:rPr>
              <w:t>准入</w:t>
            </w:r>
            <w:r>
              <w:rPr>
                <w:color w:val="FF0000"/>
              </w:rPr>
              <w:t>建议</w:t>
            </w:r>
            <w:r>
              <w:rPr>
                <w:color w:val="FF0000"/>
                <w:lang w:val="zh-CN"/>
              </w:rPr>
              <w:t>：</w:t>
            </w:r>
          </w:p>
          <w:p w14:paraId="1CA9ED5D">
            <w:pPr>
              <w:pStyle w:val="34"/>
              <w:adjustRightInd w:val="0"/>
              <w:snapToGrid w:val="0"/>
              <w:spacing w:before="48" w:after="48" w:line="300" w:lineRule="auto"/>
              <w:ind w:firstLine="480" w:firstLineChars="200"/>
              <w:jc w:val="both"/>
              <w:rPr>
                <w:color w:val="FF0000"/>
                <w:lang w:val="zh-CN"/>
              </w:rPr>
            </w:pPr>
            <w:r>
              <w:rPr>
                <w:color w:val="FF0000"/>
                <w:lang w:val="zh-CN"/>
              </w:rPr>
              <w:t>（1）对于园区发展重点行业，在加大其污染物处理与监控力度的基础上，应以清洁生产审核、ISO14000环境管理体系等多项认证为抓手，加快推进重点企业的生态化改造进程。主要包括：淘汰有毒原辅材料，提高资源、能源利用效率，减少生产过程中的“三废”排放；简化产品包装，逐步推广可回收、再利用的包装材料或容器；加强产品使用后的无害化处理与资源化利用，加快开发清洁产品以替代对环境危害大的产品；强化清洁生产技术的研究、示范和培训，加大政府对清洁生产的引导和扶持力度等。</w:t>
            </w:r>
          </w:p>
          <w:p w14:paraId="3CF45D74">
            <w:pPr>
              <w:pStyle w:val="34"/>
              <w:adjustRightInd w:val="0"/>
              <w:snapToGrid w:val="0"/>
              <w:spacing w:before="48" w:after="48" w:line="300" w:lineRule="auto"/>
              <w:ind w:firstLine="480" w:firstLineChars="200"/>
              <w:jc w:val="both"/>
              <w:rPr>
                <w:color w:val="FF0000"/>
                <w:lang w:val="zh-CN"/>
              </w:rPr>
            </w:pPr>
            <w:r>
              <w:rPr>
                <w:color w:val="FF0000"/>
                <w:lang w:val="zh-CN"/>
              </w:rPr>
              <w:t>（2）园区在引进项目时要把环境保护和节约资源，发展低碳经济作为项目引进的重要准则，对工程建设实施全过程监控，严格执行环境保护“三同时”制度。不符合产业政策的项目不能入驻。优先引进高技术含量、高附加值、低污染、低能耗的企业。引入项目的工艺、设备和环保设施及单位GDP用水量、综合能耗和污染物排放强度至少达到国内先进水平，不得高于园区平均水平和行业或产品标准，项目用能不应对园区总用能额度产生较大影响，优先引进清洁生产水平达到国际先进水平的项目。</w:t>
            </w:r>
          </w:p>
          <w:p w14:paraId="2C58AFBD">
            <w:pPr>
              <w:pStyle w:val="34"/>
              <w:adjustRightInd w:val="0"/>
              <w:snapToGrid w:val="0"/>
              <w:spacing w:before="48" w:after="48" w:line="300" w:lineRule="auto"/>
              <w:ind w:firstLine="480" w:firstLineChars="200"/>
              <w:jc w:val="both"/>
              <w:rPr>
                <w:color w:val="FF0000"/>
                <w:lang w:val="zh-CN"/>
              </w:rPr>
            </w:pPr>
            <w:r>
              <w:rPr>
                <w:color w:val="FF0000"/>
                <w:lang w:val="zh-CN"/>
              </w:rPr>
              <w:t>（3）园区各重点行业应设置各行业重点示范企业，并编制相应名单，进一步加强“三废”处理及监测监管力度，完善机制，对清洁生产水平不达标或环境表现差的企业，坚决限期整改甚至淘汰出园区。</w:t>
            </w:r>
          </w:p>
          <w:p w14:paraId="0407D5EE">
            <w:pPr>
              <w:pStyle w:val="34"/>
              <w:adjustRightInd w:val="0"/>
              <w:snapToGrid w:val="0"/>
              <w:spacing w:before="48" w:after="48" w:line="300" w:lineRule="auto"/>
              <w:ind w:firstLine="480" w:firstLineChars="200"/>
              <w:jc w:val="both"/>
              <w:rPr>
                <w:color w:val="FF0000"/>
                <w:lang w:val="zh-CN"/>
              </w:rPr>
            </w:pPr>
            <w:r>
              <w:rPr>
                <w:color w:val="FF0000"/>
                <w:lang w:val="zh-CN"/>
              </w:rPr>
              <w:t>（4）严把新建项目准入关。把污染物排放总量作为环评审批的前置条件，以总量定项目。提高挥发性有机物排放类项目建设要求，新、改、扩建项目有机废气收集率应大于90%，在环评批复时应要求其落实VOCs污染防治“三同时”措施，严格控制VOCs排放增量。</w:t>
            </w:r>
          </w:p>
          <w:p w14:paraId="5B206815">
            <w:pPr>
              <w:pStyle w:val="34"/>
              <w:adjustRightInd w:val="0"/>
              <w:snapToGrid w:val="0"/>
              <w:spacing w:before="48" w:after="48" w:line="300" w:lineRule="auto"/>
              <w:ind w:firstLine="480" w:firstLineChars="200"/>
              <w:jc w:val="both"/>
              <w:rPr>
                <w:color w:val="FF0000"/>
                <w:lang w:val="zh-CN"/>
              </w:rPr>
            </w:pPr>
            <w:r>
              <w:rPr>
                <w:color w:val="FF0000"/>
                <w:lang w:val="zh-CN"/>
              </w:rPr>
              <w:t>加强入驻项目环境管理。园区管理机构应加强对入驻项目的环境管理，对园区项目主体工程和污染治理配套设施“三同时”执行情况、环境风险防控措施落实情况、污染物排放和处置等进行定期检查，完善园区环保基础设施建设和运行管理，确保各类污染治理设施长期稳定运行。</w:t>
            </w:r>
          </w:p>
          <w:p w14:paraId="3E7B3B93">
            <w:pPr>
              <w:pStyle w:val="34"/>
              <w:adjustRightInd w:val="0"/>
              <w:snapToGrid w:val="0"/>
              <w:spacing w:before="48" w:after="48" w:line="300" w:lineRule="auto"/>
              <w:ind w:firstLine="480" w:firstLineChars="200"/>
              <w:jc w:val="both"/>
              <w:rPr>
                <w:color w:val="FF0000"/>
                <w:lang w:val="zh-CN"/>
              </w:rPr>
            </w:pPr>
            <w:r>
              <w:rPr>
                <w:color w:val="FF0000"/>
                <w:lang w:val="zh-CN"/>
              </w:rPr>
              <w:t>（5）规划环境建议各项目在具体布局时要考虑各工艺设备的噪声和大气影响，将厂界噪声和对声环境的影响降到最低。</w:t>
            </w:r>
          </w:p>
          <w:p w14:paraId="24F2C2BA">
            <w:pPr>
              <w:pStyle w:val="34"/>
              <w:adjustRightInd w:val="0"/>
              <w:snapToGrid w:val="0"/>
              <w:spacing w:before="48" w:after="48" w:line="300" w:lineRule="auto"/>
              <w:ind w:firstLine="480" w:firstLineChars="200"/>
              <w:jc w:val="both"/>
              <w:rPr>
                <w:color w:val="FF0000"/>
                <w:lang w:val="zh-CN"/>
              </w:rPr>
            </w:pPr>
            <w:r>
              <w:rPr>
                <w:color w:val="FF0000"/>
                <w:lang w:val="zh-CN"/>
              </w:rPr>
              <w:t>并在进行项目环评时要考虑到本底、已建项目、拟建和在建项目的叠加影响。建议管委会在引进有可能污染地下水的企业环评时要进行项目建设对地下水影响评价。</w:t>
            </w:r>
          </w:p>
          <w:p w14:paraId="0FF54955">
            <w:pPr>
              <w:pStyle w:val="34"/>
              <w:adjustRightInd w:val="0"/>
              <w:snapToGrid w:val="0"/>
              <w:spacing w:before="48" w:after="48" w:line="300" w:lineRule="auto"/>
              <w:ind w:firstLine="480" w:firstLineChars="200"/>
              <w:jc w:val="both"/>
              <w:rPr>
                <w:color w:val="FF0000"/>
                <w:lang w:val="zh-CN"/>
              </w:rPr>
            </w:pPr>
            <w:r>
              <w:rPr>
                <w:color w:val="FF0000"/>
                <w:lang w:val="zh-CN"/>
              </w:rPr>
              <w:t>立足园区发展现状，融入盘山县及盘锦市整体发展格局，落实国家产业政策及辽宁省“五大区域发展战略”等，明确辽宁新材料产业经济开发区未来的发展，主要依托辽河油田及国家大型石化企业的产品资源，以新材料、新能源及高端装备制造为主导产业，兼顾发展生物科技、新型建材、石化及精细化工、橡胶制品业、现代物流等优势产业。</w:t>
            </w:r>
          </w:p>
          <w:p w14:paraId="26E30E75">
            <w:pPr>
              <w:pStyle w:val="34"/>
              <w:adjustRightInd w:val="0"/>
              <w:snapToGrid w:val="0"/>
              <w:spacing w:before="48" w:after="48" w:line="300" w:lineRule="auto"/>
              <w:ind w:firstLine="480" w:firstLineChars="200"/>
              <w:jc w:val="both"/>
              <w:rPr>
                <w:color w:val="FF0000"/>
                <w:lang w:val="zh-CN"/>
              </w:rPr>
            </w:pPr>
            <w:r>
              <w:rPr>
                <w:color w:val="FF0000"/>
                <w:lang w:val="zh-CN"/>
              </w:rPr>
              <w:t>本项目场地为工业用地，在园区具体位置见附图</w:t>
            </w:r>
            <w:r>
              <w:rPr>
                <w:color w:val="FF0000"/>
              </w:rPr>
              <w:t>6</w:t>
            </w:r>
            <w:r>
              <w:rPr>
                <w:color w:val="FF0000"/>
                <w:lang w:val="zh-CN"/>
              </w:rPr>
              <w:t>。</w:t>
            </w:r>
            <w:r>
              <w:rPr>
                <w:color w:val="FF0000"/>
              </w:rPr>
              <w:t>项目为复合不燃隔热保温新材料项目</w:t>
            </w:r>
            <w:r>
              <w:rPr>
                <w:color w:val="FF0000"/>
                <w:lang w:val="zh-CN"/>
              </w:rPr>
              <w:t>。</w:t>
            </w:r>
            <w:r>
              <w:rPr>
                <w:color w:val="FF0000"/>
              </w:rPr>
              <w:t>项目发泡工序过程为密闭状态，产生的有机废气收集率为98%，收集后经管道</w:t>
            </w:r>
            <w:r>
              <w:rPr>
                <w:color w:val="FF0000"/>
                <w:szCs w:val="24"/>
              </w:rPr>
              <w:t>收集进入蒸汽冷凝吸收塔后</w:t>
            </w:r>
            <w:r>
              <w:rPr>
                <w:color w:val="FF0000"/>
              </w:rPr>
              <w:t>送至生物质锅炉燃烧处理，根据本项目工艺流程，结合项目使用的原辅材料，项目无污染地下水的途径。</w:t>
            </w:r>
            <w:r>
              <w:rPr>
                <w:color w:val="FF0000"/>
                <w:lang w:val="zh-CN"/>
              </w:rPr>
              <w:t>且项目符合准入条件，则项目符合园区产业定位。</w:t>
            </w:r>
          </w:p>
          <w:p w14:paraId="3071B84F">
            <w:pPr>
              <w:pStyle w:val="34"/>
              <w:adjustRightInd w:val="0"/>
              <w:snapToGrid w:val="0"/>
              <w:spacing w:before="48" w:after="48" w:line="300" w:lineRule="auto"/>
              <w:ind w:firstLine="480" w:firstLineChars="200"/>
              <w:jc w:val="both"/>
              <w:rPr>
                <w:color w:val="FF0000"/>
                <w:lang w:val="zh-CN"/>
              </w:rPr>
            </w:pPr>
            <w:r>
              <w:rPr>
                <w:color w:val="FF0000"/>
                <w:lang w:val="zh-CN"/>
              </w:rPr>
              <w:t>2、与规划环评审查意见符合性</w:t>
            </w:r>
          </w:p>
          <w:p w14:paraId="13C92F81">
            <w:pPr>
              <w:pStyle w:val="34"/>
              <w:adjustRightInd w:val="0"/>
              <w:snapToGrid w:val="0"/>
              <w:spacing w:before="48" w:after="48" w:line="300" w:lineRule="auto"/>
              <w:ind w:firstLine="480" w:firstLineChars="200"/>
              <w:jc w:val="both"/>
              <w:rPr>
                <w:color w:val="FF0000"/>
                <w:lang w:val="zh-CN"/>
              </w:rPr>
            </w:pPr>
            <w:r>
              <w:rPr>
                <w:color w:val="FF0000"/>
                <w:lang w:val="zh-CN"/>
              </w:rPr>
              <w:t>根据</w:t>
            </w:r>
            <w:r>
              <w:rPr>
                <w:color w:val="FF0000"/>
              </w:rPr>
              <w:t>辽宁省生态环境厅</w:t>
            </w:r>
            <w:r>
              <w:rPr>
                <w:color w:val="FF0000"/>
                <w:lang w:val="zh-CN"/>
              </w:rPr>
              <w:t>出具《</w:t>
            </w:r>
            <w:r>
              <w:rPr>
                <w:color w:val="FF0000"/>
              </w:rPr>
              <w:t>辽宁省生态环境厅关于</w:t>
            </w:r>
            <w:r>
              <w:rPr>
                <w:color w:val="FF0000"/>
                <w:lang w:val="zh-CN"/>
              </w:rPr>
              <w:t>辽宁新材料产业经济开发区及延伸区总体规划（2019-2035）环境影响报告书</w:t>
            </w:r>
            <w:r>
              <w:rPr>
                <w:color w:val="FF0000"/>
              </w:rPr>
              <w:t>审查意见的函</w:t>
            </w:r>
            <w:r>
              <w:rPr>
                <w:color w:val="FF0000"/>
                <w:lang w:val="zh-CN"/>
              </w:rPr>
              <w:t>》（</w:t>
            </w:r>
            <w:r>
              <w:rPr>
                <w:color w:val="FF0000"/>
              </w:rPr>
              <w:t>辽</w:t>
            </w:r>
            <w:r>
              <w:rPr>
                <w:color w:val="FF0000"/>
                <w:lang w:val="zh-CN"/>
              </w:rPr>
              <w:t>环函[20</w:t>
            </w:r>
            <w:r>
              <w:rPr>
                <w:color w:val="FF0000"/>
              </w:rPr>
              <w:t>20</w:t>
            </w:r>
            <w:r>
              <w:rPr>
                <w:color w:val="FF0000"/>
                <w:lang w:val="zh-CN"/>
              </w:rPr>
              <w:t>]1</w:t>
            </w:r>
            <w:r>
              <w:rPr>
                <w:color w:val="FF0000"/>
              </w:rPr>
              <w:t>84</w:t>
            </w:r>
            <w:r>
              <w:rPr>
                <w:color w:val="FF0000"/>
                <w:lang w:val="zh-CN"/>
              </w:rPr>
              <w:t>号）提出的与项目有关的审查意见：</w:t>
            </w:r>
            <w:r>
              <w:rPr>
                <w:color w:val="FF0000"/>
              </w:rPr>
              <w:t>严格入区项目的环境准入要求，不得入驻报告书规定的生态环境准入清单禁止类别；规划城北区块和东部起步区区块污水经管线收集送现有开发区污水处理厂处理，实现稳定达标，按照报告书规定经现有盘山县城市污水处理厂污水总排污口排入绕阳河；项目</w:t>
            </w:r>
            <w:r>
              <w:rPr>
                <w:color w:val="FF0000"/>
                <w:lang w:val="zh-TW"/>
              </w:rPr>
              <w:t>开发区及企业不得自建其他燃煤燃油热源；</w:t>
            </w:r>
            <w:r>
              <w:rPr>
                <w:color w:val="FF0000"/>
              </w:rPr>
              <w:t>开发区应按照源头和过程控制与末端治理相结合的原则开展VOCs污染防治，排放挥发性有机物的车间有机废气的收集率应大于90%，安装废气回收/净化装置；开发区工业固体废物处置应纳入盘锦市工业固体废物处置规划统一管理，危险废物应委托有资质单位安全有效处理</w:t>
            </w:r>
            <w:r>
              <w:rPr>
                <w:color w:val="FF0000"/>
                <w:lang w:val="zh-CN"/>
              </w:rPr>
              <w:t>。</w:t>
            </w:r>
          </w:p>
          <w:p w14:paraId="46DB024E">
            <w:pPr>
              <w:pStyle w:val="34"/>
              <w:adjustRightInd w:val="0"/>
              <w:snapToGrid w:val="0"/>
              <w:spacing w:before="48" w:after="48" w:line="300" w:lineRule="auto"/>
              <w:ind w:firstLine="480" w:firstLineChars="200"/>
              <w:jc w:val="both"/>
              <w:rPr>
                <w:szCs w:val="24"/>
                <w:lang w:val="zh-CN"/>
              </w:rPr>
            </w:pPr>
            <w:r>
              <w:rPr>
                <w:color w:val="FF0000"/>
                <w:szCs w:val="24"/>
              </w:rPr>
              <w:t>本项目不在入驻报告书规定的生态环境准入清单禁止类别内；项目生活污水经现有化粪池处理后经市政管线排入园区污水处理厂处理；租赁的厂房附近无园区集中供热管网，距离集中供热的热源较远，则</w:t>
            </w:r>
            <w:r>
              <w:rPr>
                <w:color w:val="FF0000"/>
                <w:szCs w:val="24"/>
                <w:lang w:val="zh-CN"/>
              </w:rPr>
              <w:t>项目</w:t>
            </w:r>
            <w:r>
              <w:rPr>
                <w:color w:val="FF0000"/>
                <w:szCs w:val="24"/>
              </w:rPr>
              <w:t>目前使用生物质蒸汽发生器做为生产热源，生物质蒸汽发生器配置低氮燃烧+旋风除尘+袋式除尘设施；项目产生的有机废气量较少，有机废气收集率为98%，收集后送至生物质锅炉燃烧处理；生活垃圾委托环卫部门清运；切割料集中收集后回用于压制工序；灰渣灰分收集后用于农田肥料；废离子交换树脂由出售离子交换树脂厂家替换处理。综上分析，</w:t>
            </w:r>
            <w:r>
              <w:rPr>
                <w:color w:val="FF0000"/>
                <w:szCs w:val="24"/>
                <w:lang w:val="zh-CN"/>
              </w:rPr>
              <w:t>符合</w:t>
            </w:r>
            <w:r>
              <w:rPr>
                <w:color w:val="FF0000"/>
                <w:lang w:val="zh-CN"/>
              </w:rPr>
              <w:t>规划环评</w:t>
            </w:r>
            <w:r>
              <w:rPr>
                <w:color w:val="FF0000"/>
                <w:szCs w:val="24"/>
                <w:lang w:val="zh-CN"/>
              </w:rPr>
              <w:t>审查意见的要求。</w:t>
            </w:r>
          </w:p>
          <w:p w14:paraId="3E6745C4">
            <w:pPr>
              <w:pStyle w:val="34"/>
              <w:spacing w:before="48" w:after="48"/>
              <w:jc w:val="both"/>
              <w:rPr>
                <w:rFonts w:hint="eastAsia"/>
              </w:rPr>
            </w:pPr>
          </w:p>
          <w:p w14:paraId="2EBDA1C2">
            <w:pPr>
              <w:pStyle w:val="34"/>
              <w:spacing w:before="48" w:after="48"/>
              <w:jc w:val="both"/>
              <w:rPr>
                <w:rFonts w:hint="eastAsia"/>
              </w:rPr>
            </w:pPr>
          </w:p>
          <w:p w14:paraId="52DD9817">
            <w:pPr>
              <w:pStyle w:val="34"/>
              <w:spacing w:before="48" w:after="48"/>
              <w:jc w:val="both"/>
              <w:rPr>
                <w:rFonts w:hint="eastAsia"/>
              </w:rPr>
            </w:pPr>
          </w:p>
          <w:p w14:paraId="40C8A80E">
            <w:pPr>
              <w:pStyle w:val="34"/>
              <w:spacing w:before="48" w:after="48"/>
              <w:jc w:val="both"/>
              <w:rPr>
                <w:rFonts w:hint="eastAsia"/>
              </w:rPr>
            </w:pPr>
          </w:p>
          <w:p w14:paraId="75E1D6C6">
            <w:pPr>
              <w:pStyle w:val="34"/>
              <w:spacing w:before="48" w:after="48"/>
              <w:jc w:val="both"/>
            </w:pPr>
          </w:p>
        </w:tc>
      </w:tr>
      <w:tr w14:paraId="775850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80" w:hRule="atLeast"/>
          <w:jc w:val="center"/>
        </w:trPr>
        <w:tc>
          <w:tcPr>
            <w:tcW w:w="672" w:type="pct"/>
            <w:vAlign w:val="center"/>
          </w:tcPr>
          <w:p w14:paraId="45AAC675">
            <w:pPr>
              <w:pStyle w:val="4"/>
              <w:spacing w:before="120" w:after="120"/>
            </w:pPr>
            <w:r>
              <w:rPr>
                <w:sz w:val="24"/>
              </w:rPr>
              <w:t>其他符合性分析</w:t>
            </w:r>
          </w:p>
        </w:tc>
        <w:tc>
          <w:tcPr>
            <w:tcW w:w="4328" w:type="pct"/>
            <w:gridSpan w:val="3"/>
            <w:vAlign w:val="center"/>
          </w:tcPr>
          <w:p w14:paraId="7C2C2FEE">
            <w:pPr>
              <w:adjustRightInd/>
              <w:snapToGrid/>
              <w:ind w:firstLine="480"/>
            </w:pPr>
            <w:r>
              <w:t>1、产业政策相符性分析</w:t>
            </w:r>
          </w:p>
          <w:p w14:paraId="18513EB2">
            <w:pPr>
              <w:adjustRightInd/>
              <w:snapToGrid/>
              <w:ind w:firstLine="480"/>
            </w:pPr>
            <w:r>
              <w:t>根据《产业结构调整指导目录（2019年本）》中规定，本项目属于鼓励类中的“十二、建材 3、A级阻燃保温材料制品”，符合国家产业政策。</w:t>
            </w:r>
          </w:p>
          <w:p w14:paraId="449149C3">
            <w:pPr>
              <w:adjustRightInd/>
              <w:snapToGrid/>
              <w:ind w:firstLine="480"/>
            </w:pPr>
            <w:r>
              <w:t>2、与相关政策、方案相符性分析</w:t>
            </w:r>
          </w:p>
          <w:p w14:paraId="5E295148">
            <w:pPr>
              <w:pStyle w:val="33"/>
              <w:spacing w:beforeLines="0"/>
              <w:rPr>
                <w:rFonts w:hint="default"/>
              </w:rPr>
            </w:pPr>
            <w:r>
              <w:rPr>
                <w:rFonts w:hint="default"/>
              </w:rPr>
              <w:t>表1  项目与相关政策、方案相符性分析表</w:t>
            </w:r>
          </w:p>
          <w:tbl>
            <w:tblPr>
              <w:tblStyle w:val="24"/>
              <w:tblW w:w="5000"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3490"/>
              <w:gridCol w:w="1760"/>
              <w:gridCol w:w="612"/>
            </w:tblGrid>
            <w:tr w14:paraId="73DBE16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44" w:type="pct"/>
                  <w:gridSpan w:val="2"/>
                  <w:vAlign w:val="center"/>
                </w:tcPr>
                <w:p w14:paraId="6667F7DC">
                  <w:pPr>
                    <w:adjustRightInd/>
                    <w:snapToGrid/>
                    <w:spacing w:beforeLines="20" w:afterLines="20" w:line="240" w:lineRule="auto"/>
                    <w:ind w:firstLine="0" w:firstLineChars="0"/>
                    <w:jc w:val="center"/>
                    <w:rPr>
                      <w:sz w:val="21"/>
                      <w:szCs w:val="21"/>
                    </w:rPr>
                  </w:pPr>
                  <w:r>
                    <w:rPr>
                      <w:sz w:val="21"/>
                      <w:szCs w:val="21"/>
                    </w:rPr>
                    <w:t>政策要求</w:t>
                  </w:r>
                </w:p>
              </w:tc>
              <w:tc>
                <w:tcPr>
                  <w:tcW w:w="1228" w:type="pct"/>
                  <w:vAlign w:val="center"/>
                </w:tcPr>
                <w:p w14:paraId="0760C52C">
                  <w:pPr>
                    <w:adjustRightInd/>
                    <w:snapToGrid/>
                    <w:spacing w:beforeLines="20" w:afterLines="20" w:line="240" w:lineRule="auto"/>
                    <w:ind w:firstLine="0" w:firstLineChars="0"/>
                    <w:jc w:val="center"/>
                    <w:rPr>
                      <w:sz w:val="21"/>
                      <w:szCs w:val="21"/>
                    </w:rPr>
                  </w:pPr>
                  <w:r>
                    <w:rPr>
                      <w:sz w:val="21"/>
                      <w:szCs w:val="21"/>
                    </w:rPr>
                    <w:t>本项目情况</w:t>
                  </w:r>
                </w:p>
              </w:tc>
              <w:tc>
                <w:tcPr>
                  <w:tcW w:w="427" w:type="pct"/>
                  <w:vAlign w:val="center"/>
                </w:tcPr>
                <w:p w14:paraId="3C9C7D5F">
                  <w:pPr>
                    <w:adjustRightInd/>
                    <w:snapToGrid/>
                    <w:spacing w:beforeLines="20" w:afterLines="20" w:line="240" w:lineRule="auto"/>
                    <w:ind w:firstLine="0" w:firstLineChars="0"/>
                    <w:jc w:val="center"/>
                    <w:rPr>
                      <w:sz w:val="21"/>
                      <w:szCs w:val="21"/>
                    </w:rPr>
                  </w:pPr>
                  <w:r>
                    <w:rPr>
                      <w:sz w:val="21"/>
                      <w:szCs w:val="21"/>
                    </w:rPr>
                    <w:t>相符性</w:t>
                  </w:r>
                </w:p>
              </w:tc>
            </w:tr>
            <w:tr w14:paraId="6A4EE56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pct"/>
                  <w:vAlign w:val="center"/>
                </w:tcPr>
                <w:p w14:paraId="39F21877">
                  <w:pPr>
                    <w:adjustRightInd/>
                    <w:snapToGrid/>
                    <w:spacing w:beforeLines="20" w:afterLines="20" w:line="240" w:lineRule="auto"/>
                    <w:ind w:firstLine="0" w:firstLineChars="0"/>
                    <w:jc w:val="center"/>
                    <w:rPr>
                      <w:sz w:val="21"/>
                      <w:szCs w:val="21"/>
                    </w:rPr>
                  </w:pPr>
                  <w:r>
                    <w:rPr>
                      <w:sz w:val="21"/>
                      <w:szCs w:val="21"/>
                    </w:rPr>
                    <w:t>挥发性有机物（VOCs）污染防治技术政策（环境保护部公告2013年第31号）</w:t>
                  </w:r>
                </w:p>
              </w:tc>
              <w:tc>
                <w:tcPr>
                  <w:tcW w:w="2433" w:type="pct"/>
                  <w:vAlign w:val="center"/>
                </w:tcPr>
                <w:p w14:paraId="735D86D1">
                  <w:pPr>
                    <w:adjustRightInd/>
                    <w:snapToGrid/>
                    <w:spacing w:beforeLines="20" w:afterLines="20" w:line="240" w:lineRule="auto"/>
                    <w:ind w:firstLine="0" w:firstLineChars="0"/>
                    <w:jc w:val="center"/>
                    <w:rPr>
                      <w:sz w:val="21"/>
                      <w:szCs w:val="21"/>
                    </w:rPr>
                  </w:pPr>
                  <w:r>
                    <w:rPr>
                      <w:sz w:val="21"/>
                      <w:szCs w:val="21"/>
                    </w:rPr>
                    <w:t>含VOCs产品的使用过程中，应采取废气收集措施，提高废气收集效率，减少废气的无组织排放与逸散，并对收集后的废气进行回收或处理后达标排放。</w:t>
                  </w:r>
                </w:p>
              </w:tc>
              <w:tc>
                <w:tcPr>
                  <w:tcW w:w="1228" w:type="pct"/>
                  <w:vAlign w:val="center"/>
                </w:tcPr>
                <w:p w14:paraId="5B093257">
                  <w:pPr>
                    <w:adjustRightInd/>
                    <w:snapToGrid/>
                    <w:spacing w:beforeLines="20" w:afterLines="20" w:line="240" w:lineRule="auto"/>
                    <w:ind w:firstLine="0" w:firstLineChars="0"/>
                    <w:jc w:val="center"/>
                    <w:rPr>
                      <w:sz w:val="21"/>
                      <w:szCs w:val="21"/>
                    </w:rPr>
                  </w:pPr>
                  <w:r>
                    <w:rPr>
                      <w:sz w:val="21"/>
                      <w:szCs w:val="21"/>
                    </w:rPr>
                    <w:t>本项目发泡工序过程为密闭状态，产生的有机废气收集率为98%，收集后经管道收集进入蒸汽冷凝吸收塔后送至生物质锅炉燃烧处理后经30m排气筒排放。</w:t>
                  </w:r>
                </w:p>
              </w:tc>
              <w:tc>
                <w:tcPr>
                  <w:tcW w:w="427" w:type="pct"/>
                  <w:vAlign w:val="center"/>
                </w:tcPr>
                <w:p w14:paraId="7F1BD1A5">
                  <w:pPr>
                    <w:adjustRightInd/>
                    <w:snapToGrid/>
                    <w:spacing w:beforeLines="20" w:afterLines="20" w:line="240" w:lineRule="auto"/>
                    <w:ind w:firstLine="0" w:firstLineChars="0"/>
                    <w:jc w:val="center"/>
                    <w:rPr>
                      <w:sz w:val="21"/>
                      <w:szCs w:val="21"/>
                    </w:rPr>
                  </w:pPr>
                  <w:r>
                    <w:rPr>
                      <w:sz w:val="21"/>
                      <w:szCs w:val="21"/>
                    </w:rPr>
                    <w:t>符合</w:t>
                  </w:r>
                </w:p>
              </w:tc>
            </w:tr>
            <w:tr w14:paraId="546EEE2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pct"/>
                  <w:vAlign w:val="center"/>
                </w:tcPr>
                <w:p w14:paraId="721AB51D">
                  <w:pPr>
                    <w:widowControl/>
                    <w:adjustRightInd/>
                    <w:snapToGrid/>
                    <w:spacing w:beforeLines="20" w:afterLines="20" w:line="240" w:lineRule="auto"/>
                    <w:ind w:firstLine="0" w:firstLineChars="0"/>
                    <w:jc w:val="center"/>
                    <w:rPr>
                      <w:sz w:val="21"/>
                      <w:szCs w:val="21"/>
                    </w:rPr>
                  </w:pPr>
                  <w:r>
                    <w:rPr>
                      <w:sz w:val="21"/>
                      <w:szCs w:val="21"/>
                    </w:rPr>
                    <w:t>《重点行业挥发性有机物综合治理方案》（环大气[2019]53</w:t>
                  </w:r>
                </w:p>
                <w:p w14:paraId="33524A32">
                  <w:pPr>
                    <w:widowControl/>
                    <w:adjustRightInd/>
                    <w:snapToGrid/>
                    <w:spacing w:beforeLines="20" w:afterLines="20" w:line="240" w:lineRule="auto"/>
                    <w:ind w:firstLine="0" w:firstLineChars="0"/>
                    <w:jc w:val="center"/>
                    <w:rPr>
                      <w:sz w:val="21"/>
                      <w:szCs w:val="21"/>
                    </w:rPr>
                  </w:pPr>
                  <w:r>
                    <w:rPr>
                      <w:sz w:val="21"/>
                      <w:szCs w:val="21"/>
                    </w:rPr>
                    <w:t>号）</w:t>
                  </w:r>
                </w:p>
              </w:tc>
              <w:tc>
                <w:tcPr>
                  <w:tcW w:w="2433" w:type="pct"/>
                  <w:vAlign w:val="center"/>
                </w:tcPr>
                <w:p w14:paraId="5EBF9168">
                  <w:pPr>
                    <w:adjustRightInd/>
                    <w:snapToGrid/>
                    <w:spacing w:beforeLines="20" w:afterLines="20" w:line="240" w:lineRule="auto"/>
                    <w:ind w:firstLine="0" w:firstLineChars="0"/>
                    <w:jc w:val="center"/>
                    <w:rPr>
                      <w:sz w:val="21"/>
                      <w:szCs w:val="21"/>
                    </w:rPr>
                  </w:pPr>
                  <w:r>
                    <w:rPr>
                      <w:sz w:val="21"/>
                      <w:szCs w:val="21"/>
                    </w:rPr>
                    <w:t>重点对含 VOCs 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加强设备与场所密闭管理。含VOCs物料应储存于密闭容器、包装袋，高效密封储罐，封闭式储库、料仓等。含VOCs物料转移和输送，应采用密闭管道或密闭容器、罐车等。</w:t>
                  </w:r>
                </w:p>
                <w:p w14:paraId="2235B001">
                  <w:pPr>
                    <w:adjustRightInd/>
                    <w:snapToGrid/>
                    <w:spacing w:beforeLines="20" w:afterLines="20" w:line="240" w:lineRule="auto"/>
                    <w:ind w:firstLine="0" w:firstLineChars="0"/>
                    <w:jc w:val="center"/>
                    <w:rPr>
                      <w:sz w:val="21"/>
                      <w:szCs w:val="21"/>
                    </w:rPr>
                  </w:pPr>
                  <w:r>
                    <w:rPr>
                      <w:sz w:val="21"/>
                      <w:szCs w:val="21"/>
                    </w:rPr>
                    <w:t>加强无组织排放控制。加强油墨、稀释剂、胶粘剂、涂布液、清洗剂等含VOCs 物料储存、调配、输送、使用等工艺环节 VOCs 无组织逸散控制。含VOCs物料储存和输送过程应保持密闭。调配应在密闭装置或空间内进行并有效收集，非即用状态应加盖密封。涂布、印刷、复膜、复合、上光、清洗等含VOCs物料使用过程应采用密闭设备或在密闭空间内操作；无法密闭的，应采取局部气体收集措施，废气排至VOCs废气收集系统。</w:t>
                  </w:r>
                </w:p>
              </w:tc>
              <w:tc>
                <w:tcPr>
                  <w:tcW w:w="1228" w:type="pct"/>
                  <w:vAlign w:val="center"/>
                </w:tcPr>
                <w:p w14:paraId="10627B2B">
                  <w:pPr>
                    <w:adjustRightInd/>
                    <w:snapToGrid/>
                    <w:spacing w:beforeLines="20" w:afterLines="20" w:line="240" w:lineRule="auto"/>
                    <w:ind w:firstLine="0" w:firstLineChars="0"/>
                    <w:jc w:val="center"/>
                    <w:rPr>
                      <w:sz w:val="21"/>
                      <w:szCs w:val="21"/>
                    </w:rPr>
                  </w:pPr>
                  <w:r>
                    <w:rPr>
                      <w:sz w:val="21"/>
                      <w:szCs w:val="21"/>
                    </w:rPr>
                    <w:t>本项目发泡工序过程为密闭状态，产生的有机废气收集率为98%，收集后经管道收集进入蒸汽冷凝吸收塔后送至生物质锅炉燃烧处理后经30m排气筒排放。发泡颗粒进行密闭储存。</w:t>
                  </w:r>
                </w:p>
              </w:tc>
              <w:tc>
                <w:tcPr>
                  <w:tcW w:w="427" w:type="pct"/>
                  <w:vAlign w:val="center"/>
                </w:tcPr>
                <w:p w14:paraId="67D38B05">
                  <w:pPr>
                    <w:adjustRightInd/>
                    <w:snapToGrid/>
                    <w:spacing w:beforeLines="20" w:afterLines="20" w:line="240" w:lineRule="auto"/>
                    <w:ind w:firstLine="0" w:firstLineChars="0"/>
                    <w:jc w:val="center"/>
                    <w:rPr>
                      <w:sz w:val="21"/>
                      <w:szCs w:val="21"/>
                    </w:rPr>
                  </w:pPr>
                  <w:r>
                    <w:rPr>
                      <w:sz w:val="21"/>
                      <w:szCs w:val="21"/>
                    </w:rPr>
                    <w:t>符合</w:t>
                  </w:r>
                </w:p>
              </w:tc>
            </w:tr>
            <w:tr w14:paraId="255AA2D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pct"/>
                  <w:vAlign w:val="center"/>
                </w:tcPr>
                <w:p w14:paraId="61F7AB45">
                  <w:pPr>
                    <w:adjustRightInd/>
                    <w:snapToGrid/>
                    <w:spacing w:beforeLines="20" w:afterLines="20" w:line="240" w:lineRule="auto"/>
                    <w:ind w:firstLine="0" w:firstLineChars="0"/>
                    <w:jc w:val="center"/>
                    <w:rPr>
                      <w:sz w:val="21"/>
                      <w:szCs w:val="21"/>
                    </w:rPr>
                  </w:pPr>
                  <w:r>
                    <w:rPr>
                      <w:sz w:val="21"/>
                      <w:szCs w:val="21"/>
                    </w:rPr>
                    <w:t>《2020年挥发性有机物治理攻坚方案》</w:t>
                  </w:r>
                </w:p>
              </w:tc>
              <w:tc>
                <w:tcPr>
                  <w:tcW w:w="2433" w:type="pct"/>
                  <w:vAlign w:val="center"/>
                </w:tcPr>
                <w:p w14:paraId="10333DA4">
                  <w:pPr>
                    <w:adjustRightInd/>
                    <w:snapToGrid/>
                    <w:spacing w:beforeLines="20" w:afterLines="20" w:line="240" w:lineRule="auto"/>
                    <w:ind w:firstLine="0" w:firstLineChars="0"/>
                    <w:jc w:val="center"/>
                    <w:rPr>
                      <w:sz w:val="21"/>
                      <w:szCs w:val="21"/>
                    </w:rPr>
                  </w:pPr>
                  <w:r>
                    <w:rPr>
                      <w:sz w:val="21"/>
                      <w:szCs w:val="21"/>
                    </w:rPr>
                    <w:t>全面执行《挥发性有机物无组织排放控制标准》，重点区域应落实无组织排放特别控制要求。企业在无组织排放排查整治过程中，在保证安全的前提下，加强含VOCs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w:t>
                  </w:r>
                </w:p>
              </w:tc>
              <w:tc>
                <w:tcPr>
                  <w:tcW w:w="1228" w:type="pct"/>
                  <w:vAlign w:val="center"/>
                </w:tcPr>
                <w:p w14:paraId="7BC100B5">
                  <w:pPr>
                    <w:adjustRightInd/>
                    <w:snapToGrid/>
                    <w:spacing w:beforeLines="20" w:afterLines="20" w:line="240" w:lineRule="auto"/>
                    <w:ind w:firstLine="0" w:firstLineChars="0"/>
                    <w:jc w:val="center"/>
                    <w:rPr>
                      <w:sz w:val="21"/>
                      <w:szCs w:val="21"/>
                    </w:rPr>
                  </w:pPr>
                  <w:r>
                    <w:rPr>
                      <w:sz w:val="21"/>
                      <w:szCs w:val="21"/>
                    </w:rPr>
                    <w:t>本项目发泡工序过程为密闭状态，产生的有机废气收集率为98%，收集后经管道收集进入蒸汽冷凝吸收塔后送至生物质锅炉燃烧处理后经30m排气筒排放。发泡颗粒进行密闭储存。经预测，非甲烷总烃厂界浓度为46.3350μg/m³，满足</w:t>
                  </w:r>
                  <w:r>
                    <w:rPr>
                      <w:bCs/>
                      <w:sz w:val="21"/>
                      <w:szCs w:val="21"/>
                    </w:rPr>
                    <w:t>相关标准要求</w:t>
                  </w:r>
                  <w:r>
                    <w:rPr>
                      <w:sz w:val="21"/>
                      <w:szCs w:val="21"/>
                    </w:rPr>
                    <w:t>。</w:t>
                  </w:r>
                </w:p>
              </w:tc>
              <w:tc>
                <w:tcPr>
                  <w:tcW w:w="427" w:type="pct"/>
                  <w:vAlign w:val="center"/>
                </w:tcPr>
                <w:p w14:paraId="0C20D495">
                  <w:pPr>
                    <w:adjustRightInd/>
                    <w:snapToGrid/>
                    <w:spacing w:beforeLines="20" w:afterLines="20" w:line="240" w:lineRule="auto"/>
                    <w:ind w:firstLine="0" w:firstLineChars="0"/>
                    <w:jc w:val="center"/>
                    <w:rPr>
                      <w:sz w:val="21"/>
                      <w:szCs w:val="21"/>
                    </w:rPr>
                  </w:pPr>
                  <w:r>
                    <w:rPr>
                      <w:sz w:val="21"/>
                      <w:szCs w:val="21"/>
                    </w:rPr>
                    <w:t>符合</w:t>
                  </w:r>
                </w:p>
              </w:tc>
            </w:tr>
            <w:tr w14:paraId="2827A8B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pct"/>
                  <w:vAlign w:val="center"/>
                </w:tcPr>
                <w:p w14:paraId="1EE9019A">
                  <w:pPr>
                    <w:adjustRightInd/>
                    <w:snapToGrid/>
                    <w:spacing w:beforeLines="20" w:afterLines="20" w:line="240" w:lineRule="auto"/>
                    <w:ind w:firstLine="0" w:firstLineChars="0"/>
                    <w:jc w:val="center"/>
                    <w:rPr>
                      <w:sz w:val="21"/>
                      <w:szCs w:val="21"/>
                    </w:rPr>
                  </w:pPr>
                  <w:r>
                    <w:rPr>
                      <w:sz w:val="21"/>
                      <w:szCs w:val="21"/>
                    </w:rPr>
                    <w:t>《辽宁省“十三五”挥发性有机物污染防治与削减工作实施方案》</w:t>
                  </w:r>
                </w:p>
              </w:tc>
              <w:tc>
                <w:tcPr>
                  <w:tcW w:w="2433" w:type="pct"/>
                  <w:vAlign w:val="center"/>
                </w:tcPr>
                <w:p w14:paraId="20EC291C">
                  <w:pPr>
                    <w:adjustRightInd/>
                    <w:snapToGrid/>
                    <w:spacing w:beforeLines="20" w:afterLines="20" w:line="240" w:lineRule="auto"/>
                    <w:ind w:firstLine="0" w:firstLineChars="0"/>
                    <w:jc w:val="left"/>
                    <w:rPr>
                      <w:sz w:val="21"/>
                      <w:szCs w:val="21"/>
                    </w:rPr>
                  </w:pPr>
                  <w:r>
                    <w:rPr>
                      <w:sz w:val="21"/>
                      <w:szCs w:val="21"/>
                    </w:rPr>
                    <w:t>严格建设项目环境准入。提高 VOCs 排放重点行业环保准入门槛，严格控制新增污染物排放量。重点地区要严格限制石化、化工、包装印刷、工业涂装等高VOCs排放建设项目。新建涉VOCs排放的工业企业要入园区。未纳入《石化产业规划布局方案》的新建炼化项目一律不得建设。严格涉VOCs建设项目环境影响评价，实行区域内VOCs排放等量或倍量削减替代，并将替代方案落实到企业排污许可证中，纳入环境执法管理。新、改、扩建涉VOCs排放项目，应从源头加强控制，使用低（无）VOCs含量的原辅材料，加强废气收集，安装高效治理设施。</w:t>
                  </w:r>
                </w:p>
              </w:tc>
              <w:tc>
                <w:tcPr>
                  <w:tcW w:w="1228" w:type="pct"/>
                  <w:vAlign w:val="center"/>
                </w:tcPr>
                <w:p w14:paraId="2429F075">
                  <w:pPr>
                    <w:adjustRightInd/>
                    <w:snapToGrid/>
                    <w:spacing w:beforeLines="20" w:afterLines="20" w:line="240" w:lineRule="auto"/>
                    <w:ind w:firstLine="0" w:firstLineChars="0"/>
                    <w:jc w:val="center"/>
                    <w:rPr>
                      <w:sz w:val="21"/>
                      <w:szCs w:val="21"/>
                    </w:rPr>
                  </w:pPr>
                  <w:r>
                    <w:rPr>
                      <w:sz w:val="21"/>
                      <w:szCs w:val="21"/>
                    </w:rPr>
                    <w:t>本项目主要从事外墙保温板的生产制造，不属于石化、化工、包装印刷、工业涂装等高VOCs排放建设项目，且项目建设地点为</w:t>
                  </w:r>
                  <w:r>
                    <w:rPr>
                      <w:sz w:val="21"/>
                      <w:szCs w:val="21"/>
                      <w:lang w:val="zh-CN"/>
                    </w:rPr>
                    <w:t>辽宁新材料产业经济开发区</w:t>
                  </w:r>
                  <w:r>
                    <w:rPr>
                      <w:sz w:val="21"/>
                      <w:szCs w:val="21"/>
                    </w:rPr>
                    <w:t>，符合建设项目环境准入要求。本项目产生VOCs的原材料为聚苯乙烯颗粒中的发泡剂戊烷，含量大约占总量的7%，VOCs含量较低，且仅在发泡工序中会有少量挥发，项目发泡工序过程为密闭状态，产生的有机废气收集率为98%，收集后经管道收集进入蒸汽冷凝吸收塔后送至生物质锅炉燃烧处理后经30m排气筒排放。发泡颗粒进行密闭储存。</w:t>
                  </w:r>
                </w:p>
              </w:tc>
              <w:tc>
                <w:tcPr>
                  <w:tcW w:w="427" w:type="pct"/>
                  <w:vAlign w:val="center"/>
                </w:tcPr>
                <w:p w14:paraId="7AA0FA1E">
                  <w:pPr>
                    <w:adjustRightInd/>
                    <w:snapToGrid/>
                    <w:spacing w:beforeLines="20" w:afterLines="20" w:line="240" w:lineRule="auto"/>
                    <w:ind w:firstLine="0" w:firstLineChars="0"/>
                    <w:jc w:val="center"/>
                    <w:rPr>
                      <w:sz w:val="21"/>
                      <w:szCs w:val="21"/>
                    </w:rPr>
                  </w:pPr>
                  <w:r>
                    <w:rPr>
                      <w:sz w:val="21"/>
                      <w:szCs w:val="21"/>
                    </w:rPr>
                    <w:t>符合</w:t>
                  </w:r>
                </w:p>
              </w:tc>
            </w:tr>
            <w:tr w14:paraId="028B422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pct"/>
                  <w:vAlign w:val="center"/>
                </w:tcPr>
                <w:p w14:paraId="0F53F159">
                  <w:pPr>
                    <w:adjustRightInd/>
                    <w:snapToGrid/>
                    <w:spacing w:beforeLines="20" w:afterLines="20" w:line="240" w:lineRule="auto"/>
                    <w:ind w:firstLine="0" w:firstLineChars="0"/>
                    <w:jc w:val="center"/>
                    <w:rPr>
                      <w:sz w:val="21"/>
                      <w:szCs w:val="21"/>
                    </w:rPr>
                  </w:pPr>
                  <w:r>
                    <w:rPr>
                      <w:sz w:val="21"/>
                      <w:szCs w:val="21"/>
                    </w:rPr>
                    <w:t>《盘山县2020年挥发性有机物综合治理方案》</w:t>
                  </w:r>
                </w:p>
              </w:tc>
              <w:tc>
                <w:tcPr>
                  <w:tcW w:w="2433" w:type="pct"/>
                  <w:vAlign w:val="center"/>
                </w:tcPr>
                <w:p w14:paraId="1AC036FD">
                  <w:pPr>
                    <w:adjustRightInd/>
                    <w:snapToGrid/>
                    <w:spacing w:beforeLines="20" w:afterLines="20" w:line="240" w:lineRule="auto"/>
                    <w:ind w:firstLine="0" w:firstLineChars="0"/>
                    <w:jc w:val="left"/>
                    <w:rPr>
                      <w:sz w:val="21"/>
                      <w:szCs w:val="21"/>
                    </w:rPr>
                  </w:pPr>
                  <w:r>
                    <w:rPr>
                      <w:sz w:val="21"/>
                      <w:szCs w:val="21"/>
                    </w:rPr>
                    <w:t>生产和使用环节应采用密闭设备，或在密闭空间中操作并有效收集废气，或进行局部气体收集；处置环节应将盛装过VOCs物料的废包装容器加盖密闭，按要求妥善处置，不得随意丢弃。</w:t>
                  </w:r>
                </w:p>
                <w:p w14:paraId="7D6EA0EE">
                  <w:pPr>
                    <w:adjustRightInd/>
                    <w:snapToGrid/>
                    <w:spacing w:beforeLines="20" w:afterLines="20" w:line="240" w:lineRule="auto"/>
                    <w:ind w:firstLine="0" w:firstLineChars="0"/>
                    <w:jc w:val="left"/>
                  </w:pPr>
                  <w:r>
                    <w:rPr>
                      <w:sz w:val="21"/>
                      <w:szCs w:val="21"/>
                    </w:rPr>
                    <w:t>VOCs处理系统应与生产工艺设备保持同步运行，根据处理工艺，处理设施通常应略早于生产设备启动、略晚于生产设备停止。VOCs废气处理系统发生故障或检修时，对应生产工艺设备应停止运行，待检修完毕后同步投入使用。</w:t>
                  </w:r>
                </w:p>
              </w:tc>
              <w:tc>
                <w:tcPr>
                  <w:tcW w:w="1228" w:type="pct"/>
                  <w:vAlign w:val="center"/>
                </w:tcPr>
                <w:p w14:paraId="4F82C527">
                  <w:pPr>
                    <w:adjustRightInd/>
                    <w:snapToGrid/>
                    <w:spacing w:beforeLines="20" w:afterLines="20" w:line="240" w:lineRule="auto"/>
                    <w:ind w:firstLine="0" w:firstLineChars="0"/>
                    <w:jc w:val="center"/>
                    <w:rPr>
                      <w:sz w:val="21"/>
                      <w:szCs w:val="21"/>
                    </w:rPr>
                  </w:pPr>
                  <w:r>
                    <w:rPr>
                      <w:sz w:val="21"/>
                      <w:szCs w:val="21"/>
                    </w:rPr>
                    <w:t>本项目发泡工序过程为密闭状态，产生的有机废气收集率为98%，收集后经管道收集进入蒸汽冷凝吸收塔后送至生物质锅炉燃烧处理后经30m排气筒排放。发泡颗粒进行密闭储存。废气处理措施与生产工艺设备保持同步运行。</w:t>
                  </w:r>
                </w:p>
              </w:tc>
              <w:tc>
                <w:tcPr>
                  <w:tcW w:w="427" w:type="pct"/>
                  <w:vAlign w:val="center"/>
                </w:tcPr>
                <w:p w14:paraId="0E45923E">
                  <w:pPr>
                    <w:adjustRightInd/>
                    <w:snapToGrid/>
                    <w:spacing w:beforeLines="20" w:afterLines="20" w:line="240" w:lineRule="auto"/>
                    <w:ind w:firstLine="0" w:firstLineChars="0"/>
                    <w:jc w:val="center"/>
                    <w:rPr>
                      <w:sz w:val="21"/>
                      <w:szCs w:val="21"/>
                    </w:rPr>
                  </w:pPr>
                  <w:r>
                    <w:rPr>
                      <w:sz w:val="21"/>
                      <w:szCs w:val="21"/>
                    </w:rPr>
                    <w:t>符合</w:t>
                  </w:r>
                </w:p>
              </w:tc>
            </w:tr>
            <w:tr w14:paraId="6712790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vAlign w:val="center"/>
                </w:tcPr>
                <w:p w14:paraId="07D46679">
                  <w:pPr>
                    <w:adjustRightInd/>
                    <w:snapToGrid/>
                    <w:spacing w:beforeLines="20" w:afterLines="20" w:line="240" w:lineRule="auto"/>
                    <w:ind w:firstLine="0" w:firstLineChars="0"/>
                    <w:jc w:val="center"/>
                    <w:rPr>
                      <w:sz w:val="21"/>
                      <w:szCs w:val="21"/>
                    </w:rPr>
                  </w:pPr>
                  <w:r>
                    <w:rPr>
                      <w:sz w:val="21"/>
                      <w:szCs w:val="21"/>
                    </w:rPr>
                    <w:t>《关于加快解决当前挥发性有机物治理突出问题的通知》（环大气[2021]65号）</w:t>
                  </w:r>
                </w:p>
              </w:tc>
              <w:tc>
                <w:tcPr>
                  <w:tcW w:w="3585" w:type="dxa"/>
                  <w:vAlign w:val="center"/>
                </w:tcPr>
                <w:p w14:paraId="22ED266B">
                  <w:pPr>
                    <w:adjustRightInd/>
                    <w:snapToGrid/>
                    <w:spacing w:beforeLines="20" w:afterLines="20" w:line="240" w:lineRule="auto"/>
                    <w:ind w:firstLine="0" w:firstLineChars="0"/>
                    <w:jc w:val="center"/>
                    <w:rPr>
                      <w:sz w:val="21"/>
                      <w:szCs w:val="21"/>
                    </w:rPr>
                  </w:pPr>
                  <w:r>
                    <w:rPr>
                      <w:sz w:val="21"/>
                      <w:szCs w:val="21"/>
                    </w:rPr>
                    <w:t>各地要以石油炼制、石油化工、合成树脂等石化行业，有机化工、煤化工、焦化（含兰炭）、制药、农药、涂料、油墨、胶粘剂等化工行业，涉及工业涂装的汽车、家具、零部件、钢结构、彩涂板等行业，包装印刷行业以及油品储运销为重点，并结合本地特色产业，组织企业针对挥发性有机液体储罐、装卸、敞开液面、泄漏检测与修复（LDAR）、废气收集、废气旁路、治理设施、加油站、非正常工况、产品VOCs含量等10个关键环节，认真对照大气污染防治法、排污许可证、相关排放标准和产品VOCs含量限值标准等开展排查整治。</w:t>
                  </w:r>
                </w:p>
              </w:tc>
              <w:tc>
                <w:tcPr>
                  <w:tcW w:w="1228" w:type="pct"/>
                  <w:vAlign w:val="center"/>
                </w:tcPr>
                <w:p w14:paraId="4B187CE8">
                  <w:pPr>
                    <w:adjustRightInd/>
                    <w:snapToGrid/>
                    <w:spacing w:beforeLines="20" w:afterLines="20" w:line="240" w:lineRule="auto"/>
                    <w:ind w:firstLine="0" w:firstLineChars="0"/>
                    <w:jc w:val="center"/>
                    <w:rPr>
                      <w:sz w:val="21"/>
                      <w:szCs w:val="21"/>
                    </w:rPr>
                  </w:pPr>
                  <w:r>
                    <w:rPr>
                      <w:sz w:val="21"/>
                      <w:szCs w:val="21"/>
                    </w:rPr>
                    <w:t>本项目主要从事外墙保温板的生产制造。项目产生VOCs的原材料为聚苯乙烯颗粒中的发泡剂戊烷，含量大约占总量的7%，VOCs含量较低，发泡工序过程为密闭状态，产生的有机废气收集率为98%，收集后经管道收集进入蒸汽冷凝吸收塔后送至生物质锅炉燃烧处理。</w:t>
                  </w:r>
                </w:p>
              </w:tc>
              <w:tc>
                <w:tcPr>
                  <w:tcW w:w="427" w:type="pct"/>
                  <w:vAlign w:val="center"/>
                </w:tcPr>
                <w:p w14:paraId="0E342CDC">
                  <w:pPr>
                    <w:adjustRightInd/>
                    <w:snapToGrid/>
                    <w:spacing w:beforeLines="20" w:afterLines="20" w:line="240" w:lineRule="auto"/>
                    <w:ind w:firstLine="0" w:firstLineChars="0"/>
                    <w:jc w:val="center"/>
                    <w:rPr>
                      <w:sz w:val="21"/>
                      <w:szCs w:val="21"/>
                    </w:rPr>
                  </w:pPr>
                  <w:r>
                    <w:rPr>
                      <w:sz w:val="21"/>
                      <w:szCs w:val="21"/>
                    </w:rPr>
                    <w:t>符合</w:t>
                  </w:r>
                </w:p>
              </w:tc>
            </w:tr>
          </w:tbl>
          <w:p w14:paraId="4C53D543">
            <w:pPr>
              <w:ind w:firstLine="480"/>
            </w:pPr>
            <w:r>
              <w:t>3、“三线一单”符合性分析</w:t>
            </w:r>
          </w:p>
          <w:p w14:paraId="3AE18B1D">
            <w:pPr>
              <w:ind w:firstLine="480"/>
            </w:pPr>
            <w:r>
              <w:t>根据《关于以改善环境质量为核心加强环境影响评价管理的通知》（环环评[2016]150号）。《通知》要求，切实加强环境影响评价管理，落实“生态保护红线、环境质量底线、资源利用上线和环境准入负面清单”约束。项目与“三线一单”的符合性具体见下表。</w:t>
            </w:r>
          </w:p>
          <w:p w14:paraId="6D248671">
            <w:pPr>
              <w:pStyle w:val="33"/>
              <w:spacing w:beforeLines="0"/>
              <w:rPr>
                <w:rFonts w:hint="default"/>
              </w:rPr>
            </w:pPr>
            <w:r>
              <w:rPr>
                <w:rFonts w:hint="default"/>
              </w:rPr>
              <w:t>表2</w:t>
            </w:r>
            <w:r>
              <w:rPr>
                <w:rFonts w:hint="default"/>
              </w:rPr>
              <w:tab/>
            </w:r>
            <w:r>
              <w:rPr>
                <w:rFonts w:hint="default"/>
              </w:rPr>
              <w:t>“三线一单”符合性判定一览表</w:t>
            </w:r>
          </w:p>
          <w:tbl>
            <w:tblPr>
              <w:tblStyle w:val="24"/>
              <w:tblW w:w="5000" w:type="pct"/>
              <w:tblInd w:w="0" w:type="dxa"/>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79"/>
              <w:gridCol w:w="13"/>
              <w:gridCol w:w="361"/>
              <w:gridCol w:w="3177"/>
              <w:gridCol w:w="2631"/>
              <w:gridCol w:w="507"/>
            </w:tblGrid>
            <w:tr w14:paraId="722117D7">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343" w:type="pct"/>
                  <w:gridSpan w:val="2"/>
                  <w:tcBorders>
                    <w:tl2br w:val="nil"/>
                    <w:tr2bl w:val="nil"/>
                  </w:tcBorders>
                  <w:vAlign w:val="center"/>
                </w:tcPr>
                <w:p w14:paraId="3BDB3E30">
                  <w:pPr>
                    <w:pStyle w:val="32"/>
                    <w:spacing w:before="48" w:after="48"/>
                  </w:pPr>
                  <w:r>
                    <w:t>序号</w:t>
                  </w:r>
                </w:p>
              </w:tc>
              <w:tc>
                <w:tcPr>
                  <w:tcW w:w="252" w:type="pct"/>
                  <w:tcBorders>
                    <w:tl2br w:val="nil"/>
                    <w:tr2bl w:val="nil"/>
                  </w:tcBorders>
                  <w:vAlign w:val="center"/>
                </w:tcPr>
                <w:p w14:paraId="6A842FB4">
                  <w:pPr>
                    <w:pStyle w:val="32"/>
                    <w:spacing w:before="48" w:after="48"/>
                  </w:pPr>
                  <w:r>
                    <w:t>内容</w:t>
                  </w:r>
                </w:p>
              </w:tc>
              <w:tc>
                <w:tcPr>
                  <w:tcW w:w="2216" w:type="pct"/>
                  <w:tcBorders>
                    <w:tl2br w:val="nil"/>
                    <w:tr2bl w:val="nil"/>
                  </w:tcBorders>
                  <w:vAlign w:val="center"/>
                </w:tcPr>
                <w:p w14:paraId="30BB0E7B">
                  <w:pPr>
                    <w:pStyle w:val="32"/>
                    <w:spacing w:before="48" w:after="48"/>
                  </w:pPr>
                  <w:r>
                    <w:t>要求</w:t>
                  </w:r>
                </w:p>
              </w:tc>
              <w:tc>
                <w:tcPr>
                  <w:tcW w:w="1835" w:type="pct"/>
                  <w:tcBorders>
                    <w:tl2br w:val="nil"/>
                    <w:tr2bl w:val="nil"/>
                  </w:tcBorders>
                  <w:vAlign w:val="center"/>
                </w:tcPr>
                <w:p w14:paraId="625092D9">
                  <w:pPr>
                    <w:pStyle w:val="32"/>
                    <w:spacing w:before="48" w:after="48"/>
                  </w:pPr>
                  <w:r>
                    <w:t>本项目情况</w:t>
                  </w:r>
                </w:p>
              </w:tc>
              <w:tc>
                <w:tcPr>
                  <w:tcW w:w="354" w:type="pct"/>
                  <w:tcBorders>
                    <w:tl2br w:val="nil"/>
                    <w:tr2bl w:val="nil"/>
                  </w:tcBorders>
                  <w:vAlign w:val="center"/>
                </w:tcPr>
                <w:p w14:paraId="2DBD2442">
                  <w:pPr>
                    <w:pStyle w:val="32"/>
                    <w:spacing w:before="48" w:after="48"/>
                  </w:pPr>
                  <w:r>
                    <w:t>相</w:t>
                  </w:r>
                </w:p>
                <w:p w14:paraId="35485612">
                  <w:pPr>
                    <w:pStyle w:val="32"/>
                    <w:spacing w:before="48" w:after="48"/>
                  </w:pPr>
                  <w:r>
                    <w:t>符性</w:t>
                  </w:r>
                </w:p>
              </w:tc>
            </w:tr>
            <w:tr w14:paraId="72BD03BC">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343" w:type="pct"/>
                  <w:gridSpan w:val="2"/>
                  <w:tcBorders>
                    <w:tl2br w:val="nil"/>
                    <w:tr2bl w:val="nil"/>
                  </w:tcBorders>
                  <w:vAlign w:val="center"/>
                </w:tcPr>
                <w:p w14:paraId="4D491A29">
                  <w:pPr>
                    <w:pStyle w:val="32"/>
                    <w:spacing w:before="48" w:after="48"/>
                  </w:pPr>
                  <w:r>
                    <w:t>1</w:t>
                  </w:r>
                </w:p>
              </w:tc>
              <w:tc>
                <w:tcPr>
                  <w:tcW w:w="252" w:type="pct"/>
                  <w:tcBorders>
                    <w:tl2br w:val="nil"/>
                    <w:tr2bl w:val="nil"/>
                  </w:tcBorders>
                  <w:vAlign w:val="center"/>
                </w:tcPr>
                <w:p w14:paraId="099BA41B">
                  <w:pPr>
                    <w:pStyle w:val="32"/>
                    <w:spacing w:before="48" w:after="48"/>
                  </w:pPr>
                  <w:r>
                    <w:t>生态保护红线</w:t>
                  </w:r>
                </w:p>
              </w:tc>
              <w:tc>
                <w:tcPr>
                  <w:tcW w:w="2216" w:type="pct"/>
                  <w:tcBorders>
                    <w:tl2br w:val="nil"/>
                    <w:tr2bl w:val="nil"/>
                  </w:tcBorders>
                  <w:vAlign w:val="center"/>
                </w:tcPr>
                <w:p w14:paraId="60F37840">
                  <w:pPr>
                    <w:pStyle w:val="32"/>
                    <w:spacing w:before="48" w:after="48"/>
                  </w:pPr>
                  <w:r>
                    <w:t>生态保护红线是生态空间范围内具有特殊重要生态功能必须实行强制性严格保护的区域。在生态保护红线范围内，严控各类开发区建设活动，依法不予审批新建工业项目和矿产开发项目的环评文件</w:t>
                  </w:r>
                </w:p>
              </w:tc>
              <w:tc>
                <w:tcPr>
                  <w:tcW w:w="1835" w:type="pct"/>
                  <w:tcBorders>
                    <w:tl2br w:val="nil"/>
                    <w:tr2bl w:val="nil"/>
                  </w:tcBorders>
                  <w:vAlign w:val="center"/>
                </w:tcPr>
                <w:p w14:paraId="0DDF9C60">
                  <w:pPr>
                    <w:pStyle w:val="32"/>
                    <w:spacing w:before="48" w:after="48"/>
                  </w:pPr>
                  <w:r>
                    <w:t>本项目位于辽宁省盘锦市盘山县辽宁新材料产业经济开发区，该区域无农田保护区、水源保护区、自然风景保护区等。不在生态红线划定的范围内。</w:t>
                  </w:r>
                </w:p>
              </w:tc>
              <w:tc>
                <w:tcPr>
                  <w:tcW w:w="354" w:type="pct"/>
                  <w:tcBorders>
                    <w:tl2br w:val="nil"/>
                    <w:tr2bl w:val="nil"/>
                  </w:tcBorders>
                  <w:vAlign w:val="center"/>
                </w:tcPr>
                <w:p w14:paraId="07F393D9">
                  <w:pPr>
                    <w:pStyle w:val="32"/>
                    <w:spacing w:before="48" w:after="48"/>
                  </w:pPr>
                  <w:r>
                    <w:t>符合</w:t>
                  </w:r>
                </w:p>
              </w:tc>
            </w:tr>
            <w:tr w14:paraId="2E1995FE">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43" w:type="pct"/>
                  <w:gridSpan w:val="2"/>
                  <w:tcBorders>
                    <w:tl2br w:val="nil"/>
                    <w:tr2bl w:val="nil"/>
                  </w:tcBorders>
                  <w:vAlign w:val="center"/>
                </w:tcPr>
                <w:p w14:paraId="226C20CE">
                  <w:pPr>
                    <w:pStyle w:val="32"/>
                    <w:spacing w:before="48" w:after="48"/>
                  </w:pPr>
                  <w:r>
                    <w:t>2</w:t>
                  </w:r>
                </w:p>
              </w:tc>
              <w:tc>
                <w:tcPr>
                  <w:tcW w:w="252" w:type="pct"/>
                  <w:tcBorders>
                    <w:tl2br w:val="nil"/>
                    <w:tr2bl w:val="nil"/>
                  </w:tcBorders>
                  <w:vAlign w:val="center"/>
                </w:tcPr>
                <w:p w14:paraId="1B2A31DA">
                  <w:pPr>
                    <w:pStyle w:val="32"/>
                    <w:spacing w:before="48" w:after="48"/>
                  </w:pPr>
                  <w:r>
                    <w:t>环境质量</w:t>
                  </w:r>
                </w:p>
                <w:p w14:paraId="76AF8D68">
                  <w:pPr>
                    <w:pStyle w:val="32"/>
                    <w:spacing w:before="48" w:after="48"/>
                  </w:pPr>
                  <w:r>
                    <w:t>底线</w:t>
                  </w:r>
                </w:p>
              </w:tc>
              <w:tc>
                <w:tcPr>
                  <w:tcW w:w="2216" w:type="pct"/>
                  <w:tcBorders>
                    <w:tl2br w:val="nil"/>
                    <w:tr2bl w:val="nil"/>
                  </w:tcBorders>
                  <w:vAlign w:val="center"/>
                </w:tcPr>
                <w:p w14:paraId="584B7D62">
                  <w:pPr>
                    <w:pStyle w:val="32"/>
                    <w:spacing w:before="48" w:after="48"/>
                  </w:pPr>
                  <w:r>
                    <w:t>环境质量底线是国家和地方设置的大气、水和土壤环境质量目标，也是改善环境质量的基准线。环境质量现状超标地区以及未达环境质量目标考核要求地区上新项目将受到限制，对环境质量现状超标的地区，项目拟采取的措施不能满足区域环境质量改善管理要求的，依法不予审批环评文件。</w:t>
                  </w:r>
                </w:p>
              </w:tc>
              <w:tc>
                <w:tcPr>
                  <w:tcW w:w="1835" w:type="pct"/>
                  <w:tcBorders>
                    <w:tl2br w:val="nil"/>
                    <w:tr2bl w:val="nil"/>
                  </w:tcBorders>
                  <w:vAlign w:val="center"/>
                </w:tcPr>
                <w:p w14:paraId="3351475E">
                  <w:pPr>
                    <w:pStyle w:val="32"/>
                    <w:spacing w:before="48" w:after="48"/>
                  </w:pPr>
                  <w:r>
                    <w:t>本项目环境空气质量引用“2020年盘锦市环境质量公报”中相关数据，项目所在区域监测数据满足环境空气质量二级标准，因此判定为达标区。</w:t>
                  </w:r>
                  <w:r>
                    <w:rPr>
                      <w:szCs w:val="21"/>
                    </w:rPr>
                    <w:t>项目区TSP满足相应标准要求。</w:t>
                  </w:r>
                  <w:r>
                    <w:t>项目经采取污染防治措施后，是合理可行的。</w:t>
                  </w:r>
                </w:p>
              </w:tc>
              <w:tc>
                <w:tcPr>
                  <w:tcW w:w="354" w:type="pct"/>
                  <w:tcBorders>
                    <w:tl2br w:val="nil"/>
                    <w:tr2bl w:val="nil"/>
                  </w:tcBorders>
                  <w:vAlign w:val="center"/>
                </w:tcPr>
                <w:p w14:paraId="6A14AEF3">
                  <w:pPr>
                    <w:pStyle w:val="32"/>
                    <w:spacing w:before="48" w:after="48"/>
                  </w:pPr>
                  <w:r>
                    <w:t>符合</w:t>
                  </w:r>
                </w:p>
              </w:tc>
            </w:tr>
            <w:tr w14:paraId="7C0F6DA5">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334" w:type="pct"/>
                  <w:tcBorders>
                    <w:tl2br w:val="nil"/>
                    <w:tr2bl w:val="nil"/>
                  </w:tcBorders>
                  <w:vAlign w:val="center"/>
                </w:tcPr>
                <w:p w14:paraId="5FCE085C">
                  <w:pPr>
                    <w:pStyle w:val="32"/>
                    <w:spacing w:before="48" w:after="48"/>
                  </w:pPr>
                  <w:r>
                    <w:t>3</w:t>
                  </w:r>
                </w:p>
              </w:tc>
              <w:tc>
                <w:tcPr>
                  <w:tcW w:w="261" w:type="pct"/>
                  <w:gridSpan w:val="2"/>
                  <w:tcBorders>
                    <w:tl2br w:val="nil"/>
                    <w:tr2bl w:val="nil"/>
                  </w:tcBorders>
                  <w:vAlign w:val="center"/>
                </w:tcPr>
                <w:p w14:paraId="50D1B5FD">
                  <w:pPr>
                    <w:pStyle w:val="32"/>
                    <w:spacing w:before="48" w:after="48"/>
                  </w:pPr>
                  <w:r>
                    <w:t>资源利用上线</w:t>
                  </w:r>
                </w:p>
              </w:tc>
              <w:tc>
                <w:tcPr>
                  <w:tcW w:w="2216" w:type="pct"/>
                  <w:tcBorders>
                    <w:tl2br w:val="nil"/>
                    <w:tr2bl w:val="nil"/>
                  </w:tcBorders>
                  <w:vAlign w:val="center"/>
                </w:tcPr>
                <w:p w14:paraId="0D950303">
                  <w:pPr>
                    <w:pStyle w:val="32"/>
                    <w:spacing w:before="48" w:after="48"/>
                  </w:pPr>
                  <w:r>
                    <w:t>依据有关资源利用上线要求，即各地区能源、水、土地等资源消耗是不得突破“天花板”。资源利用上线是促进资源节约，保障能源、水、土地等资源高效利用，完善水资源、土地资源开发利用和能源消耗的总量、强度、效率等要求。</w:t>
                  </w:r>
                </w:p>
              </w:tc>
              <w:tc>
                <w:tcPr>
                  <w:tcW w:w="1835" w:type="pct"/>
                  <w:tcBorders>
                    <w:tl2br w:val="nil"/>
                    <w:tr2bl w:val="nil"/>
                  </w:tcBorders>
                  <w:vAlign w:val="center"/>
                </w:tcPr>
                <w:p w14:paraId="69E9CCF0">
                  <w:pPr>
                    <w:pStyle w:val="32"/>
                    <w:spacing w:before="48" w:after="48"/>
                  </w:pPr>
                  <w:r>
                    <w:t>本项目主要用能为电、水、生物质，项目能源消耗量较小，本项目用地属于工业用地，符合资源利用上限要求。</w:t>
                  </w:r>
                </w:p>
              </w:tc>
              <w:tc>
                <w:tcPr>
                  <w:tcW w:w="354" w:type="pct"/>
                  <w:tcBorders>
                    <w:tl2br w:val="nil"/>
                    <w:tr2bl w:val="nil"/>
                  </w:tcBorders>
                  <w:vAlign w:val="center"/>
                </w:tcPr>
                <w:p w14:paraId="623F7F5A">
                  <w:pPr>
                    <w:pStyle w:val="32"/>
                    <w:spacing w:before="48" w:after="48"/>
                  </w:pPr>
                  <w:r>
                    <w:t>符合</w:t>
                  </w:r>
                </w:p>
              </w:tc>
            </w:tr>
            <w:tr w14:paraId="127CE68D">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334" w:type="pct"/>
                  <w:tcBorders>
                    <w:tl2br w:val="nil"/>
                    <w:tr2bl w:val="nil"/>
                  </w:tcBorders>
                  <w:vAlign w:val="center"/>
                </w:tcPr>
                <w:p w14:paraId="5279CC1C">
                  <w:pPr>
                    <w:pStyle w:val="32"/>
                    <w:spacing w:before="48" w:after="48"/>
                  </w:pPr>
                  <w:r>
                    <w:t>4</w:t>
                  </w:r>
                </w:p>
              </w:tc>
              <w:tc>
                <w:tcPr>
                  <w:tcW w:w="261" w:type="pct"/>
                  <w:gridSpan w:val="2"/>
                  <w:tcBorders>
                    <w:tl2br w:val="nil"/>
                    <w:tr2bl w:val="nil"/>
                  </w:tcBorders>
                  <w:vAlign w:val="center"/>
                </w:tcPr>
                <w:p w14:paraId="4E76C521">
                  <w:pPr>
                    <w:pStyle w:val="32"/>
                    <w:spacing w:before="48" w:after="48"/>
                  </w:pPr>
                  <w:r>
                    <w:t>环境准入负面清单</w:t>
                  </w:r>
                </w:p>
              </w:tc>
              <w:tc>
                <w:tcPr>
                  <w:tcW w:w="2216" w:type="pct"/>
                  <w:tcBorders>
                    <w:tl2br w:val="nil"/>
                    <w:tr2bl w:val="nil"/>
                  </w:tcBorders>
                  <w:vAlign w:val="center"/>
                </w:tcPr>
                <w:p w14:paraId="04405C63">
                  <w:pPr>
                    <w:pStyle w:val="32"/>
                    <w:spacing w:before="48" w:after="48"/>
                  </w:pPr>
                  <w: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tc>
              <w:tc>
                <w:tcPr>
                  <w:tcW w:w="1835" w:type="pct"/>
                  <w:tcBorders>
                    <w:tl2br w:val="nil"/>
                    <w:tr2bl w:val="nil"/>
                  </w:tcBorders>
                  <w:vAlign w:val="center"/>
                </w:tcPr>
                <w:p w14:paraId="56D2D46B">
                  <w:pPr>
                    <w:pStyle w:val="32"/>
                    <w:spacing w:before="48" w:after="48"/>
                  </w:pPr>
                  <w:r>
                    <w:t>本项目属于《产业结构调整指导目录（2019年本）》中规定的鼓励类项目。参照国家发展改革委 商务部关于印发《市场准入负面清单（2022年版）</w:t>
                  </w:r>
                  <w:r>
                    <w:rPr>
                      <w:rFonts w:hint="eastAsia"/>
                      <w:lang w:eastAsia="zh-CN"/>
                    </w:rPr>
                    <w:t>》</w:t>
                  </w:r>
                  <w:r>
                    <w:t>的通知（发改体改规[2022]397号）和《辽宁省人民政府关于试行辽宁省企业投资项目负面清单管理的指导意见》（辽政[2015]19号），本项目不在国家及辽宁省企业投资项目负面清单内。</w:t>
                  </w:r>
                </w:p>
              </w:tc>
              <w:tc>
                <w:tcPr>
                  <w:tcW w:w="354" w:type="pct"/>
                  <w:tcBorders>
                    <w:tl2br w:val="nil"/>
                    <w:tr2bl w:val="nil"/>
                  </w:tcBorders>
                  <w:vAlign w:val="center"/>
                </w:tcPr>
                <w:p w14:paraId="61E11BAB">
                  <w:pPr>
                    <w:pStyle w:val="32"/>
                    <w:spacing w:before="48" w:after="48"/>
                  </w:pPr>
                  <w:r>
                    <w:t>符合</w:t>
                  </w:r>
                </w:p>
              </w:tc>
            </w:tr>
          </w:tbl>
          <w:p w14:paraId="21A912F6">
            <w:pPr>
              <w:widowControl/>
              <w:adjustRightInd/>
              <w:snapToGrid/>
              <w:ind w:firstLine="480"/>
              <w:jc w:val="left"/>
              <w:rPr>
                <w:color w:val="FF0000"/>
                <w:kern w:val="0"/>
              </w:rPr>
            </w:pPr>
            <w:r>
              <w:rPr>
                <w:color w:val="FF0000"/>
                <w:kern w:val="0"/>
              </w:rPr>
              <w:t>对照《关于实施“三线一单”生态环境分区管控的意见》（盘政发〔2021〕9号），“全市共划分优先保护、重点管控和一般管控三大类共85个环境管控单元。优先保护单元指以生态环境保护为主的区域，主要包括生态保护红线、各类自然保护地、饮用水水源保护区及其他重要生态功能区等；重点管控单元指涉及水、大气、土壤、自然资源等资源环境要素重点管控的区域，主要包括人口密集的中心城区、产业园区和开发强度大、污染物排放强度高、环境问题较为突出的区域等；一般管控单元指优先保护单元和重点管控单元以外的其他区域。”对照“盘锦市环境管控单元分布示意图”及“三线一单”管控单元查询申请表知，本项目所在环境管控单元类别为重点管控区，环境管控单元编码为ZH21112220030。</w:t>
            </w:r>
          </w:p>
          <w:p w14:paraId="4765BB23">
            <w:pPr>
              <w:widowControl/>
              <w:adjustRightInd/>
              <w:snapToGrid/>
              <w:ind w:firstLine="480"/>
              <w:rPr>
                <w:color w:val="FF0000"/>
                <w:kern w:val="0"/>
              </w:rPr>
            </w:pPr>
            <w:r>
              <w:rPr>
                <w:color w:val="FF0000"/>
                <w:kern w:val="0"/>
              </w:rPr>
              <w:t>分区环境管控要求：</w:t>
            </w:r>
          </w:p>
          <w:p w14:paraId="7C555795">
            <w:pPr>
              <w:widowControl/>
              <w:adjustRightInd/>
              <w:snapToGrid/>
              <w:ind w:firstLine="480"/>
              <w:rPr>
                <w:color w:val="FF0000"/>
                <w:kern w:val="0"/>
              </w:rPr>
            </w:pPr>
            <w:r>
              <w:rPr>
                <w:color w:val="FF0000"/>
                <w:kern w:val="0"/>
              </w:rPr>
              <w:t>优先保护单元。依法禁止或限制大规模、高强度的工业和城镇建设活动，确保重要生态功能区面积不减少、功能不降低、性质不改变。</w:t>
            </w:r>
          </w:p>
          <w:p w14:paraId="7617E2EF">
            <w:pPr>
              <w:widowControl/>
              <w:adjustRightInd/>
              <w:snapToGrid/>
              <w:ind w:firstLine="480"/>
              <w:rPr>
                <w:color w:val="FF0000"/>
                <w:kern w:val="0"/>
              </w:rPr>
            </w:pPr>
            <w:r>
              <w:rPr>
                <w:color w:val="FF0000"/>
                <w:kern w:val="0"/>
              </w:rPr>
              <w:t>重点管控单元。</w:t>
            </w:r>
          </w:p>
          <w:p w14:paraId="1D955610">
            <w:pPr>
              <w:widowControl/>
              <w:adjustRightInd/>
              <w:snapToGrid/>
              <w:ind w:firstLine="480"/>
              <w:rPr>
                <w:color w:val="FF0000"/>
                <w:kern w:val="0"/>
              </w:rPr>
            </w:pPr>
            <w:r>
              <w:rPr>
                <w:color w:val="FF0000"/>
                <w:kern w:val="0"/>
              </w:rPr>
              <w:t>1.城镇重点管控单元。优化工业布局，有序实施高污染、高排放工业企业整改或搬迁退出；强化交通污染源管控；完善污水治理设施；加快城镇河流水系环境整治；加强工业污染场地环境风险防控和开发再利用监管。</w:t>
            </w:r>
          </w:p>
          <w:p w14:paraId="5E3BC619">
            <w:pPr>
              <w:widowControl/>
              <w:adjustRightInd/>
              <w:snapToGrid/>
              <w:ind w:firstLine="480"/>
              <w:rPr>
                <w:color w:val="FF0000"/>
                <w:kern w:val="0"/>
              </w:rPr>
            </w:pPr>
            <w:r>
              <w:rPr>
                <w:color w:val="FF0000"/>
                <w:kern w:val="0"/>
              </w:rPr>
              <w:t>2.产业园区重点管控单元。严格产业准入，完善园区设施建设，推动设施提标改造；实施污染物总量控制，落实排污许可证制度；强化资源利用效率和地下水开采管控。</w:t>
            </w:r>
          </w:p>
          <w:p w14:paraId="442FD42B">
            <w:pPr>
              <w:widowControl/>
              <w:adjustRightInd/>
              <w:snapToGrid/>
              <w:ind w:firstLine="480"/>
              <w:rPr>
                <w:color w:val="FF0000"/>
                <w:kern w:val="0"/>
              </w:rPr>
            </w:pPr>
            <w:r>
              <w:rPr>
                <w:color w:val="FF0000"/>
                <w:kern w:val="0"/>
              </w:rPr>
              <w:t>3.农业农村重点管控单元。优化规模化畜禽养殖布局，深入推进农村生活污水治理、生活垃圾分类和资源化利用等农村环境综合整治工作，持续巩固提升美丽乡村建设成果；减少化肥农药施用量，优化农业种植结构，推动秸秆综合利用。</w:t>
            </w:r>
          </w:p>
          <w:p w14:paraId="1DBE8FDA">
            <w:pPr>
              <w:widowControl/>
              <w:adjustRightInd/>
              <w:snapToGrid/>
              <w:ind w:firstLine="480"/>
              <w:rPr>
                <w:color w:val="FF0000"/>
                <w:kern w:val="0"/>
              </w:rPr>
            </w:pPr>
            <w:r>
              <w:rPr>
                <w:color w:val="FF0000"/>
                <w:kern w:val="0"/>
              </w:rPr>
              <w:t>一般管控单元。生态环境保护与适度开发相结合，开发建设中应落实国家、省、市关于产业准入、总量控制和污染物排放标准等管控要求。</w:t>
            </w:r>
          </w:p>
          <w:p w14:paraId="569B6C5D">
            <w:pPr>
              <w:widowControl/>
              <w:adjustRightInd/>
              <w:snapToGrid/>
              <w:ind w:firstLine="480"/>
              <w:jc w:val="left"/>
            </w:pPr>
            <w:r>
              <w:rPr>
                <w:kern w:val="0"/>
              </w:rPr>
              <w:t xml:space="preserve">①生态保护红线 </w:t>
            </w:r>
          </w:p>
          <w:p w14:paraId="153A5D65">
            <w:pPr>
              <w:widowControl/>
              <w:adjustRightInd/>
              <w:snapToGrid/>
              <w:ind w:firstLine="480"/>
              <w:jc w:val="left"/>
            </w:pPr>
            <w:r>
              <w:rPr>
                <w:kern w:val="0"/>
              </w:rPr>
              <w:t>本项目位于</w:t>
            </w:r>
            <w:r>
              <w:t>盘山县辽宁新材料产业经济开发区</w:t>
            </w:r>
            <w:r>
              <w:rPr>
                <w:kern w:val="0"/>
              </w:rPr>
              <w:t>，用地性质为工业用地。根据《盘锦市生态保护红线划定研究报告》，生态保护红线识别范围包括国家、省级、市级三个层面识别的重要生态功能区、生态敏感区及禁止开发区。将识别的重要生态功能区、生态敏感区及禁止开发区、海洋生态保护红线区叠加，得到盘锦省级生态保护红线范围，盘锦市市级生态保护红线范围。通过将规划区边界与盘锦市生态红线保护范围叠加可知，本项目不占用盘锦市生态保护红线用地。</w:t>
            </w:r>
          </w:p>
          <w:p w14:paraId="6D50FD88">
            <w:pPr>
              <w:widowControl/>
              <w:adjustRightInd/>
              <w:snapToGrid/>
              <w:ind w:firstLine="480"/>
              <w:jc w:val="left"/>
            </w:pPr>
            <w:r>
              <w:rPr>
                <w:kern w:val="0"/>
              </w:rPr>
              <w:t xml:space="preserve">②环境质量底线 </w:t>
            </w:r>
          </w:p>
          <w:p w14:paraId="33B1918C">
            <w:pPr>
              <w:widowControl/>
              <w:adjustRightInd/>
              <w:snapToGrid/>
              <w:ind w:firstLine="480"/>
              <w:jc w:val="left"/>
            </w:pPr>
            <w:r>
              <w:rPr>
                <w:kern w:val="0"/>
              </w:rPr>
              <w:t>根据</w:t>
            </w:r>
            <w:r>
              <w:t>“2020年盘锦市环境质量公报”</w:t>
            </w:r>
            <w:r>
              <w:rPr>
                <w:kern w:val="0"/>
              </w:rPr>
              <w:t>中全年六项指标累计浓度数据，盘锦市2020年空气环境质量为达标区；根据环境质量现状监测结果，本项目所在地</w:t>
            </w:r>
            <w:r>
              <w:t>TSP满足相应标准要求；厂界四周噪声均满足声环境质量标准中相关要求</w:t>
            </w:r>
            <w:r>
              <w:rPr>
                <w:kern w:val="0"/>
              </w:rPr>
              <w:t>。</w:t>
            </w:r>
          </w:p>
          <w:p w14:paraId="19370B80">
            <w:pPr>
              <w:widowControl/>
              <w:adjustRightInd/>
              <w:snapToGrid/>
              <w:ind w:firstLine="480"/>
              <w:jc w:val="left"/>
            </w:pPr>
            <w:r>
              <w:rPr>
                <w:kern w:val="0"/>
              </w:rPr>
              <w:t>本项目施工过程中通过采取完善的污染防治措施，不会对区域环境质量产生明显影响；运行期间废水、固废、废气产生量较少，对周围环境的影响较小。因此，本项目建成后不会对环境质量造成冲击，符合环境质量底线要求。</w:t>
            </w:r>
          </w:p>
          <w:p w14:paraId="0F32C61A">
            <w:pPr>
              <w:widowControl/>
              <w:adjustRightInd/>
              <w:snapToGrid/>
              <w:ind w:firstLine="480"/>
              <w:jc w:val="left"/>
            </w:pPr>
            <w:r>
              <w:rPr>
                <w:kern w:val="0"/>
              </w:rPr>
              <w:t xml:space="preserve">③资源利用上线 </w:t>
            </w:r>
          </w:p>
          <w:p w14:paraId="28B67722">
            <w:pPr>
              <w:widowControl/>
              <w:adjustRightInd/>
              <w:snapToGrid/>
              <w:ind w:firstLine="480"/>
              <w:jc w:val="left"/>
            </w:pPr>
            <w:r>
              <w:rPr>
                <w:kern w:val="0"/>
              </w:rPr>
              <w:t>本项目使用生物质蒸汽发生器，不涉及使用化石燃料等生产设备，不新增煤炭使用量。能够满足资源利用消耗上限要求。</w:t>
            </w:r>
          </w:p>
          <w:p w14:paraId="0AD18754">
            <w:pPr>
              <w:widowControl/>
              <w:adjustRightInd/>
              <w:snapToGrid/>
              <w:ind w:firstLine="480"/>
              <w:jc w:val="left"/>
            </w:pPr>
            <w:r>
              <w:rPr>
                <w:kern w:val="0"/>
              </w:rPr>
              <w:t xml:space="preserve">④生态环境准入清单 </w:t>
            </w:r>
          </w:p>
          <w:p w14:paraId="041917E3">
            <w:pPr>
              <w:pStyle w:val="28"/>
              <w:ind w:firstLine="480"/>
              <w:rPr>
                <w:color w:val="FF0000"/>
              </w:rPr>
            </w:pPr>
            <w:r>
              <w:rPr>
                <w:color w:val="FF0000"/>
                <w:kern w:val="0"/>
              </w:rPr>
              <w:t>区域生态环境准入清单具体见下表。</w:t>
            </w:r>
          </w:p>
          <w:p w14:paraId="21E3E592">
            <w:pPr>
              <w:pStyle w:val="33"/>
              <w:spacing w:beforeLines="0"/>
              <w:rPr>
                <w:rFonts w:hint="default"/>
                <w:color w:val="FF0000"/>
              </w:rPr>
            </w:pPr>
            <w:r>
              <w:rPr>
                <w:rFonts w:hint="default"/>
                <w:color w:val="FF0000"/>
              </w:rPr>
              <w:t>表3  生态环境准入清单</w:t>
            </w:r>
          </w:p>
          <w:tbl>
            <w:tblPr>
              <w:tblStyle w:val="24"/>
              <w:tblW w:w="4999" w:type="pct"/>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58"/>
              <w:gridCol w:w="4151"/>
              <w:gridCol w:w="1931"/>
              <w:gridCol w:w="527"/>
            </w:tblGrid>
            <w:tr w14:paraId="2D0EB986">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PrEx>
              <w:trPr>
                <w:trHeight w:val="340" w:hRule="atLeast"/>
              </w:trPr>
              <w:tc>
                <w:tcPr>
                  <w:tcW w:w="389" w:type="pct"/>
                  <w:vAlign w:val="center"/>
                </w:tcPr>
                <w:p w14:paraId="50392095">
                  <w:pPr>
                    <w:spacing w:line="240" w:lineRule="auto"/>
                    <w:ind w:firstLine="0" w:firstLineChars="0"/>
                    <w:jc w:val="center"/>
                    <w:rPr>
                      <w:color w:val="FF0000"/>
                      <w:sz w:val="21"/>
                      <w:szCs w:val="21"/>
                    </w:rPr>
                  </w:pPr>
                  <w:r>
                    <w:rPr>
                      <w:color w:val="FF0000"/>
                      <w:sz w:val="21"/>
                      <w:szCs w:val="21"/>
                    </w:rPr>
                    <w:t>管控类别</w:t>
                  </w:r>
                </w:p>
              </w:tc>
              <w:tc>
                <w:tcPr>
                  <w:tcW w:w="2895" w:type="pct"/>
                  <w:vAlign w:val="center"/>
                </w:tcPr>
                <w:p w14:paraId="757ED683">
                  <w:pPr>
                    <w:spacing w:line="240" w:lineRule="auto"/>
                    <w:ind w:firstLine="0" w:firstLineChars="0"/>
                    <w:jc w:val="center"/>
                    <w:rPr>
                      <w:color w:val="FF0000"/>
                      <w:sz w:val="21"/>
                      <w:szCs w:val="21"/>
                    </w:rPr>
                  </w:pPr>
                  <w:r>
                    <w:rPr>
                      <w:color w:val="FF0000"/>
                      <w:sz w:val="21"/>
                      <w:szCs w:val="21"/>
                    </w:rPr>
                    <w:t>生态环境管控要求</w:t>
                  </w:r>
                </w:p>
              </w:tc>
              <w:tc>
                <w:tcPr>
                  <w:tcW w:w="1347" w:type="pct"/>
                  <w:vAlign w:val="center"/>
                </w:tcPr>
                <w:p w14:paraId="1A5FAA19">
                  <w:pPr>
                    <w:spacing w:line="240" w:lineRule="auto"/>
                    <w:ind w:firstLine="0" w:firstLineChars="0"/>
                    <w:jc w:val="center"/>
                    <w:rPr>
                      <w:color w:val="FF0000"/>
                      <w:sz w:val="21"/>
                      <w:szCs w:val="21"/>
                    </w:rPr>
                  </w:pPr>
                  <w:r>
                    <w:rPr>
                      <w:color w:val="FF0000"/>
                      <w:sz w:val="21"/>
                      <w:szCs w:val="21"/>
                    </w:rPr>
                    <w:t>本项目情况</w:t>
                  </w:r>
                </w:p>
              </w:tc>
              <w:tc>
                <w:tcPr>
                  <w:tcW w:w="368" w:type="pct"/>
                  <w:vAlign w:val="center"/>
                </w:tcPr>
                <w:p w14:paraId="5EB2AEBB">
                  <w:pPr>
                    <w:spacing w:line="240" w:lineRule="auto"/>
                    <w:ind w:firstLine="0" w:firstLineChars="0"/>
                    <w:jc w:val="center"/>
                    <w:rPr>
                      <w:color w:val="FF0000"/>
                      <w:sz w:val="21"/>
                      <w:szCs w:val="21"/>
                    </w:rPr>
                  </w:pPr>
                  <w:r>
                    <w:rPr>
                      <w:color w:val="FF0000"/>
                      <w:sz w:val="21"/>
                      <w:szCs w:val="21"/>
                    </w:rPr>
                    <w:t>相符性</w:t>
                  </w:r>
                </w:p>
              </w:tc>
            </w:tr>
            <w:tr w14:paraId="79CACBC6">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89" w:type="pct"/>
                  <w:vAlign w:val="center"/>
                </w:tcPr>
                <w:p w14:paraId="774FA720">
                  <w:pPr>
                    <w:spacing w:line="240" w:lineRule="auto"/>
                    <w:ind w:firstLine="0" w:firstLineChars="0"/>
                    <w:jc w:val="center"/>
                    <w:rPr>
                      <w:color w:val="FF0000"/>
                      <w:sz w:val="21"/>
                      <w:szCs w:val="21"/>
                    </w:rPr>
                  </w:pPr>
                  <w:r>
                    <w:rPr>
                      <w:color w:val="FF0000"/>
                      <w:sz w:val="21"/>
                      <w:szCs w:val="21"/>
                    </w:rPr>
                    <w:t>空间布局</w:t>
                  </w:r>
                </w:p>
              </w:tc>
              <w:tc>
                <w:tcPr>
                  <w:tcW w:w="2895" w:type="pct"/>
                  <w:vAlign w:val="center"/>
                </w:tcPr>
                <w:p w14:paraId="1D7247CE">
                  <w:pPr>
                    <w:spacing w:line="240" w:lineRule="auto"/>
                    <w:ind w:firstLine="0" w:firstLineChars="0"/>
                    <w:jc w:val="center"/>
                    <w:rPr>
                      <w:color w:val="FF0000"/>
                      <w:sz w:val="21"/>
                      <w:szCs w:val="21"/>
                    </w:rPr>
                  </w:pPr>
                  <w:r>
                    <w:rPr>
                      <w:color w:val="FF0000"/>
                      <w:sz w:val="21"/>
                      <w:szCs w:val="21"/>
                    </w:rPr>
                    <w:t>1.在曙光工业区块东侧设置绿化带，同时划定环境敏感点控制距离，园区的建设项目不能超过环境敏感点控制距离；曙北工业区环境敏感点控制距离为西北、北侧和南侧为三类工业用地边界外800米，东侧的环境敏感点控制距离以盘海营高速公路为界，不能新建防护距离超过环境敏感点控制距离的项目；盘锦市再生资源产业园环境敏感点控制距离为三类工业用地外800米，同时对南侧盘山县城区规划的居住区进行避让</w:t>
                  </w:r>
                </w:p>
              </w:tc>
              <w:tc>
                <w:tcPr>
                  <w:tcW w:w="1347" w:type="pct"/>
                  <w:vAlign w:val="center"/>
                </w:tcPr>
                <w:p w14:paraId="0DC072C8">
                  <w:pPr>
                    <w:spacing w:line="240" w:lineRule="auto"/>
                    <w:ind w:firstLine="0" w:firstLineChars="0"/>
                    <w:jc w:val="center"/>
                    <w:rPr>
                      <w:color w:val="FF0000"/>
                      <w:sz w:val="21"/>
                      <w:szCs w:val="21"/>
                    </w:rPr>
                  </w:pPr>
                  <w:r>
                    <w:rPr>
                      <w:color w:val="FF0000"/>
                      <w:sz w:val="21"/>
                      <w:szCs w:val="21"/>
                    </w:rPr>
                    <w:t>本项目位于辽宁新材料产业经济开发区中起步区区块。</w:t>
                  </w:r>
                </w:p>
              </w:tc>
              <w:tc>
                <w:tcPr>
                  <w:tcW w:w="368" w:type="pct"/>
                  <w:vAlign w:val="center"/>
                </w:tcPr>
                <w:p w14:paraId="77AF78AE">
                  <w:pPr>
                    <w:spacing w:line="240" w:lineRule="auto"/>
                    <w:ind w:firstLine="0" w:firstLineChars="0"/>
                    <w:jc w:val="center"/>
                    <w:rPr>
                      <w:color w:val="FF0000"/>
                      <w:sz w:val="21"/>
                      <w:szCs w:val="21"/>
                    </w:rPr>
                  </w:pPr>
                  <w:r>
                    <w:rPr>
                      <w:color w:val="FF0000"/>
                      <w:sz w:val="21"/>
                      <w:szCs w:val="21"/>
                    </w:rPr>
                    <w:t>符合</w:t>
                  </w:r>
                </w:p>
              </w:tc>
            </w:tr>
            <w:tr w14:paraId="331DFC9C">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89" w:type="pct"/>
                  <w:vAlign w:val="center"/>
                </w:tcPr>
                <w:p w14:paraId="437A617B">
                  <w:pPr>
                    <w:spacing w:line="240" w:lineRule="auto"/>
                    <w:ind w:firstLine="0" w:firstLineChars="0"/>
                    <w:jc w:val="center"/>
                    <w:rPr>
                      <w:color w:val="FF0000"/>
                      <w:sz w:val="21"/>
                      <w:szCs w:val="21"/>
                    </w:rPr>
                  </w:pPr>
                  <w:r>
                    <w:rPr>
                      <w:color w:val="FF0000"/>
                      <w:sz w:val="21"/>
                      <w:szCs w:val="21"/>
                    </w:rPr>
                    <w:t>产业准入</w:t>
                  </w:r>
                </w:p>
              </w:tc>
              <w:tc>
                <w:tcPr>
                  <w:tcW w:w="2895" w:type="pct"/>
                  <w:vAlign w:val="center"/>
                </w:tcPr>
                <w:p w14:paraId="3D1C94CA">
                  <w:pPr>
                    <w:spacing w:line="240" w:lineRule="auto"/>
                    <w:ind w:firstLine="0" w:firstLineChars="0"/>
                    <w:jc w:val="center"/>
                    <w:rPr>
                      <w:color w:val="FF0000"/>
                      <w:sz w:val="21"/>
                      <w:szCs w:val="21"/>
                    </w:rPr>
                  </w:pPr>
                  <w:r>
                    <w:rPr>
                      <w:color w:val="FF0000"/>
                      <w:sz w:val="21"/>
                      <w:szCs w:val="21"/>
                    </w:rPr>
                    <w:t>1.园区编制规划应严格控制高耗能、高排放（以下简称“两高”）行业发展规模，优化规划布局、产业结构与实施时序。以“两高”行业为主导产业的园区规划环评中应进行碳排放情况与减排潜力分析；</w:t>
                  </w:r>
                </w:p>
                <w:p w14:paraId="19E50522">
                  <w:pPr>
                    <w:spacing w:line="240" w:lineRule="auto"/>
                    <w:ind w:firstLine="0" w:firstLineChars="0"/>
                    <w:jc w:val="center"/>
                    <w:rPr>
                      <w:color w:val="FF0000"/>
                      <w:sz w:val="21"/>
                      <w:szCs w:val="21"/>
                    </w:rPr>
                  </w:pPr>
                  <w:r>
                    <w:rPr>
                      <w:color w:val="FF0000"/>
                      <w:sz w:val="21"/>
                      <w:szCs w:val="21"/>
                    </w:rPr>
                    <w:t>2.以“两高”行业为主导产业的园区应开展规划环境影响跟踪评价，完善生态环境保护措施并适时优化调整规划；</w:t>
                  </w:r>
                </w:p>
                <w:p w14:paraId="08A9746C">
                  <w:pPr>
                    <w:spacing w:line="240" w:lineRule="auto"/>
                    <w:ind w:firstLine="0" w:firstLineChars="0"/>
                    <w:jc w:val="center"/>
                    <w:rPr>
                      <w:color w:val="FF0000"/>
                      <w:sz w:val="21"/>
                      <w:szCs w:val="21"/>
                    </w:rPr>
                  </w:pPr>
                  <w:r>
                    <w:rPr>
                      <w:color w:val="FF0000"/>
                      <w:sz w:val="21"/>
                      <w:szCs w:val="21"/>
                    </w:rPr>
                    <w:t>3.新建、改建、扩建“两高”项目须符合国家产业政策、生态环境保护法律法规和相关法定规划，满足重点污染物排放总量控制和碳排放达峰目标；属于限制类和淘汰类的新建项目，一律不予审批、核准；属于限制类技术改造的“两高”项目应确保能耗量、排放量“只减不增” </w:t>
                  </w:r>
                </w:p>
                <w:p w14:paraId="37623DAF">
                  <w:pPr>
                    <w:spacing w:line="240" w:lineRule="auto"/>
                    <w:ind w:firstLine="0" w:firstLineChars="0"/>
                    <w:jc w:val="center"/>
                    <w:rPr>
                      <w:color w:val="FF0000"/>
                      <w:sz w:val="21"/>
                      <w:szCs w:val="21"/>
                    </w:rPr>
                  </w:pPr>
                  <w:r>
                    <w:rPr>
                      <w:color w:val="FF0000"/>
                      <w:sz w:val="21"/>
                      <w:szCs w:val="21"/>
                    </w:rPr>
                    <w:t>4.园区新建企业的清洁生产水平要达到国内先进水平；优先发展《产业结构调整指导目录》中鼓励类项目，优先选择可利用中水作为水源的企业入园；</w:t>
                  </w:r>
                </w:p>
                <w:p w14:paraId="70F9D58D">
                  <w:pPr>
                    <w:spacing w:line="240" w:lineRule="auto"/>
                    <w:ind w:firstLine="0" w:firstLineChars="0"/>
                    <w:jc w:val="center"/>
                    <w:rPr>
                      <w:color w:val="FF0000"/>
                      <w:sz w:val="21"/>
                      <w:szCs w:val="21"/>
                    </w:rPr>
                  </w:pPr>
                  <w:r>
                    <w:rPr>
                      <w:color w:val="FF0000"/>
                      <w:sz w:val="21"/>
                      <w:szCs w:val="21"/>
                    </w:rPr>
                    <w:t>5.优先引进高技术含量、高附加值、低污染、低能耗的企业；禁止引入耗水量大、水污染严重的项目。</w:t>
                  </w:r>
                </w:p>
              </w:tc>
              <w:tc>
                <w:tcPr>
                  <w:tcW w:w="1347" w:type="pct"/>
                  <w:vAlign w:val="center"/>
                </w:tcPr>
                <w:p w14:paraId="078CCBCD">
                  <w:pPr>
                    <w:spacing w:line="240" w:lineRule="auto"/>
                    <w:ind w:firstLine="0" w:firstLineChars="0"/>
                    <w:jc w:val="center"/>
                    <w:rPr>
                      <w:color w:val="FF0000"/>
                      <w:sz w:val="21"/>
                      <w:szCs w:val="21"/>
                    </w:rPr>
                  </w:pPr>
                  <w:r>
                    <w:rPr>
                      <w:color w:val="FF0000"/>
                      <w:sz w:val="21"/>
                      <w:szCs w:val="21"/>
                    </w:rPr>
                    <w:t>本项目不属于高耗能、高排放项目，根据《产业结构调整指导目录（2019年本）》中规定，本项目属于鼓励类中的“十二、建材 3、A级阻燃保温材料制品”，符合国家产业政策。</w:t>
                  </w:r>
                </w:p>
              </w:tc>
              <w:tc>
                <w:tcPr>
                  <w:tcW w:w="368" w:type="pct"/>
                  <w:vAlign w:val="center"/>
                </w:tcPr>
                <w:p w14:paraId="56414CC0">
                  <w:pPr>
                    <w:spacing w:line="240" w:lineRule="auto"/>
                    <w:ind w:firstLine="0" w:firstLineChars="0"/>
                    <w:jc w:val="center"/>
                    <w:rPr>
                      <w:color w:val="FF0000"/>
                      <w:sz w:val="21"/>
                      <w:szCs w:val="21"/>
                    </w:rPr>
                  </w:pPr>
                  <w:r>
                    <w:rPr>
                      <w:color w:val="FF0000"/>
                      <w:sz w:val="21"/>
                      <w:szCs w:val="21"/>
                    </w:rPr>
                    <w:t>符合</w:t>
                  </w:r>
                </w:p>
              </w:tc>
            </w:tr>
            <w:tr w14:paraId="43651E09">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89" w:type="pct"/>
                  <w:vAlign w:val="center"/>
                </w:tcPr>
                <w:p w14:paraId="12F13CDD">
                  <w:pPr>
                    <w:spacing w:line="240" w:lineRule="auto"/>
                    <w:ind w:firstLine="0" w:firstLineChars="0"/>
                    <w:jc w:val="center"/>
                    <w:rPr>
                      <w:color w:val="FF0000"/>
                      <w:sz w:val="21"/>
                      <w:szCs w:val="21"/>
                    </w:rPr>
                  </w:pPr>
                  <w:r>
                    <w:rPr>
                      <w:color w:val="FF0000"/>
                      <w:sz w:val="21"/>
                      <w:szCs w:val="21"/>
                    </w:rPr>
                    <w:t>污染物排放</w:t>
                  </w:r>
                </w:p>
              </w:tc>
              <w:tc>
                <w:tcPr>
                  <w:tcW w:w="2895" w:type="pct"/>
                  <w:vAlign w:val="center"/>
                </w:tcPr>
                <w:p w14:paraId="6A90477C">
                  <w:pPr>
                    <w:spacing w:line="240" w:lineRule="auto"/>
                    <w:ind w:firstLine="0" w:firstLineChars="0"/>
                    <w:jc w:val="center"/>
                    <w:rPr>
                      <w:color w:val="FF0000"/>
                      <w:sz w:val="21"/>
                      <w:szCs w:val="21"/>
                    </w:rPr>
                  </w:pPr>
                  <w:r>
                    <w:rPr>
                      <w:color w:val="FF0000"/>
                      <w:sz w:val="21"/>
                      <w:szCs w:val="21"/>
                    </w:rPr>
                    <w:t>1.实行雨污分流，生活污水和生产废水经污水管网汇入污水厂处理，雨水经管网回流后直接外排，并加强初期雨水收集处理；</w:t>
                  </w:r>
                </w:p>
                <w:p w14:paraId="3C846262">
                  <w:pPr>
                    <w:spacing w:line="240" w:lineRule="auto"/>
                    <w:ind w:firstLine="0" w:firstLineChars="0"/>
                    <w:jc w:val="center"/>
                    <w:rPr>
                      <w:color w:val="FF0000"/>
                      <w:sz w:val="21"/>
                      <w:szCs w:val="21"/>
                    </w:rPr>
                  </w:pPr>
                  <w:r>
                    <w:rPr>
                      <w:color w:val="FF0000"/>
                      <w:sz w:val="21"/>
                      <w:szCs w:val="21"/>
                    </w:rPr>
                    <w:t>2.工业废水经各自企业预处理达到园区污水处理厂的入水标准后统一排入园区污水处理厂处理，达标后排入绕阳河；</w:t>
                  </w:r>
                </w:p>
                <w:p w14:paraId="63D9E99C">
                  <w:pPr>
                    <w:spacing w:line="240" w:lineRule="auto"/>
                    <w:ind w:firstLine="0" w:firstLineChars="0"/>
                    <w:jc w:val="center"/>
                    <w:rPr>
                      <w:color w:val="FF0000"/>
                      <w:sz w:val="21"/>
                      <w:szCs w:val="21"/>
                    </w:rPr>
                  </w:pPr>
                  <w:r>
                    <w:rPr>
                      <w:color w:val="FF0000"/>
                      <w:sz w:val="21"/>
                      <w:szCs w:val="21"/>
                    </w:rPr>
                    <w:t>3.对可能污染地下水的装置要按照相关标准对基础进行防渗处理，防止对地下水可能造成的污染；</w:t>
                  </w:r>
                </w:p>
                <w:p w14:paraId="08B2BFF6">
                  <w:pPr>
                    <w:spacing w:line="240" w:lineRule="auto"/>
                    <w:ind w:firstLine="0" w:firstLineChars="0"/>
                    <w:jc w:val="center"/>
                    <w:rPr>
                      <w:color w:val="FF0000"/>
                      <w:sz w:val="21"/>
                      <w:szCs w:val="21"/>
                    </w:rPr>
                  </w:pPr>
                  <w:r>
                    <w:rPr>
                      <w:color w:val="FF0000"/>
                      <w:sz w:val="21"/>
                      <w:szCs w:val="21"/>
                    </w:rPr>
                    <w:t>4.所有火电、化工、建材等二氧化硫排污重点企业，不准使用含硫分大于0.6%的煤炭；</w:t>
                  </w:r>
                </w:p>
                <w:p w14:paraId="0258A328">
                  <w:pPr>
                    <w:spacing w:line="240" w:lineRule="auto"/>
                    <w:ind w:firstLine="0" w:firstLineChars="0"/>
                    <w:jc w:val="center"/>
                    <w:rPr>
                      <w:color w:val="FF0000"/>
                      <w:sz w:val="21"/>
                      <w:szCs w:val="21"/>
                    </w:rPr>
                  </w:pPr>
                  <w:r>
                    <w:rPr>
                      <w:color w:val="FF0000"/>
                      <w:sz w:val="21"/>
                      <w:szCs w:val="21"/>
                    </w:rPr>
                    <w:t>5.控制穿行区内的机动车流量，增加工业园区内新型燃料汽车的使用量，减少交通车辆拥挤所造成的局部大气污染。</w:t>
                  </w:r>
                </w:p>
                <w:p w14:paraId="4BCD7C8E">
                  <w:pPr>
                    <w:spacing w:line="240" w:lineRule="auto"/>
                    <w:ind w:firstLine="0" w:firstLineChars="0"/>
                    <w:jc w:val="center"/>
                    <w:rPr>
                      <w:color w:val="FF0000"/>
                      <w:sz w:val="21"/>
                      <w:szCs w:val="21"/>
                    </w:rPr>
                  </w:pPr>
                  <w:r>
                    <w:rPr>
                      <w:color w:val="FF0000"/>
                      <w:sz w:val="21"/>
                      <w:szCs w:val="21"/>
                    </w:rPr>
                    <w:t>6.园区内固体废弃物需严格分类管理，按危险废物、一般废物分别储存，对危险废物按国家危险废物处置技术规范安全处置；鼓励工业固体废物的资源化利用，提高综合利用率；生活垃圾实现分类回收，由盘锦京环公司统一收运处理，禁止使用不可降解塑料制品，防治白色污染。</w:t>
                  </w:r>
                </w:p>
              </w:tc>
              <w:tc>
                <w:tcPr>
                  <w:tcW w:w="1347" w:type="pct"/>
                  <w:vAlign w:val="center"/>
                </w:tcPr>
                <w:p w14:paraId="2D629741">
                  <w:pPr>
                    <w:spacing w:line="240" w:lineRule="auto"/>
                    <w:ind w:firstLine="0" w:firstLineChars="0"/>
                    <w:jc w:val="center"/>
                    <w:rPr>
                      <w:color w:val="FF0000"/>
                      <w:sz w:val="21"/>
                      <w:szCs w:val="21"/>
                    </w:rPr>
                  </w:pPr>
                  <w:r>
                    <w:rPr>
                      <w:color w:val="FF0000"/>
                      <w:sz w:val="21"/>
                      <w:szCs w:val="21"/>
                    </w:rPr>
                    <w:t>本项目生活污水依托厂区现有化粪池处理后排入园区污水处理厂，生产废水均回用，无生产废水外排。生活垃圾委托环卫部门清运；切割料集中收集后回用于压制工序；灰渣、灰分收集后用做农田肥料；废离子交换树脂由出售离子交换树脂厂家替换处理；切割工序除尘设施产生的粉尘集中收集后回用于压制工序；废弃包装袋集中收集后外售。</w:t>
                  </w:r>
                </w:p>
              </w:tc>
              <w:tc>
                <w:tcPr>
                  <w:tcW w:w="368" w:type="pct"/>
                  <w:vAlign w:val="center"/>
                </w:tcPr>
                <w:p w14:paraId="15F5A65C">
                  <w:pPr>
                    <w:spacing w:line="240" w:lineRule="auto"/>
                    <w:ind w:firstLine="0" w:firstLineChars="0"/>
                    <w:jc w:val="center"/>
                    <w:rPr>
                      <w:color w:val="FF0000"/>
                      <w:sz w:val="21"/>
                      <w:szCs w:val="21"/>
                    </w:rPr>
                  </w:pPr>
                  <w:r>
                    <w:rPr>
                      <w:color w:val="FF0000"/>
                      <w:sz w:val="21"/>
                      <w:szCs w:val="21"/>
                    </w:rPr>
                    <w:t>符合</w:t>
                  </w:r>
                </w:p>
              </w:tc>
            </w:tr>
            <w:tr w14:paraId="0293433D">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89" w:type="pct"/>
                  <w:vAlign w:val="center"/>
                </w:tcPr>
                <w:p w14:paraId="7B519F26">
                  <w:pPr>
                    <w:spacing w:line="240" w:lineRule="auto"/>
                    <w:ind w:firstLine="0" w:firstLineChars="0"/>
                    <w:jc w:val="center"/>
                    <w:rPr>
                      <w:color w:val="FF0000"/>
                      <w:sz w:val="21"/>
                      <w:szCs w:val="21"/>
                    </w:rPr>
                  </w:pPr>
                  <w:r>
                    <w:rPr>
                      <w:color w:val="FF0000"/>
                      <w:sz w:val="21"/>
                      <w:szCs w:val="21"/>
                    </w:rPr>
                    <w:t>环境风险</w:t>
                  </w:r>
                </w:p>
              </w:tc>
              <w:tc>
                <w:tcPr>
                  <w:tcW w:w="2895" w:type="pct"/>
                  <w:vAlign w:val="center"/>
                </w:tcPr>
                <w:p w14:paraId="4DD27715">
                  <w:pPr>
                    <w:spacing w:line="240" w:lineRule="auto"/>
                    <w:ind w:firstLine="0" w:firstLineChars="0"/>
                    <w:jc w:val="center"/>
                    <w:rPr>
                      <w:color w:val="FF0000"/>
                      <w:sz w:val="21"/>
                      <w:szCs w:val="21"/>
                    </w:rPr>
                  </w:pPr>
                  <w:r>
                    <w:rPr>
                      <w:color w:val="FF0000"/>
                      <w:sz w:val="21"/>
                      <w:szCs w:val="21"/>
                    </w:rPr>
                    <w:t>1.园区在引进有可能污染地下水的企业时应开展项目建设对地下水的影响评价。</w:t>
                  </w:r>
                </w:p>
                <w:p w14:paraId="50FF52CC">
                  <w:pPr>
                    <w:spacing w:line="240" w:lineRule="auto"/>
                    <w:ind w:firstLine="0" w:firstLineChars="0"/>
                    <w:jc w:val="center"/>
                    <w:rPr>
                      <w:color w:val="FF0000"/>
                      <w:sz w:val="21"/>
                      <w:szCs w:val="21"/>
                    </w:rPr>
                  </w:pPr>
                  <w:r>
                    <w:rPr>
                      <w:color w:val="FF0000"/>
                      <w:sz w:val="21"/>
                      <w:szCs w:val="21"/>
                    </w:rPr>
                    <w:t>2.建立完备的环境风险防范措施，曙光工业区内设立11000m</w:t>
                  </w:r>
                  <w:r>
                    <w:rPr>
                      <w:color w:val="FF0000"/>
                      <w:sz w:val="21"/>
                      <w:szCs w:val="21"/>
                      <w:vertAlign w:val="superscript"/>
                    </w:rPr>
                    <w:t>3</w:t>
                  </w:r>
                  <w:r>
                    <w:rPr>
                      <w:color w:val="FF0000"/>
                      <w:sz w:val="21"/>
                      <w:szCs w:val="21"/>
                    </w:rPr>
                    <w:t>事故池，各企业编制环境风险应急预案，开展企业间环境风险联防联控，并与开发区、盘山县及盘锦市环境风险应急预案联动；</w:t>
                  </w:r>
                </w:p>
                <w:p w14:paraId="5047DA8A">
                  <w:pPr>
                    <w:spacing w:line="240" w:lineRule="auto"/>
                    <w:ind w:firstLine="0" w:firstLineChars="0"/>
                    <w:jc w:val="center"/>
                    <w:rPr>
                      <w:color w:val="FF0000"/>
                      <w:sz w:val="21"/>
                      <w:szCs w:val="21"/>
                    </w:rPr>
                  </w:pPr>
                  <w:r>
                    <w:rPr>
                      <w:color w:val="FF0000"/>
                      <w:sz w:val="21"/>
                      <w:szCs w:val="21"/>
                    </w:rPr>
                    <w:t>3.采用三级防控措施来应对泄漏、火灾、爆炸等事故状态下的消防污水和物料的外泄。按照“企业自救、属地自主、分级响应、区域联动”原则，制订突发环境事件应急预案。</w:t>
                  </w:r>
                </w:p>
              </w:tc>
              <w:tc>
                <w:tcPr>
                  <w:tcW w:w="1347" w:type="pct"/>
                  <w:vAlign w:val="center"/>
                </w:tcPr>
                <w:p w14:paraId="6D413A58">
                  <w:pPr>
                    <w:spacing w:line="240" w:lineRule="auto"/>
                    <w:ind w:firstLine="0" w:firstLineChars="0"/>
                    <w:jc w:val="center"/>
                    <w:rPr>
                      <w:color w:val="FF0000"/>
                      <w:sz w:val="21"/>
                      <w:szCs w:val="21"/>
                    </w:rPr>
                  </w:pPr>
                  <w:r>
                    <w:rPr>
                      <w:color w:val="FF0000"/>
                      <w:sz w:val="21"/>
                      <w:szCs w:val="21"/>
                    </w:rPr>
                    <w:t>根据本项目生产特征，无地下水污染途径。根据《建设项目环境风险评价技术导则》（HJ169-2018）附录B中所界定的重点关注的危险物质，本项目不涉及相关的危险物质。</w:t>
                  </w:r>
                </w:p>
              </w:tc>
              <w:tc>
                <w:tcPr>
                  <w:tcW w:w="368" w:type="pct"/>
                  <w:vAlign w:val="center"/>
                </w:tcPr>
                <w:p w14:paraId="4BF22487">
                  <w:pPr>
                    <w:spacing w:line="240" w:lineRule="auto"/>
                    <w:ind w:firstLine="0" w:firstLineChars="0"/>
                    <w:jc w:val="center"/>
                    <w:rPr>
                      <w:color w:val="FF0000"/>
                      <w:sz w:val="21"/>
                      <w:szCs w:val="21"/>
                    </w:rPr>
                  </w:pPr>
                  <w:r>
                    <w:rPr>
                      <w:color w:val="FF0000"/>
                      <w:sz w:val="21"/>
                      <w:szCs w:val="21"/>
                    </w:rPr>
                    <w:t>符合</w:t>
                  </w:r>
                </w:p>
              </w:tc>
            </w:tr>
            <w:tr w14:paraId="4DA775ED">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89" w:type="pct"/>
                  <w:vAlign w:val="center"/>
                </w:tcPr>
                <w:p w14:paraId="4CD48783">
                  <w:pPr>
                    <w:spacing w:line="240" w:lineRule="auto"/>
                    <w:ind w:firstLine="0" w:firstLineChars="0"/>
                    <w:jc w:val="center"/>
                    <w:rPr>
                      <w:color w:val="FF0000"/>
                      <w:sz w:val="21"/>
                      <w:szCs w:val="21"/>
                    </w:rPr>
                  </w:pPr>
                  <w:r>
                    <w:rPr>
                      <w:color w:val="FF0000"/>
                      <w:sz w:val="21"/>
                      <w:szCs w:val="21"/>
                    </w:rPr>
                    <w:t>资源利用效率</w:t>
                  </w:r>
                </w:p>
              </w:tc>
              <w:tc>
                <w:tcPr>
                  <w:tcW w:w="2895" w:type="pct"/>
                  <w:vAlign w:val="center"/>
                </w:tcPr>
                <w:p w14:paraId="2F6A4160">
                  <w:pPr>
                    <w:spacing w:line="240" w:lineRule="auto"/>
                    <w:ind w:firstLine="0" w:firstLineChars="0"/>
                    <w:jc w:val="center"/>
                    <w:rPr>
                      <w:color w:val="FF0000"/>
                      <w:sz w:val="21"/>
                      <w:szCs w:val="21"/>
                    </w:rPr>
                  </w:pPr>
                  <w:r>
                    <w:rPr>
                      <w:color w:val="FF0000"/>
                      <w:sz w:val="21"/>
                      <w:szCs w:val="21"/>
                    </w:rPr>
                    <w:t>1.调整能源结构，逐步形成以天然气为主，电、油、煤为辅的多种能源相结合的能源结构；不建设燃煤自备锅炉；新建耗煤项目应严格按规定采取煤炭消费减量替代措施，不得使用高污染燃料作为煤炭减量替代措施。 </w:t>
                  </w:r>
                </w:p>
                <w:p w14:paraId="6C5E9D85">
                  <w:pPr>
                    <w:spacing w:line="240" w:lineRule="auto"/>
                    <w:ind w:firstLine="0" w:firstLineChars="0"/>
                    <w:jc w:val="center"/>
                    <w:rPr>
                      <w:color w:val="FF0000"/>
                      <w:sz w:val="21"/>
                      <w:szCs w:val="21"/>
                    </w:rPr>
                  </w:pPr>
                  <w:r>
                    <w:rPr>
                      <w:color w:val="FF0000"/>
                      <w:sz w:val="21"/>
                      <w:szCs w:val="21"/>
                    </w:rPr>
                    <w:t>2.园区污水处理厂处理后的尾水作为园区工业用水水源及市政道路、绿地浇洒用水，园区中水回用率达到40%~50%。</w:t>
                  </w:r>
                </w:p>
              </w:tc>
              <w:tc>
                <w:tcPr>
                  <w:tcW w:w="1347" w:type="pct"/>
                  <w:vAlign w:val="center"/>
                </w:tcPr>
                <w:p w14:paraId="5FCDE2A0">
                  <w:pPr>
                    <w:spacing w:line="240" w:lineRule="auto"/>
                    <w:ind w:firstLine="0" w:firstLineChars="0"/>
                    <w:jc w:val="center"/>
                    <w:rPr>
                      <w:color w:val="FF0000"/>
                      <w:sz w:val="21"/>
                      <w:szCs w:val="21"/>
                    </w:rPr>
                  </w:pPr>
                  <w:r>
                    <w:rPr>
                      <w:color w:val="FF0000"/>
                      <w:sz w:val="21"/>
                      <w:szCs w:val="21"/>
                    </w:rPr>
                    <w:t>项目租赁的厂房附近无园区集中供热管网，距离集中供热的热源较远，则</w:t>
                  </w:r>
                  <w:r>
                    <w:rPr>
                      <w:color w:val="FF0000"/>
                      <w:sz w:val="21"/>
                      <w:szCs w:val="21"/>
                      <w:lang w:val="zh-CN"/>
                    </w:rPr>
                    <w:t>项目</w:t>
                  </w:r>
                  <w:r>
                    <w:rPr>
                      <w:color w:val="FF0000"/>
                      <w:sz w:val="21"/>
                      <w:szCs w:val="21"/>
                    </w:rPr>
                    <w:t>目前使用生物质蒸汽发生器做为生产热源；生物质蒸汽发生器配置低氮燃烧+旋风除尘+袋式除尘设施</w:t>
                  </w:r>
                </w:p>
              </w:tc>
              <w:tc>
                <w:tcPr>
                  <w:tcW w:w="368" w:type="pct"/>
                  <w:vAlign w:val="center"/>
                </w:tcPr>
                <w:p w14:paraId="0F7F4534">
                  <w:pPr>
                    <w:spacing w:line="240" w:lineRule="auto"/>
                    <w:ind w:firstLine="0" w:firstLineChars="0"/>
                    <w:jc w:val="center"/>
                    <w:rPr>
                      <w:color w:val="FF0000"/>
                      <w:sz w:val="21"/>
                      <w:szCs w:val="21"/>
                    </w:rPr>
                  </w:pPr>
                  <w:r>
                    <w:rPr>
                      <w:color w:val="FF0000"/>
                      <w:sz w:val="21"/>
                      <w:szCs w:val="21"/>
                    </w:rPr>
                    <w:t>符合</w:t>
                  </w:r>
                </w:p>
              </w:tc>
            </w:tr>
          </w:tbl>
          <w:p w14:paraId="11526865">
            <w:pPr>
              <w:pStyle w:val="34"/>
              <w:spacing w:beforeLines="0" w:afterLines="0" w:line="360" w:lineRule="auto"/>
              <w:ind w:firstLine="480" w:firstLineChars="200"/>
              <w:jc w:val="both"/>
              <w:rPr>
                <w:color w:val="FF0000"/>
                <w:szCs w:val="24"/>
              </w:rPr>
            </w:pPr>
            <w:r>
              <w:rPr>
                <w:color w:val="FF0000"/>
                <w:szCs w:val="24"/>
              </w:rPr>
              <w:t>由以上分析，本项目符合“三线一单”要求。</w:t>
            </w:r>
          </w:p>
          <w:p w14:paraId="1B6CE238">
            <w:pPr>
              <w:pStyle w:val="34"/>
              <w:spacing w:beforeLines="0" w:afterLines="0" w:line="360" w:lineRule="auto"/>
              <w:ind w:firstLine="480" w:firstLineChars="200"/>
              <w:jc w:val="both"/>
              <w:rPr>
                <w:szCs w:val="24"/>
              </w:rPr>
            </w:pPr>
          </w:p>
          <w:p w14:paraId="518F2269">
            <w:pPr>
              <w:pStyle w:val="34"/>
              <w:spacing w:beforeLines="0" w:afterLines="0" w:line="360" w:lineRule="auto"/>
              <w:jc w:val="both"/>
            </w:pPr>
            <w:r>
              <w:pict>
                <v:shape id="_x0000_s1026" o:spid="_x0000_s1026" o:spt="62" type="#_x0000_t62" style="position:absolute;left:0pt;margin-left:153.55pt;margin-top:8.7pt;height:23pt;width:62.55pt;z-index:251659264;v-text-anchor:middle;mso-width-relative:page;mso-height-relative:page;" stroked="t" coordsize="21600,21600" o:gfxdata="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A7fIstYAAAAJ&#10;AQAADwAAAAAAAAABACAAAAAiAAAAZHJzL2Rvd25yZXYueG1sUEsBAhQAFAAAAAgAh07iQHr66KjJ&#10;AgAAlAUAAA4AAAAAAAAAAQAgAAAAJQEAAGRycy9lMm9Eb2MueG1sUEsFBgAAAAAGAAYAWQEAAGAG&#10;AAAAAA==&#10;" adj="-3608,35734,14400">
                  <v:path/>
                  <v:fill focussize="0,0"/>
                  <v:stroke weight="1pt" color="#FF0000" joinstyle="miter"/>
                  <v:imagedata o:title=""/>
                  <o:lock v:ext="edit"/>
                  <v:textbox>
                    <w:txbxContent>
                      <w:p w14:paraId="0E918457">
                        <w:pPr>
                          <w:ind w:firstLine="0" w:firstLineChars="0"/>
                          <w:jc w:val="center"/>
                          <w:rPr>
                            <w:b/>
                            <w:bCs/>
                            <w:color w:val="FF0000"/>
                            <w:sz w:val="21"/>
                            <w:szCs w:val="21"/>
                          </w:rPr>
                        </w:pPr>
                        <w:r>
                          <w:rPr>
                            <w:rFonts w:hint="eastAsia"/>
                            <w:b/>
                            <w:bCs/>
                            <w:color w:val="FF0000"/>
                            <w:sz w:val="21"/>
                            <w:szCs w:val="21"/>
                          </w:rPr>
                          <w:t>项目位置</w:t>
                        </w:r>
                      </w:p>
                    </w:txbxContent>
                  </v:textbox>
                </v:shape>
              </w:pict>
            </w:r>
            <w:r>
              <w:drawing>
                <wp:inline distT="0" distB="0" distL="114300" distR="114300">
                  <wp:extent cx="4667885" cy="2694305"/>
                  <wp:effectExtent l="0" t="0" r="18415" b="1079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4" cstate="print"/>
                          <a:stretch>
                            <a:fillRect/>
                          </a:stretch>
                        </pic:blipFill>
                        <pic:spPr>
                          <a:xfrm>
                            <a:off x="0" y="0"/>
                            <a:ext cx="4667885" cy="2694305"/>
                          </a:xfrm>
                          <a:prstGeom prst="rect">
                            <a:avLst/>
                          </a:prstGeom>
                          <a:noFill/>
                          <a:ln>
                            <a:noFill/>
                          </a:ln>
                        </pic:spPr>
                      </pic:pic>
                    </a:graphicData>
                  </a:graphic>
                </wp:inline>
              </w:drawing>
            </w:r>
          </w:p>
          <w:p w14:paraId="011B3B33">
            <w:pPr>
              <w:pStyle w:val="34"/>
              <w:spacing w:beforeLines="0" w:afterLines="0" w:line="360" w:lineRule="auto"/>
            </w:pPr>
            <w:r>
              <w:rPr>
                <w:b/>
                <w:bCs/>
                <w:szCs w:val="24"/>
              </w:rPr>
              <w:t>盘锦市环境管控单元分布示意图</w:t>
            </w:r>
          </w:p>
          <w:p w14:paraId="272B0B73">
            <w:pPr>
              <w:pStyle w:val="34"/>
              <w:spacing w:beforeLines="0" w:afterLines="0" w:line="360" w:lineRule="auto"/>
              <w:ind w:firstLine="480" w:firstLineChars="200"/>
              <w:jc w:val="both"/>
            </w:pPr>
          </w:p>
          <w:p w14:paraId="274F2296">
            <w:pPr>
              <w:pStyle w:val="34"/>
              <w:spacing w:beforeLines="0" w:afterLines="0" w:line="360" w:lineRule="auto"/>
              <w:ind w:firstLine="480" w:firstLineChars="200"/>
              <w:jc w:val="both"/>
            </w:pPr>
          </w:p>
          <w:p w14:paraId="37F3B033">
            <w:pPr>
              <w:pStyle w:val="34"/>
              <w:spacing w:beforeLines="0" w:afterLines="0" w:line="360" w:lineRule="auto"/>
              <w:ind w:firstLine="480" w:firstLineChars="200"/>
              <w:jc w:val="both"/>
            </w:pPr>
          </w:p>
          <w:p w14:paraId="03CDE0E2">
            <w:pPr>
              <w:pStyle w:val="34"/>
              <w:spacing w:before="48" w:after="48"/>
            </w:pPr>
          </w:p>
          <w:p w14:paraId="1240BCFC">
            <w:pPr>
              <w:pStyle w:val="34"/>
              <w:spacing w:before="48" w:after="48"/>
            </w:pPr>
          </w:p>
          <w:p w14:paraId="53893CA0">
            <w:pPr>
              <w:pStyle w:val="34"/>
              <w:spacing w:before="48" w:after="48"/>
            </w:pPr>
          </w:p>
          <w:p w14:paraId="49101375">
            <w:pPr>
              <w:pStyle w:val="34"/>
              <w:spacing w:before="48" w:after="48"/>
            </w:pPr>
          </w:p>
          <w:p w14:paraId="3B08F63D">
            <w:pPr>
              <w:pStyle w:val="34"/>
              <w:spacing w:before="48" w:after="48"/>
            </w:pPr>
          </w:p>
          <w:p w14:paraId="1DFC5058">
            <w:pPr>
              <w:pStyle w:val="34"/>
              <w:spacing w:before="48" w:after="48"/>
            </w:pPr>
          </w:p>
        </w:tc>
      </w:tr>
    </w:tbl>
    <w:p w14:paraId="58F07B76">
      <w:pPr>
        <w:pStyle w:val="3"/>
        <w:spacing w:before="120"/>
      </w:pPr>
      <w:r>
        <w:t>二、建设项目工程分析</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8166"/>
      </w:tblGrid>
      <w:tr w14:paraId="4E4622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534" w:type="dxa"/>
            <w:vAlign w:val="center"/>
          </w:tcPr>
          <w:p w14:paraId="3C6AAF83">
            <w:pPr>
              <w:pStyle w:val="4"/>
              <w:spacing w:before="120" w:after="120"/>
            </w:pPr>
            <w:r>
              <w:t>建</w:t>
            </w:r>
          </w:p>
          <w:p w14:paraId="7DDE6B6B">
            <w:pPr>
              <w:pStyle w:val="4"/>
              <w:spacing w:before="120" w:after="120"/>
            </w:pPr>
            <w:r>
              <w:t>设</w:t>
            </w:r>
          </w:p>
          <w:p w14:paraId="0AC858F2">
            <w:pPr>
              <w:pStyle w:val="4"/>
              <w:spacing w:before="120" w:after="120"/>
              <w:rPr>
                <w:bCs/>
                <w:szCs w:val="28"/>
              </w:rPr>
            </w:pPr>
            <w:r>
              <w:t>内</w:t>
            </w:r>
          </w:p>
          <w:p w14:paraId="21CA17C1">
            <w:pPr>
              <w:pStyle w:val="4"/>
              <w:spacing w:before="120" w:after="120"/>
              <w:rPr>
                <w:szCs w:val="21"/>
              </w:rPr>
            </w:pPr>
            <w:r>
              <w:t>容</w:t>
            </w:r>
          </w:p>
        </w:tc>
        <w:tc>
          <w:tcPr>
            <w:tcW w:w="7988" w:type="dxa"/>
          </w:tcPr>
          <w:p w14:paraId="0D199A72">
            <w:pPr>
              <w:pStyle w:val="5"/>
              <w:numPr>
                <w:ilvl w:val="0"/>
                <w:numId w:val="1"/>
              </w:numPr>
              <w:spacing w:before="120" w:after="120"/>
              <w:ind w:firstLine="562" w:firstLineChars="200"/>
              <w:rPr>
                <w:sz w:val="28"/>
              </w:rPr>
            </w:pPr>
            <w:r>
              <w:rPr>
                <w:sz w:val="28"/>
              </w:rPr>
              <w:t>项目背景</w:t>
            </w:r>
          </w:p>
          <w:p w14:paraId="1D60F904">
            <w:pPr>
              <w:ind w:firstLine="480"/>
            </w:pPr>
            <w:r>
              <w:t>上海德迈世欧化工有限公司辽宁分公司成立于2021年12月3日，公司主要从事新型建筑材料制造、保温材料销售、隔热和隔音材料制造等。根据企业发展的需求，公司拟投资2360万元建设15万立方米/年复合不燃隔热保温新材料项目，租用锦鹤门业公司厂区内部分厂房，租赁协议见附件4，</w:t>
            </w:r>
            <w:r>
              <w:rPr>
                <w:color w:val="FF0000"/>
              </w:rPr>
              <w:t>项目租用厂房北侧为混合肥生产公司、东侧为闲置厂房、南侧紧邻粮油公司仓库，西侧为厂区边界</w:t>
            </w:r>
            <w:r>
              <w:t>。根据盘山县发展和改革局出具的项目备案证明（盘县行备[2022]22号）知，项目租用锦鹤门业公司部分厂房，建筑面积10000平方米，设立一条自动生产线、自动发泡机、全自动生物质蒸汽发生器、发泡料仓、水泥料仓、切割区等。年产复合不燃保温板15万立方米。</w:t>
            </w:r>
          </w:p>
          <w:p w14:paraId="55ACB65B">
            <w:pPr>
              <w:ind w:firstLine="480"/>
            </w:pPr>
            <w:r>
              <w:t>根据《建设项目环境影响评价分类管理名录》（2021年版），本项目属于</w:t>
            </w:r>
            <w:r>
              <w:rPr>
                <w:rFonts w:eastAsiaTheme="minorEastAsia"/>
              </w:rPr>
              <w:t>“</w:t>
            </w:r>
            <w:r>
              <w:t>二十七、非金属矿物制品业30-56砖瓦、石材等建筑材料制造303-粘土砖瓦及建筑砌块制造；建筑用石加工；防水建筑材料制造；隔热、隔音材料制造；其他建筑材料制造（含干粉砂浆搅拌站）以上均不含利用石材板材切割、打磨、成型的”，需编制建设项目环境影响报告表。上海德迈世欧化工有限公司辽宁分公司委托辽宁昌鑫环境工程咨询有限公司承担该项目环境影响报告表的编制工作。辽宁昌鑫环境工程咨询有限公司进行了现场勘察，收集了相关资料，在此基础上，完成了本报告表的编制工作。环评委托书见附件1、立项文件见附件2。</w:t>
            </w:r>
          </w:p>
          <w:p w14:paraId="078629BC">
            <w:pPr>
              <w:pStyle w:val="5"/>
              <w:numPr>
                <w:ilvl w:val="0"/>
                <w:numId w:val="1"/>
              </w:numPr>
              <w:spacing w:before="120" w:after="120"/>
              <w:ind w:firstLine="562" w:firstLineChars="200"/>
              <w:rPr>
                <w:sz w:val="28"/>
              </w:rPr>
            </w:pPr>
            <w:r>
              <w:rPr>
                <w:sz w:val="28"/>
              </w:rPr>
              <w:t>项目概况</w:t>
            </w:r>
          </w:p>
          <w:p w14:paraId="35D74213">
            <w:pPr>
              <w:ind w:firstLine="480"/>
            </w:pPr>
            <w:r>
              <w:t>项目名称：15万立方米/年复合不燃隔热保温新材料项目</w:t>
            </w:r>
          </w:p>
          <w:p w14:paraId="2BDE3842">
            <w:pPr>
              <w:ind w:firstLine="480"/>
            </w:pPr>
            <w:r>
              <w:t>建设单位：</w:t>
            </w:r>
            <w:bookmarkStart w:id="2" w:name="OLE_LINK2"/>
            <w:r>
              <w:t>上海德迈世欧化工有限公司辽宁分公司</w:t>
            </w:r>
          </w:p>
          <w:bookmarkEnd w:id="2"/>
          <w:p w14:paraId="009727B1">
            <w:pPr>
              <w:ind w:firstLine="480"/>
            </w:pPr>
            <w:r>
              <w:t>建设地点：辽宁省盘锦市盘山县辽宁新材料产业经济开发区，地理位置图见附图1。</w:t>
            </w:r>
          </w:p>
          <w:p w14:paraId="7BC2005A">
            <w:pPr>
              <w:ind w:firstLine="480"/>
            </w:pPr>
            <w:r>
              <w:t>建设性质：新建</w:t>
            </w:r>
          </w:p>
          <w:p w14:paraId="0700B80E">
            <w:pPr>
              <w:ind w:firstLine="480"/>
            </w:pPr>
            <w:r>
              <w:t>劳动定员：劳动定员55人。</w:t>
            </w:r>
          </w:p>
          <w:p w14:paraId="1FC4A145">
            <w:pPr>
              <w:ind w:firstLine="480"/>
            </w:pPr>
            <w:r>
              <w:t>运行时间：项目年运行时间300天，每天运行16小时。</w:t>
            </w:r>
          </w:p>
          <w:p w14:paraId="26E68A1D">
            <w:pPr>
              <w:pStyle w:val="5"/>
              <w:numPr>
                <w:ilvl w:val="0"/>
                <w:numId w:val="1"/>
              </w:numPr>
              <w:spacing w:before="120" w:after="120"/>
              <w:ind w:firstLine="562" w:firstLineChars="200"/>
              <w:rPr>
                <w:sz w:val="28"/>
              </w:rPr>
            </w:pPr>
            <w:r>
              <w:rPr>
                <w:sz w:val="28"/>
              </w:rPr>
              <w:t>项目投资</w:t>
            </w:r>
          </w:p>
          <w:p w14:paraId="6D10C770">
            <w:pPr>
              <w:ind w:firstLine="480"/>
            </w:pPr>
            <w:r>
              <w:rPr>
                <w:color w:val="FF0000"/>
              </w:rPr>
              <w:t>本项目总投资2360万元</w:t>
            </w:r>
            <w:r>
              <w:rPr>
                <w:rFonts w:hint="eastAsia"/>
                <w:color w:val="FF0000"/>
                <w:lang w:eastAsia="zh-CN"/>
              </w:rPr>
              <w:t>，</w:t>
            </w:r>
            <w:r>
              <w:rPr>
                <w:rFonts w:hint="eastAsia"/>
                <w:color w:val="FF0000"/>
                <w:lang w:val="en-US" w:eastAsia="zh-CN"/>
              </w:rPr>
              <w:t>项目环保投资40万元，环保投资占比1.7%</w:t>
            </w:r>
            <w:r>
              <w:rPr>
                <w:color w:val="FF0000"/>
              </w:rPr>
              <w:t>。</w:t>
            </w:r>
          </w:p>
          <w:p w14:paraId="355798AE">
            <w:pPr>
              <w:pStyle w:val="5"/>
              <w:numPr>
                <w:ilvl w:val="0"/>
                <w:numId w:val="1"/>
              </w:numPr>
              <w:spacing w:before="120" w:after="120"/>
              <w:ind w:firstLine="562" w:firstLineChars="200"/>
              <w:rPr>
                <w:sz w:val="28"/>
              </w:rPr>
            </w:pPr>
            <w:r>
              <w:rPr>
                <w:sz w:val="28"/>
              </w:rPr>
              <w:t>建设内容</w:t>
            </w:r>
          </w:p>
          <w:p w14:paraId="1C3F4E0E">
            <w:pPr>
              <w:ind w:firstLine="480"/>
            </w:pPr>
            <w:r>
              <w:t>项目租用锦鹤门业公司部分厂房，建筑面积10000平方米，设立一条自动生产线、自动发泡机、全自动生物质蒸汽发生器、发泡料仓、水泥料仓、切割区、搅拌区、压制区、熟化区、成品区等。</w:t>
            </w:r>
          </w:p>
          <w:p w14:paraId="7AA9713E">
            <w:pPr>
              <w:ind w:firstLine="480"/>
            </w:pPr>
            <w:r>
              <w:t>项目组成情况详见下表。</w:t>
            </w:r>
          </w:p>
          <w:p w14:paraId="17AAB714">
            <w:pPr>
              <w:pStyle w:val="33"/>
              <w:spacing w:beforeLines="0"/>
              <w:rPr>
                <w:rFonts w:hint="default"/>
              </w:rPr>
            </w:pPr>
            <w:r>
              <w:rPr>
                <w:rFonts w:hint="default"/>
              </w:rPr>
              <w:t>表4  项目组成一览表</w:t>
            </w:r>
          </w:p>
          <w:tbl>
            <w:tblPr>
              <w:tblStyle w:val="24"/>
              <w:tblW w:w="0" w:type="auto"/>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865"/>
              <w:gridCol w:w="1132"/>
              <w:gridCol w:w="4334"/>
              <w:gridCol w:w="843"/>
            </w:tblGrid>
            <w:tr w14:paraId="11CB32A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tcBorders>
                    <w:tl2br w:val="nil"/>
                    <w:tr2bl w:val="nil"/>
                  </w:tcBorders>
                  <w:vAlign w:val="center"/>
                </w:tcPr>
                <w:p w14:paraId="5B666278">
                  <w:pPr>
                    <w:spacing w:beforeLines="20" w:afterLines="20" w:line="240" w:lineRule="auto"/>
                    <w:ind w:firstLine="0" w:firstLineChars="0"/>
                    <w:jc w:val="center"/>
                    <w:rPr>
                      <w:sz w:val="21"/>
                      <w:szCs w:val="21"/>
                    </w:rPr>
                  </w:pPr>
                  <w:r>
                    <w:rPr>
                      <w:sz w:val="21"/>
                      <w:szCs w:val="21"/>
                    </w:rPr>
                    <w:t>序号</w:t>
                  </w:r>
                </w:p>
              </w:tc>
              <w:tc>
                <w:tcPr>
                  <w:tcW w:w="865" w:type="dxa"/>
                  <w:tcBorders>
                    <w:tl2br w:val="nil"/>
                    <w:tr2bl w:val="nil"/>
                  </w:tcBorders>
                  <w:vAlign w:val="center"/>
                </w:tcPr>
                <w:p w14:paraId="0CEB60A2">
                  <w:pPr>
                    <w:spacing w:beforeLines="20" w:afterLines="20" w:line="240" w:lineRule="auto"/>
                    <w:ind w:firstLine="0" w:firstLineChars="0"/>
                    <w:jc w:val="center"/>
                    <w:rPr>
                      <w:sz w:val="21"/>
                      <w:szCs w:val="21"/>
                    </w:rPr>
                  </w:pPr>
                  <w:r>
                    <w:rPr>
                      <w:sz w:val="21"/>
                      <w:szCs w:val="21"/>
                    </w:rPr>
                    <w:t>工程</w:t>
                  </w:r>
                </w:p>
                <w:p w14:paraId="1F21F730">
                  <w:pPr>
                    <w:spacing w:beforeLines="20" w:afterLines="20" w:line="240" w:lineRule="auto"/>
                    <w:ind w:firstLine="0" w:firstLineChars="0"/>
                    <w:jc w:val="center"/>
                    <w:rPr>
                      <w:sz w:val="21"/>
                      <w:szCs w:val="21"/>
                    </w:rPr>
                  </w:pPr>
                  <w:r>
                    <w:rPr>
                      <w:sz w:val="21"/>
                      <w:szCs w:val="21"/>
                    </w:rPr>
                    <w:t>类别</w:t>
                  </w:r>
                </w:p>
              </w:tc>
              <w:tc>
                <w:tcPr>
                  <w:tcW w:w="1132" w:type="dxa"/>
                  <w:tcBorders>
                    <w:tl2br w:val="nil"/>
                    <w:tr2bl w:val="nil"/>
                  </w:tcBorders>
                  <w:vAlign w:val="center"/>
                </w:tcPr>
                <w:p w14:paraId="182E1C4F">
                  <w:pPr>
                    <w:spacing w:beforeLines="20" w:afterLines="20" w:line="240" w:lineRule="auto"/>
                    <w:ind w:firstLine="0" w:firstLineChars="0"/>
                    <w:jc w:val="center"/>
                    <w:rPr>
                      <w:sz w:val="21"/>
                      <w:szCs w:val="21"/>
                    </w:rPr>
                  </w:pPr>
                  <w:r>
                    <w:rPr>
                      <w:sz w:val="21"/>
                      <w:szCs w:val="21"/>
                    </w:rPr>
                    <w:t>项目</w:t>
                  </w:r>
                </w:p>
              </w:tc>
              <w:tc>
                <w:tcPr>
                  <w:tcW w:w="4334" w:type="dxa"/>
                  <w:tcBorders>
                    <w:tl2br w:val="nil"/>
                    <w:tr2bl w:val="nil"/>
                  </w:tcBorders>
                  <w:vAlign w:val="center"/>
                </w:tcPr>
                <w:p w14:paraId="23B5AA7B">
                  <w:pPr>
                    <w:spacing w:beforeLines="20" w:afterLines="20" w:line="240" w:lineRule="auto"/>
                    <w:ind w:firstLine="0" w:firstLineChars="0"/>
                    <w:jc w:val="center"/>
                    <w:rPr>
                      <w:sz w:val="21"/>
                      <w:szCs w:val="21"/>
                    </w:rPr>
                  </w:pPr>
                  <w:r>
                    <w:rPr>
                      <w:sz w:val="21"/>
                      <w:szCs w:val="21"/>
                    </w:rPr>
                    <w:t>内容及规模</w:t>
                  </w:r>
                </w:p>
              </w:tc>
              <w:tc>
                <w:tcPr>
                  <w:tcW w:w="843" w:type="dxa"/>
                  <w:tcBorders>
                    <w:tl2br w:val="nil"/>
                    <w:tr2bl w:val="nil"/>
                  </w:tcBorders>
                  <w:vAlign w:val="center"/>
                </w:tcPr>
                <w:p w14:paraId="2E401E6F">
                  <w:pPr>
                    <w:spacing w:beforeLines="20" w:afterLines="20" w:line="240" w:lineRule="auto"/>
                    <w:ind w:firstLine="0" w:firstLineChars="0"/>
                    <w:jc w:val="center"/>
                    <w:rPr>
                      <w:sz w:val="21"/>
                      <w:szCs w:val="21"/>
                    </w:rPr>
                  </w:pPr>
                  <w:r>
                    <w:rPr>
                      <w:sz w:val="21"/>
                      <w:szCs w:val="21"/>
                    </w:rPr>
                    <w:t>备注</w:t>
                  </w:r>
                </w:p>
              </w:tc>
            </w:tr>
            <w:tr w14:paraId="457A909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tcBorders>
                    <w:tl2br w:val="nil"/>
                    <w:tr2bl w:val="nil"/>
                  </w:tcBorders>
                  <w:vAlign w:val="center"/>
                </w:tcPr>
                <w:p w14:paraId="055D5EAB">
                  <w:pPr>
                    <w:spacing w:beforeLines="20" w:afterLines="20" w:line="240" w:lineRule="auto"/>
                    <w:ind w:firstLine="0" w:firstLineChars="0"/>
                    <w:jc w:val="center"/>
                    <w:rPr>
                      <w:sz w:val="21"/>
                      <w:szCs w:val="21"/>
                    </w:rPr>
                  </w:pPr>
                  <w:r>
                    <w:rPr>
                      <w:sz w:val="21"/>
                      <w:szCs w:val="21"/>
                    </w:rPr>
                    <w:t>1</w:t>
                  </w:r>
                </w:p>
              </w:tc>
              <w:tc>
                <w:tcPr>
                  <w:tcW w:w="865" w:type="dxa"/>
                  <w:tcBorders>
                    <w:tl2br w:val="nil"/>
                    <w:tr2bl w:val="nil"/>
                  </w:tcBorders>
                  <w:vAlign w:val="center"/>
                </w:tcPr>
                <w:p w14:paraId="29B3D791">
                  <w:pPr>
                    <w:spacing w:beforeLines="20" w:afterLines="20" w:line="240" w:lineRule="auto"/>
                    <w:ind w:firstLine="0" w:firstLineChars="0"/>
                    <w:jc w:val="center"/>
                    <w:rPr>
                      <w:sz w:val="21"/>
                      <w:szCs w:val="21"/>
                    </w:rPr>
                  </w:pPr>
                  <w:r>
                    <w:rPr>
                      <w:sz w:val="21"/>
                      <w:szCs w:val="21"/>
                    </w:rPr>
                    <w:t>主体</w:t>
                  </w:r>
                </w:p>
                <w:p w14:paraId="7EBD67FB">
                  <w:pPr>
                    <w:spacing w:beforeLines="20" w:afterLines="20" w:line="240" w:lineRule="auto"/>
                    <w:ind w:firstLine="0" w:firstLineChars="0"/>
                    <w:jc w:val="center"/>
                    <w:rPr>
                      <w:sz w:val="21"/>
                      <w:szCs w:val="21"/>
                    </w:rPr>
                  </w:pPr>
                  <w:r>
                    <w:rPr>
                      <w:sz w:val="21"/>
                      <w:szCs w:val="21"/>
                    </w:rPr>
                    <w:t>工程</w:t>
                  </w:r>
                </w:p>
              </w:tc>
              <w:tc>
                <w:tcPr>
                  <w:tcW w:w="1132" w:type="dxa"/>
                  <w:tcBorders>
                    <w:tl2br w:val="nil"/>
                    <w:tr2bl w:val="nil"/>
                  </w:tcBorders>
                  <w:vAlign w:val="center"/>
                </w:tcPr>
                <w:p w14:paraId="71856068">
                  <w:pPr>
                    <w:spacing w:beforeLines="20" w:afterLines="20" w:line="240" w:lineRule="auto"/>
                    <w:ind w:firstLine="0" w:firstLineChars="0"/>
                    <w:jc w:val="center"/>
                    <w:rPr>
                      <w:sz w:val="21"/>
                      <w:szCs w:val="21"/>
                    </w:rPr>
                  </w:pPr>
                  <w:r>
                    <w:rPr>
                      <w:sz w:val="21"/>
                      <w:szCs w:val="21"/>
                    </w:rPr>
                    <w:t>生产车间</w:t>
                  </w:r>
                </w:p>
              </w:tc>
              <w:tc>
                <w:tcPr>
                  <w:tcW w:w="4334" w:type="dxa"/>
                  <w:tcBorders>
                    <w:tl2br w:val="nil"/>
                    <w:tr2bl w:val="nil"/>
                  </w:tcBorders>
                  <w:vAlign w:val="center"/>
                </w:tcPr>
                <w:p w14:paraId="7D05AC88">
                  <w:pPr>
                    <w:spacing w:beforeLines="20" w:afterLines="20" w:line="240" w:lineRule="auto"/>
                    <w:ind w:firstLine="0" w:firstLineChars="0"/>
                    <w:jc w:val="left"/>
                    <w:rPr>
                      <w:sz w:val="21"/>
                      <w:szCs w:val="21"/>
                    </w:rPr>
                  </w:pPr>
                  <w:r>
                    <w:rPr>
                      <w:sz w:val="21"/>
                      <w:szCs w:val="21"/>
                    </w:rPr>
                    <w:t>建筑面积10000平方米。设立一条自动生产线，包括发泡区、搅拌区、压制区、熟化区、切割区、包装、成品区等，年产复合不燃保温板15万立方米</w:t>
                  </w:r>
                </w:p>
              </w:tc>
              <w:tc>
                <w:tcPr>
                  <w:tcW w:w="843" w:type="dxa"/>
                  <w:tcBorders>
                    <w:tl2br w:val="nil"/>
                    <w:tr2bl w:val="nil"/>
                  </w:tcBorders>
                  <w:vAlign w:val="center"/>
                </w:tcPr>
                <w:p w14:paraId="7F77D032">
                  <w:pPr>
                    <w:spacing w:beforeLines="20" w:afterLines="20" w:line="240" w:lineRule="auto"/>
                    <w:ind w:firstLine="0" w:firstLineChars="0"/>
                    <w:jc w:val="center"/>
                    <w:rPr>
                      <w:sz w:val="21"/>
                      <w:szCs w:val="21"/>
                    </w:rPr>
                  </w:pPr>
                  <w:r>
                    <w:rPr>
                      <w:sz w:val="21"/>
                      <w:szCs w:val="21"/>
                    </w:rPr>
                    <w:t>租用</w:t>
                  </w:r>
                </w:p>
              </w:tc>
            </w:tr>
            <w:tr w14:paraId="53870FB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Merge w:val="restart"/>
                  <w:tcBorders>
                    <w:tl2br w:val="nil"/>
                    <w:tr2bl w:val="nil"/>
                  </w:tcBorders>
                  <w:vAlign w:val="center"/>
                </w:tcPr>
                <w:p w14:paraId="7A8D1FAF">
                  <w:pPr>
                    <w:spacing w:beforeLines="20" w:afterLines="20" w:line="240" w:lineRule="auto"/>
                    <w:ind w:firstLine="0" w:firstLineChars="0"/>
                    <w:jc w:val="center"/>
                    <w:rPr>
                      <w:sz w:val="21"/>
                      <w:szCs w:val="21"/>
                    </w:rPr>
                  </w:pPr>
                  <w:r>
                    <w:rPr>
                      <w:sz w:val="21"/>
                      <w:szCs w:val="21"/>
                    </w:rPr>
                    <w:t>2</w:t>
                  </w:r>
                </w:p>
              </w:tc>
              <w:tc>
                <w:tcPr>
                  <w:tcW w:w="865" w:type="dxa"/>
                  <w:vMerge w:val="restart"/>
                  <w:tcBorders>
                    <w:tl2br w:val="nil"/>
                    <w:tr2bl w:val="nil"/>
                  </w:tcBorders>
                  <w:vAlign w:val="center"/>
                </w:tcPr>
                <w:p w14:paraId="066D8D33">
                  <w:pPr>
                    <w:spacing w:beforeLines="20" w:afterLines="20" w:line="240" w:lineRule="auto"/>
                    <w:ind w:firstLine="0" w:firstLineChars="0"/>
                    <w:jc w:val="center"/>
                    <w:rPr>
                      <w:sz w:val="21"/>
                      <w:szCs w:val="21"/>
                    </w:rPr>
                  </w:pPr>
                  <w:r>
                    <w:rPr>
                      <w:sz w:val="21"/>
                      <w:szCs w:val="21"/>
                    </w:rPr>
                    <w:t>配套</w:t>
                  </w:r>
                </w:p>
                <w:p w14:paraId="2F464624">
                  <w:pPr>
                    <w:spacing w:beforeLines="20" w:afterLines="20" w:line="240" w:lineRule="auto"/>
                    <w:ind w:firstLine="0" w:firstLineChars="0"/>
                    <w:jc w:val="center"/>
                    <w:rPr>
                      <w:sz w:val="21"/>
                      <w:szCs w:val="21"/>
                    </w:rPr>
                  </w:pPr>
                  <w:r>
                    <w:rPr>
                      <w:sz w:val="21"/>
                      <w:szCs w:val="21"/>
                    </w:rPr>
                    <w:t>工程</w:t>
                  </w:r>
                </w:p>
              </w:tc>
              <w:tc>
                <w:tcPr>
                  <w:tcW w:w="1132" w:type="dxa"/>
                  <w:tcBorders>
                    <w:tl2br w:val="nil"/>
                    <w:tr2bl w:val="nil"/>
                  </w:tcBorders>
                  <w:vAlign w:val="center"/>
                </w:tcPr>
                <w:p w14:paraId="1B87FFFA">
                  <w:pPr>
                    <w:spacing w:beforeLines="20" w:afterLines="20" w:line="240" w:lineRule="auto"/>
                    <w:ind w:firstLine="0" w:firstLineChars="0"/>
                    <w:jc w:val="center"/>
                    <w:rPr>
                      <w:sz w:val="21"/>
                      <w:szCs w:val="21"/>
                    </w:rPr>
                  </w:pPr>
                  <w:r>
                    <w:rPr>
                      <w:sz w:val="21"/>
                      <w:szCs w:val="21"/>
                    </w:rPr>
                    <w:t>办公区</w:t>
                  </w:r>
                </w:p>
              </w:tc>
              <w:tc>
                <w:tcPr>
                  <w:tcW w:w="4334" w:type="dxa"/>
                  <w:tcBorders>
                    <w:tl2br w:val="nil"/>
                    <w:tr2bl w:val="nil"/>
                  </w:tcBorders>
                  <w:vAlign w:val="center"/>
                </w:tcPr>
                <w:p w14:paraId="50D2AA46">
                  <w:pPr>
                    <w:spacing w:beforeLines="20" w:afterLines="20" w:line="240" w:lineRule="auto"/>
                    <w:ind w:firstLine="0" w:firstLineChars="0"/>
                    <w:jc w:val="left"/>
                    <w:rPr>
                      <w:sz w:val="21"/>
                      <w:szCs w:val="21"/>
                    </w:rPr>
                  </w:pPr>
                  <w:r>
                    <w:rPr>
                      <w:sz w:val="21"/>
                      <w:szCs w:val="21"/>
                    </w:rPr>
                    <w:t>建筑面积480平方米，位于生产车间内</w:t>
                  </w:r>
                </w:p>
              </w:tc>
              <w:tc>
                <w:tcPr>
                  <w:tcW w:w="843" w:type="dxa"/>
                  <w:tcBorders>
                    <w:tl2br w:val="nil"/>
                    <w:tr2bl w:val="nil"/>
                  </w:tcBorders>
                  <w:vAlign w:val="center"/>
                </w:tcPr>
                <w:p w14:paraId="6484F8BC">
                  <w:pPr>
                    <w:spacing w:beforeLines="20" w:afterLines="20" w:line="240" w:lineRule="auto"/>
                    <w:ind w:firstLine="0" w:firstLineChars="0"/>
                    <w:jc w:val="center"/>
                    <w:rPr>
                      <w:sz w:val="21"/>
                      <w:szCs w:val="21"/>
                    </w:rPr>
                  </w:pPr>
                  <w:r>
                    <w:rPr>
                      <w:sz w:val="21"/>
                      <w:szCs w:val="21"/>
                    </w:rPr>
                    <w:t>租用</w:t>
                  </w:r>
                </w:p>
              </w:tc>
            </w:tr>
            <w:tr w14:paraId="23309B2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Merge w:val="continue"/>
                  <w:tcBorders>
                    <w:tl2br w:val="nil"/>
                    <w:tr2bl w:val="nil"/>
                  </w:tcBorders>
                  <w:vAlign w:val="center"/>
                </w:tcPr>
                <w:p w14:paraId="3654E49F">
                  <w:pPr>
                    <w:spacing w:beforeLines="20" w:afterLines="20" w:line="240" w:lineRule="auto"/>
                    <w:ind w:firstLine="0" w:firstLineChars="0"/>
                    <w:jc w:val="center"/>
                    <w:rPr>
                      <w:sz w:val="21"/>
                      <w:szCs w:val="21"/>
                    </w:rPr>
                  </w:pPr>
                </w:p>
              </w:tc>
              <w:tc>
                <w:tcPr>
                  <w:tcW w:w="865" w:type="dxa"/>
                  <w:vMerge w:val="continue"/>
                  <w:tcBorders>
                    <w:tl2br w:val="nil"/>
                    <w:tr2bl w:val="nil"/>
                  </w:tcBorders>
                  <w:vAlign w:val="center"/>
                </w:tcPr>
                <w:p w14:paraId="71869764">
                  <w:pPr>
                    <w:spacing w:beforeLines="20" w:afterLines="20" w:line="240" w:lineRule="auto"/>
                    <w:ind w:firstLine="0" w:firstLineChars="0"/>
                    <w:jc w:val="center"/>
                    <w:rPr>
                      <w:sz w:val="21"/>
                      <w:szCs w:val="21"/>
                    </w:rPr>
                  </w:pPr>
                </w:p>
              </w:tc>
              <w:tc>
                <w:tcPr>
                  <w:tcW w:w="1132" w:type="dxa"/>
                  <w:tcBorders>
                    <w:tl2br w:val="nil"/>
                    <w:tr2bl w:val="nil"/>
                  </w:tcBorders>
                  <w:vAlign w:val="center"/>
                </w:tcPr>
                <w:p w14:paraId="0B62554E">
                  <w:pPr>
                    <w:spacing w:beforeLines="20" w:afterLines="20" w:line="240" w:lineRule="auto"/>
                    <w:ind w:firstLine="0" w:firstLineChars="0"/>
                    <w:jc w:val="center"/>
                    <w:rPr>
                      <w:sz w:val="21"/>
                      <w:szCs w:val="21"/>
                    </w:rPr>
                  </w:pPr>
                  <w:r>
                    <w:rPr>
                      <w:sz w:val="21"/>
                      <w:szCs w:val="21"/>
                    </w:rPr>
                    <w:t>蒸汽发生间</w:t>
                  </w:r>
                </w:p>
              </w:tc>
              <w:tc>
                <w:tcPr>
                  <w:tcW w:w="4334" w:type="dxa"/>
                  <w:tcBorders>
                    <w:tl2br w:val="nil"/>
                    <w:tr2bl w:val="nil"/>
                  </w:tcBorders>
                  <w:vAlign w:val="center"/>
                </w:tcPr>
                <w:p w14:paraId="6B8C4962">
                  <w:pPr>
                    <w:spacing w:beforeLines="20" w:afterLines="20" w:line="240" w:lineRule="auto"/>
                    <w:ind w:firstLine="0" w:firstLineChars="0"/>
                    <w:jc w:val="left"/>
                    <w:rPr>
                      <w:sz w:val="21"/>
                      <w:szCs w:val="21"/>
                    </w:rPr>
                  </w:pPr>
                  <w:r>
                    <w:rPr>
                      <w:sz w:val="21"/>
                      <w:szCs w:val="21"/>
                    </w:rPr>
                    <w:t>1台2t生物质蒸汽发生器，主要为发泡工序提供蒸汽，并配备软化水设备</w:t>
                  </w:r>
                </w:p>
              </w:tc>
              <w:tc>
                <w:tcPr>
                  <w:tcW w:w="843" w:type="dxa"/>
                  <w:tcBorders>
                    <w:tl2br w:val="nil"/>
                    <w:tr2bl w:val="nil"/>
                  </w:tcBorders>
                  <w:vAlign w:val="center"/>
                </w:tcPr>
                <w:p w14:paraId="31A9E08C">
                  <w:pPr>
                    <w:spacing w:beforeLines="20" w:afterLines="20" w:line="240" w:lineRule="auto"/>
                    <w:ind w:firstLine="0" w:firstLineChars="0"/>
                    <w:jc w:val="center"/>
                    <w:rPr>
                      <w:sz w:val="21"/>
                      <w:szCs w:val="21"/>
                    </w:rPr>
                  </w:pPr>
                  <w:r>
                    <w:rPr>
                      <w:sz w:val="21"/>
                      <w:szCs w:val="21"/>
                    </w:rPr>
                    <w:t>新建</w:t>
                  </w:r>
                </w:p>
              </w:tc>
            </w:tr>
            <w:tr w14:paraId="7C8A68A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Merge w:val="restart"/>
                  <w:tcBorders>
                    <w:tl2br w:val="nil"/>
                    <w:tr2bl w:val="nil"/>
                  </w:tcBorders>
                  <w:vAlign w:val="center"/>
                </w:tcPr>
                <w:p w14:paraId="7B64771D">
                  <w:pPr>
                    <w:spacing w:beforeLines="20" w:afterLines="20" w:line="240" w:lineRule="auto"/>
                    <w:ind w:firstLine="0" w:firstLineChars="0"/>
                    <w:jc w:val="center"/>
                    <w:rPr>
                      <w:sz w:val="21"/>
                      <w:szCs w:val="21"/>
                    </w:rPr>
                  </w:pPr>
                  <w:r>
                    <w:rPr>
                      <w:sz w:val="21"/>
                      <w:szCs w:val="21"/>
                    </w:rPr>
                    <w:t>3</w:t>
                  </w:r>
                </w:p>
              </w:tc>
              <w:tc>
                <w:tcPr>
                  <w:tcW w:w="865" w:type="dxa"/>
                  <w:vMerge w:val="restart"/>
                  <w:tcBorders>
                    <w:tl2br w:val="nil"/>
                    <w:tr2bl w:val="nil"/>
                  </w:tcBorders>
                  <w:vAlign w:val="center"/>
                </w:tcPr>
                <w:p w14:paraId="313D7354">
                  <w:pPr>
                    <w:spacing w:beforeLines="20" w:afterLines="20" w:line="240" w:lineRule="auto"/>
                    <w:ind w:firstLine="0" w:firstLineChars="0"/>
                    <w:jc w:val="center"/>
                    <w:rPr>
                      <w:sz w:val="21"/>
                      <w:szCs w:val="21"/>
                    </w:rPr>
                  </w:pPr>
                  <w:r>
                    <w:rPr>
                      <w:sz w:val="21"/>
                      <w:szCs w:val="21"/>
                    </w:rPr>
                    <w:t>公用</w:t>
                  </w:r>
                </w:p>
                <w:p w14:paraId="12600629">
                  <w:pPr>
                    <w:spacing w:beforeLines="20" w:afterLines="20" w:line="240" w:lineRule="auto"/>
                    <w:ind w:firstLine="0" w:firstLineChars="0"/>
                    <w:jc w:val="center"/>
                    <w:rPr>
                      <w:sz w:val="21"/>
                      <w:szCs w:val="21"/>
                    </w:rPr>
                  </w:pPr>
                  <w:r>
                    <w:rPr>
                      <w:sz w:val="21"/>
                      <w:szCs w:val="21"/>
                    </w:rPr>
                    <w:t>工程</w:t>
                  </w:r>
                </w:p>
              </w:tc>
              <w:tc>
                <w:tcPr>
                  <w:tcW w:w="1132" w:type="dxa"/>
                  <w:tcBorders>
                    <w:tl2br w:val="nil"/>
                    <w:tr2bl w:val="nil"/>
                  </w:tcBorders>
                  <w:vAlign w:val="center"/>
                </w:tcPr>
                <w:p w14:paraId="4C1FE19C">
                  <w:pPr>
                    <w:spacing w:beforeLines="20" w:afterLines="20" w:line="240" w:lineRule="auto"/>
                    <w:ind w:firstLine="0" w:firstLineChars="0"/>
                    <w:jc w:val="center"/>
                    <w:rPr>
                      <w:sz w:val="21"/>
                      <w:szCs w:val="21"/>
                    </w:rPr>
                  </w:pPr>
                  <w:r>
                    <w:rPr>
                      <w:sz w:val="21"/>
                      <w:szCs w:val="21"/>
                    </w:rPr>
                    <w:t>供水系统</w:t>
                  </w:r>
                </w:p>
              </w:tc>
              <w:tc>
                <w:tcPr>
                  <w:tcW w:w="4334" w:type="dxa"/>
                  <w:tcBorders>
                    <w:tl2br w:val="nil"/>
                    <w:tr2bl w:val="nil"/>
                  </w:tcBorders>
                  <w:vAlign w:val="center"/>
                </w:tcPr>
                <w:p w14:paraId="4B164163">
                  <w:pPr>
                    <w:spacing w:beforeLines="20" w:afterLines="20" w:line="240" w:lineRule="auto"/>
                    <w:ind w:firstLine="0" w:firstLineChars="0"/>
                    <w:jc w:val="left"/>
                    <w:rPr>
                      <w:sz w:val="21"/>
                      <w:szCs w:val="21"/>
                    </w:rPr>
                  </w:pPr>
                  <w:r>
                    <w:rPr>
                      <w:sz w:val="21"/>
                      <w:szCs w:val="21"/>
                    </w:rPr>
                    <w:t>市政供水，用水量12612t/a</w:t>
                  </w:r>
                </w:p>
              </w:tc>
              <w:tc>
                <w:tcPr>
                  <w:tcW w:w="843" w:type="dxa"/>
                  <w:tcBorders>
                    <w:tl2br w:val="nil"/>
                    <w:tr2bl w:val="nil"/>
                  </w:tcBorders>
                  <w:vAlign w:val="center"/>
                </w:tcPr>
                <w:p w14:paraId="37E5F6DE">
                  <w:pPr>
                    <w:spacing w:beforeLines="20" w:afterLines="20" w:line="240" w:lineRule="auto"/>
                    <w:ind w:firstLine="0" w:firstLineChars="0"/>
                    <w:jc w:val="center"/>
                    <w:rPr>
                      <w:sz w:val="21"/>
                      <w:szCs w:val="21"/>
                    </w:rPr>
                  </w:pPr>
                  <w:r>
                    <w:rPr>
                      <w:sz w:val="21"/>
                      <w:szCs w:val="21"/>
                    </w:rPr>
                    <w:t>-</w:t>
                  </w:r>
                </w:p>
              </w:tc>
            </w:tr>
            <w:tr w14:paraId="3DDDE51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4" w:type="dxa"/>
                  <w:vMerge w:val="continue"/>
                  <w:tcBorders>
                    <w:tl2br w:val="nil"/>
                    <w:tr2bl w:val="nil"/>
                  </w:tcBorders>
                  <w:vAlign w:val="center"/>
                </w:tcPr>
                <w:p w14:paraId="13069416">
                  <w:pPr>
                    <w:widowControl/>
                    <w:spacing w:beforeLines="20" w:afterLines="20" w:line="240" w:lineRule="auto"/>
                    <w:ind w:firstLine="0" w:firstLineChars="0"/>
                    <w:jc w:val="center"/>
                    <w:rPr>
                      <w:sz w:val="21"/>
                      <w:szCs w:val="21"/>
                    </w:rPr>
                  </w:pPr>
                </w:p>
              </w:tc>
              <w:tc>
                <w:tcPr>
                  <w:tcW w:w="865" w:type="dxa"/>
                  <w:vMerge w:val="continue"/>
                  <w:tcBorders>
                    <w:tl2br w:val="nil"/>
                    <w:tr2bl w:val="nil"/>
                  </w:tcBorders>
                  <w:vAlign w:val="center"/>
                </w:tcPr>
                <w:p w14:paraId="73D4554E">
                  <w:pPr>
                    <w:widowControl/>
                    <w:spacing w:beforeLines="20" w:afterLines="20" w:line="240" w:lineRule="auto"/>
                    <w:ind w:firstLine="0" w:firstLineChars="0"/>
                    <w:jc w:val="center"/>
                    <w:rPr>
                      <w:sz w:val="21"/>
                      <w:szCs w:val="21"/>
                    </w:rPr>
                  </w:pPr>
                </w:p>
              </w:tc>
              <w:tc>
                <w:tcPr>
                  <w:tcW w:w="1132" w:type="dxa"/>
                  <w:tcBorders>
                    <w:tl2br w:val="nil"/>
                    <w:tr2bl w:val="nil"/>
                  </w:tcBorders>
                  <w:vAlign w:val="center"/>
                </w:tcPr>
                <w:p w14:paraId="00E7C032">
                  <w:pPr>
                    <w:spacing w:beforeLines="20" w:afterLines="20" w:line="240" w:lineRule="auto"/>
                    <w:ind w:firstLine="0" w:firstLineChars="0"/>
                    <w:jc w:val="center"/>
                    <w:rPr>
                      <w:sz w:val="21"/>
                      <w:szCs w:val="21"/>
                    </w:rPr>
                  </w:pPr>
                  <w:r>
                    <w:rPr>
                      <w:sz w:val="21"/>
                      <w:szCs w:val="21"/>
                    </w:rPr>
                    <w:t>排水系统</w:t>
                  </w:r>
                </w:p>
              </w:tc>
              <w:tc>
                <w:tcPr>
                  <w:tcW w:w="4334" w:type="dxa"/>
                  <w:tcBorders>
                    <w:tl2br w:val="nil"/>
                    <w:tr2bl w:val="nil"/>
                  </w:tcBorders>
                  <w:vAlign w:val="center"/>
                </w:tcPr>
                <w:p w14:paraId="50074C1A">
                  <w:pPr>
                    <w:spacing w:beforeLines="20" w:afterLines="20" w:line="240" w:lineRule="auto"/>
                    <w:ind w:firstLine="0" w:firstLineChars="0"/>
                    <w:jc w:val="left"/>
                    <w:rPr>
                      <w:sz w:val="21"/>
                      <w:szCs w:val="21"/>
                    </w:rPr>
                  </w:pPr>
                  <w:r>
                    <w:rPr>
                      <w:sz w:val="21"/>
                      <w:szCs w:val="21"/>
                    </w:rPr>
                    <w:t>生活污水依托厂区现有化粪池处理后排入园区污水处理厂，无生产废水外排</w:t>
                  </w:r>
                </w:p>
              </w:tc>
              <w:tc>
                <w:tcPr>
                  <w:tcW w:w="843" w:type="dxa"/>
                  <w:tcBorders>
                    <w:tl2br w:val="nil"/>
                    <w:tr2bl w:val="nil"/>
                  </w:tcBorders>
                  <w:vAlign w:val="center"/>
                </w:tcPr>
                <w:p w14:paraId="28BCFA9B">
                  <w:pPr>
                    <w:spacing w:beforeLines="20" w:afterLines="20" w:line="240" w:lineRule="auto"/>
                    <w:ind w:firstLine="0" w:firstLineChars="0"/>
                    <w:jc w:val="center"/>
                    <w:rPr>
                      <w:sz w:val="21"/>
                      <w:szCs w:val="21"/>
                    </w:rPr>
                  </w:pPr>
                  <w:r>
                    <w:rPr>
                      <w:sz w:val="21"/>
                      <w:szCs w:val="21"/>
                    </w:rPr>
                    <w:t>依托</w:t>
                  </w:r>
                </w:p>
              </w:tc>
            </w:tr>
            <w:tr w14:paraId="498E025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Merge w:val="continue"/>
                  <w:tcBorders>
                    <w:tl2br w:val="nil"/>
                    <w:tr2bl w:val="nil"/>
                  </w:tcBorders>
                  <w:vAlign w:val="center"/>
                </w:tcPr>
                <w:p w14:paraId="350AB23B">
                  <w:pPr>
                    <w:widowControl/>
                    <w:spacing w:beforeLines="20" w:afterLines="20" w:line="240" w:lineRule="auto"/>
                    <w:ind w:firstLine="0" w:firstLineChars="0"/>
                    <w:jc w:val="center"/>
                    <w:rPr>
                      <w:sz w:val="21"/>
                      <w:szCs w:val="21"/>
                    </w:rPr>
                  </w:pPr>
                </w:p>
              </w:tc>
              <w:tc>
                <w:tcPr>
                  <w:tcW w:w="865" w:type="dxa"/>
                  <w:vMerge w:val="continue"/>
                  <w:tcBorders>
                    <w:tl2br w:val="nil"/>
                    <w:tr2bl w:val="nil"/>
                  </w:tcBorders>
                  <w:vAlign w:val="center"/>
                </w:tcPr>
                <w:p w14:paraId="6984C586">
                  <w:pPr>
                    <w:widowControl/>
                    <w:spacing w:beforeLines="20" w:afterLines="20" w:line="240" w:lineRule="auto"/>
                    <w:ind w:firstLine="0" w:firstLineChars="0"/>
                    <w:jc w:val="center"/>
                    <w:rPr>
                      <w:sz w:val="21"/>
                      <w:szCs w:val="21"/>
                    </w:rPr>
                  </w:pPr>
                </w:p>
              </w:tc>
              <w:tc>
                <w:tcPr>
                  <w:tcW w:w="1132" w:type="dxa"/>
                  <w:tcBorders>
                    <w:tl2br w:val="nil"/>
                    <w:tr2bl w:val="nil"/>
                  </w:tcBorders>
                  <w:vAlign w:val="center"/>
                </w:tcPr>
                <w:p w14:paraId="0078B08C">
                  <w:pPr>
                    <w:spacing w:beforeLines="20" w:afterLines="20" w:line="240" w:lineRule="auto"/>
                    <w:ind w:firstLine="0" w:firstLineChars="0"/>
                    <w:jc w:val="center"/>
                    <w:rPr>
                      <w:sz w:val="21"/>
                      <w:szCs w:val="21"/>
                    </w:rPr>
                  </w:pPr>
                  <w:r>
                    <w:rPr>
                      <w:sz w:val="21"/>
                      <w:szCs w:val="21"/>
                    </w:rPr>
                    <w:t>供暖系统</w:t>
                  </w:r>
                </w:p>
              </w:tc>
              <w:tc>
                <w:tcPr>
                  <w:tcW w:w="4334" w:type="dxa"/>
                  <w:tcBorders>
                    <w:tl2br w:val="nil"/>
                    <w:tr2bl w:val="nil"/>
                  </w:tcBorders>
                  <w:vAlign w:val="center"/>
                </w:tcPr>
                <w:p w14:paraId="0C3CD2C4">
                  <w:pPr>
                    <w:spacing w:beforeLines="20" w:afterLines="20" w:line="240" w:lineRule="auto"/>
                    <w:ind w:firstLine="0" w:firstLineChars="0"/>
                    <w:jc w:val="left"/>
                    <w:rPr>
                      <w:sz w:val="21"/>
                      <w:szCs w:val="21"/>
                    </w:rPr>
                  </w:pPr>
                  <w:r>
                    <w:rPr>
                      <w:sz w:val="21"/>
                      <w:szCs w:val="21"/>
                    </w:rPr>
                    <w:t>冬季采用园区统一供暖</w:t>
                  </w:r>
                </w:p>
              </w:tc>
              <w:tc>
                <w:tcPr>
                  <w:tcW w:w="843" w:type="dxa"/>
                  <w:tcBorders>
                    <w:tl2br w:val="nil"/>
                    <w:tr2bl w:val="nil"/>
                  </w:tcBorders>
                  <w:vAlign w:val="center"/>
                </w:tcPr>
                <w:p w14:paraId="36B6C0B8">
                  <w:pPr>
                    <w:spacing w:beforeLines="20" w:afterLines="20" w:line="240" w:lineRule="auto"/>
                    <w:ind w:firstLine="0" w:firstLineChars="0"/>
                    <w:jc w:val="center"/>
                    <w:rPr>
                      <w:sz w:val="21"/>
                      <w:szCs w:val="21"/>
                    </w:rPr>
                  </w:pPr>
                  <w:r>
                    <w:rPr>
                      <w:sz w:val="21"/>
                      <w:szCs w:val="21"/>
                    </w:rPr>
                    <w:t>依托</w:t>
                  </w:r>
                </w:p>
              </w:tc>
            </w:tr>
            <w:tr w14:paraId="5679D36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Merge w:val="continue"/>
                  <w:tcBorders>
                    <w:tl2br w:val="nil"/>
                    <w:tr2bl w:val="nil"/>
                  </w:tcBorders>
                  <w:vAlign w:val="center"/>
                </w:tcPr>
                <w:p w14:paraId="5C99E0A4">
                  <w:pPr>
                    <w:widowControl/>
                    <w:spacing w:beforeLines="20" w:afterLines="20" w:line="240" w:lineRule="auto"/>
                    <w:ind w:firstLine="0" w:firstLineChars="0"/>
                    <w:jc w:val="center"/>
                    <w:rPr>
                      <w:sz w:val="21"/>
                      <w:szCs w:val="21"/>
                    </w:rPr>
                  </w:pPr>
                </w:p>
              </w:tc>
              <w:tc>
                <w:tcPr>
                  <w:tcW w:w="865" w:type="dxa"/>
                  <w:vMerge w:val="continue"/>
                  <w:tcBorders>
                    <w:tl2br w:val="nil"/>
                    <w:tr2bl w:val="nil"/>
                  </w:tcBorders>
                  <w:vAlign w:val="center"/>
                </w:tcPr>
                <w:p w14:paraId="542A4194">
                  <w:pPr>
                    <w:widowControl/>
                    <w:spacing w:beforeLines="20" w:afterLines="20" w:line="240" w:lineRule="auto"/>
                    <w:ind w:firstLine="0" w:firstLineChars="0"/>
                    <w:jc w:val="center"/>
                    <w:rPr>
                      <w:sz w:val="21"/>
                      <w:szCs w:val="21"/>
                    </w:rPr>
                  </w:pPr>
                </w:p>
              </w:tc>
              <w:tc>
                <w:tcPr>
                  <w:tcW w:w="1132" w:type="dxa"/>
                  <w:tcBorders>
                    <w:tl2br w:val="nil"/>
                    <w:tr2bl w:val="nil"/>
                  </w:tcBorders>
                  <w:vAlign w:val="center"/>
                </w:tcPr>
                <w:p w14:paraId="253C5B59">
                  <w:pPr>
                    <w:spacing w:beforeLines="20" w:afterLines="20" w:line="240" w:lineRule="auto"/>
                    <w:ind w:firstLine="0" w:firstLineChars="0"/>
                    <w:jc w:val="center"/>
                    <w:rPr>
                      <w:sz w:val="21"/>
                      <w:szCs w:val="21"/>
                    </w:rPr>
                  </w:pPr>
                  <w:r>
                    <w:rPr>
                      <w:sz w:val="21"/>
                      <w:szCs w:val="21"/>
                    </w:rPr>
                    <w:t>供电系统</w:t>
                  </w:r>
                </w:p>
              </w:tc>
              <w:tc>
                <w:tcPr>
                  <w:tcW w:w="4334" w:type="dxa"/>
                  <w:tcBorders>
                    <w:tl2br w:val="nil"/>
                    <w:tr2bl w:val="nil"/>
                  </w:tcBorders>
                  <w:vAlign w:val="center"/>
                </w:tcPr>
                <w:p w14:paraId="3015DC1A">
                  <w:pPr>
                    <w:spacing w:beforeLines="20" w:afterLines="20" w:line="240" w:lineRule="auto"/>
                    <w:ind w:firstLine="0" w:firstLineChars="0"/>
                    <w:jc w:val="left"/>
                    <w:rPr>
                      <w:sz w:val="21"/>
                      <w:szCs w:val="21"/>
                    </w:rPr>
                  </w:pPr>
                  <w:r>
                    <w:rPr>
                      <w:sz w:val="21"/>
                      <w:szCs w:val="21"/>
                    </w:rPr>
                    <w:t>市政供电，用电量60000kW·h/a</w:t>
                  </w:r>
                </w:p>
              </w:tc>
              <w:tc>
                <w:tcPr>
                  <w:tcW w:w="843" w:type="dxa"/>
                  <w:tcBorders>
                    <w:tl2br w:val="nil"/>
                    <w:tr2bl w:val="nil"/>
                  </w:tcBorders>
                  <w:vAlign w:val="center"/>
                </w:tcPr>
                <w:p w14:paraId="797215A2">
                  <w:pPr>
                    <w:spacing w:beforeLines="20" w:afterLines="20" w:line="240" w:lineRule="auto"/>
                    <w:ind w:firstLine="0" w:firstLineChars="0"/>
                    <w:jc w:val="center"/>
                    <w:rPr>
                      <w:sz w:val="21"/>
                      <w:szCs w:val="21"/>
                    </w:rPr>
                  </w:pPr>
                  <w:r>
                    <w:rPr>
                      <w:sz w:val="21"/>
                      <w:szCs w:val="21"/>
                    </w:rPr>
                    <w:t>-</w:t>
                  </w:r>
                </w:p>
              </w:tc>
            </w:tr>
            <w:tr w14:paraId="53A1AB6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Merge w:val="restart"/>
                  <w:tcBorders>
                    <w:tl2br w:val="nil"/>
                    <w:tr2bl w:val="nil"/>
                  </w:tcBorders>
                  <w:vAlign w:val="center"/>
                </w:tcPr>
                <w:p w14:paraId="1EEB94CD">
                  <w:pPr>
                    <w:spacing w:beforeLines="20" w:afterLines="20" w:line="240" w:lineRule="auto"/>
                    <w:ind w:firstLine="0" w:firstLineChars="0"/>
                    <w:jc w:val="center"/>
                    <w:rPr>
                      <w:sz w:val="21"/>
                      <w:szCs w:val="21"/>
                    </w:rPr>
                  </w:pPr>
                  <w:r>
                    <w:rPr>
                      <w:sz w:val="21"/>
                      <w:szCs w:val="21"/>
                    </w:rPr>
                    <w:t>4</w:t>
                  </w:r>
                </w:p>
              </w:tc>
              <w:tc>
                <w:tcPr>
                  <w:tcW w:w="865" w:type="dxa"/>
                  <w:vMerge w:val="restart"/>
                  <w:tcBorders>
                    <w:tl2br w:val="nil"/>
                    <w:tr2bl w:val="nil"/>
                  </w:tcBorders>
                  <w:vAlign w:val="center"/>
                </w:tcPr>
                <w:p w14:paraId="3FD4A51F">
                  <w:pPr>
                    <w:spacing w:beforeLines="20" w:afterLines="20" w:line="240" w:lineRule="auto"/>
                    <w:ind w:firstLine="0" w:firstLineChars="0"/>
                    <w:jc w:val="center"/>
                    <w:rPr>
                      <w:sz w:val="21"/>
                      <w:szCs w:val="21"/>
                    </w:rPr>
                  </w:pPr>
                  <w:r>
                    <w:rPr>
                      <w:sz w:val="21"/>
                      <w:szCs w:val="21"/>
                    </w:rPr>
                    <w:t>环保</w:t>
                  </w:r>
                </w:p>
                <w:p w14:paraId="1B47DDCB">
                  <w:pPr>
                    <w:spacing w:beforeLines="20" w:afterLines="20" w:line="240" w:lineRule="auto"/>
                    <w:ind w:firstLine="0" w:firstLineChars="0"/>
                    <w:jc w:val="center"/>
                    <w:rPr>
                      <w:sz w:val="21"/>
                      <w:szCs w:val="21"/>
                    </w:rPr>
                  </w:pPr>
                  <w:r>
                    <w:rPr>
                      <w:sz w:val="21"/>
                      <w:szCs w:val="21"/>
                    </w:rPr>
                    <w:t>工程</w:t>
                  </w:r>
                </w:p>
              </w:tc>
              <w:tc>
                <w:tcPr>
                  <w:tcW w:w="1132" w:type="dxa"/>
                  <w:tcBorders>
                    <w:tl2br w:val="nil"/>
                    <w:tr2bl w:val="nil"/>
                  </w:tcBorders>
                  <w:vAlign w:val="center"/>
                </w:tcPr>
                <w:p w14:paraId="55B342A9">
                  <w:pPr>
                    <w:spacing w:beforeLines="20" w:afterLines="20" w:line="240" w:lineRule="auto"/>
                    <w:ind w:firstLine="0" w:firstLineChars="0"/>
                    <w:jc w:val="center"/>
                    <w:rPr>
                      <w:sz w:val="21"/>
                      <w:szCs w:val="21"/>
                    </w:rPr>
                  </w:pPr>
                  <w:r>
                    <w:rPr>
                      <w:sz w:val="21"/>
                      <w:szCs w:val="21"/>
                    </w:rPr>
                    <w:t>大气治理</w:t>
                  </w:r>
                </w:p>
              </w:tc>
              <w:tc>
                <w:tcPr>
                  <w:tcW w:w="4334" w:type="dxa"/>
                  <w:tcBorders>
                    <w:tl2br w:val="nil"/>
                    <w:tr2bl w:val="nil"/>
                  </w:tcBorders>
                  <w:vAlign w:val="center"/>
                </w:tcPr>
                <w:p w14:paraId="1CB396F2">
                  <w:pPr>
                    <w:spacing w:beforeLines="20" w:afterLines="20" w:line="240" w:lineRule="auto"/>
                    <w:ind w:firstLine="0" w:firstLineChars="0"/>
                    <w:jc w:val="left"/>
                    <w:rPr>
                      <w:sz w:val="21"/>
                      <w:szCs w:val="21"/>
                    </w:rPr>
                  </w:pPr>
                  <w:r>
                    <w:rPr>
                      <w:sz w:val="21"/>
                      <w:szCs w:val="21"/>
                    </w:rPr>
                    <w:t>切割粉尘采用旋风除尘+袋式除尘+15m排气筒；发泡工序产生的非甲烷总烃采用生物质蒸汽发生器燃烧处理；生物质蒸汽发生器采用低氮燃烧+旋风除尘+袋式除尘+30m排气筒</w:t>
                  </w:r>
                </w:p>
              </w:tc>
              <w:tc>
                <w:tcPr>
                  <w:tcW w:w="843" w:type="dxa"/>
                  <w:tcBorders>
                    <w:tl2br w:val="nil"/>
                    <w:tr2bl w:val="nil"/>
                  </w:tcBorders>
                  <w:vAlign w:val="center"/>
                </w:tcPr>
                <w:p w14:paraId="0E3ED0C7">
                  <w:pPr>
                    <w:spacing w:beforeLines="20" w:afterLines="20" w:line="240" w:lineRule="auto"/>
                    <w:ind w:firstLine="0" w:firstLineChars="0"/>
                    <w:jc w:val="center"/>
                    <w:rPr>
                      <w:sz w:val="21"/>
                      <w:szCs w:val="21"/>
                    </w:rPr>
                  </w:pPr>
                  <w:r>
                    <w:rPr>
                      <w:sz w:val="21"/>
                      <w:szCs w:val="21"/>
                    </w:rPr>
                    <w:t>新建</w:t>
                  </w:r>
                </w:p>
              </w:tc>
            </w:tr>
            <w:tr w14:paraId="482ABB3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Merge w:val="continue"/>
                  <w:tcBorders>
                    <w:tl2br w:val="nil"/>
                    <w:tr2bl w:val="nil"/>
                  </w:tcBorders>
                  <w:vAlign w:val="center"/>
                </w:tcPr>
                <w:p w14:paraId="0BAD8B5B">
                  <w:pPr>
                    <w:spacing w:beforeLines="20" w:afterLines="20" w:line="240" w:lineRule="auto"/>
                    <w:ind w:firstLine="0" w:firstLineChars="0"/>
                    <w:jc w:val="center"/>
                    <w:rPr>
                      <w:sz w:val="21"/>
                      <w:szCs w:val="21"/>
                    </w:rPr>
                  </w:pPr>
                </w:p>
              </w:tc>
              <w:tc>
                <w:tcPr>
                  <w:tcW w:w="865" w:type="dxa"/>
                  <w:vMerge w:val="continue"/>
                  <w:tcBorders>
                    <w:tl2br w:val="nil"/>
                    <w:tr2bl w:val="nil"/>
                  </w:tcBorders>
                  <w:vAlign w:val="center"/>
                </w:tcPr>
                <w:p w14:paraId="7D4B9FC1">
                  <w:pPr>
                    <w:spacing w:beforeLines="20" w:afterLines="20" w:line="240" w:lineRule="auto"/>
                    <w:ind w:firstLine="0" w:firstLineChars="0"/>
                    <w:jc w:val="center"/>
                    <w:rPr>
                      <w:sz w:val="21"/>
                      <w:szCs w:val="21"/>
                    </w:rPr>
                  </w:pPr>
                </w:p>
              </w:tc>
              <w:tc>
                <w:tcPr>
                  <w:tcW w:w="1132" w:type="dxa"/>
                  <w:tcBorders>
                    <w:tl2br w:val="nil"/>
                    <w:tr2bl w:val="nil"/>
                  </w:tcBorders>
                  <w:vAlign w:val="center"/>
                </w:tcPr>
                <w:p w14:paraId="7133EFA3">
                  <w:pPr>
                    <w:spacing w:beforeLines="20" w:afterLines="20" w:line="240" w:lineRule="auto"/>
                    <w:ind w:firstLine="0" w:firstLineChars="0"/>
                    <w:jc w:val="center"/>
                    <w:rPr>
                      <w:sz w:val="21"/>
                      <w:szCs w:val="21"/>
                    </w:rPr>
                  </w:pPr>
                  <w:r>
                    <w:rPr>
                      <w:sz w:val="21"/>
                      <w:szCs w:val="21"/>
                    </w:rPr>
                    <w:t>废水治理</w:t>
                  </w:r>
                </w:p>
              </w:tc>
              <w:tc>
                <w:tcPr>
                  <w:tcW w:w="4334" w:type="dxa"/>
                  <w:tcBorders>
                    <w:tl2br w:val="nil"/>
                    <w:tr2bl w:val="nil"/>
                  </w:tcBorders>
                  <w:vAlign w:val="center"/>
                </w:tcPr>
                <w:p w14:paraId="0393D664">
                  <w:pPr>
                    <w:spacing w:beforeLines="20" w:afterLines="20" w:line="240" w:lineRule="auto"/>
                    <w:ind w:firstLine="0" w:firstLineChars="0"/>
                    <w:jc w:val="left"/>
                    <w:rPr>
                      <w:sz w:val="21"/>
                      <w:szCs w:val="21"/>
                    </w:rPr>
                  </w:pPr>
                  <w:r>
                    <w:rPr>
                      <w:sz w:val="21"/>
                      <w:szCs w:val="21"/>
                    </w:rPr>
                    <w:t>生活污水依托厂区现有化粪池处理后排入园区污水处理厂，生产废水均回用，无生产废水外排</w:t>
                  </w:r>
                </w:p>
              </w:tc>
              <w:tc>
                <w:tcPr>
                  <w:tcW w:w="843" w:type="dxa"/>
                  <w:tcBorders>
                    <w:tl2br w:val="nil"/>
                    <w:tr2bl w:val="nil"/>
                  </w:tcBorders>
                  <w:vAlign w:val="center"/>
                </w:tcPr>
                <w:p w14:paraId="74F3CB94">
                  <w:pPr>
                    <w:spacing w:beforeLines="20" w:afterLines="20" w:line="240" w:lineRule="auto"/>
                    <w:ind w:firstLine="0" w:firstLineChars="0"/>
                    <w:jc w:val="center"/>
                    <w:rPr>
                      <w:sz w:val="21"/>
                      <w:szCs w:val="21"/>
                    </w:rPr>
                  </w:pPr>
                  <w:r>
                    <w:rPr>
                      <w:sz w:val="21"/>
                      <w:szCs w:val="21"/>
                    </w:rPr>
                    <w:t>依托</w:t>
                  </w:r>
                </w:p>
              </w:tc>
            </w:tr>
            <w:tr w14:paraId="06C8EE7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Merge w:val="continue"/>
                  <w:tcBorders>
                    <w:tl2br w:val="nil"/>
                    <w:tr2bl w:val="nil"/>
                  </w:tcBorders>
                  <w:vAlign w:val="center"/>
                </w:tcPr>
                <w:p w14:paraId="3AEF9202">
                  <w:pPr>
                    <w:widowControl/>
                    <w:spacing w:beforeLines="20" w:afterLines="20" w:line="240" w:lineRule="auto"/>
                    <w:ind w:firstLine="0" w:firstLineChars="0"/>
                    <w:jc w:val="center"/>
                    <w:rPr>
                      <w:sz w:val="21"/>
                      <w:szCs w:val="21"/>
                    </w:rPr>
                  </w:pPr>
                </w:p>
              </w:tc>
              <w:tc>
                <w:tcPr>
                  <w:tcW w:w="865" w:type="dxa"/>
                  <w:vMerge w:val="continue"/>
                  <w:tcBorders>
                    <w:tl2br w:val="nil"/>
                    <w:tr2bl w:val="nil"/>
                  </w:tcBorders>
                  <w:vAlign w:val="center"/>
                </w:tcPr>
                <w:p w14:paraId="4EB7301F">
                  <w:pPr>
                    <w:widowControl/>
                    <w:spacing w:beforeLines="20" w:afterLines="20" w:line="240" w:lineRule="auto"/>
                    <w:ind w:firstLine="0" w:firstLineChars="0"/>
                    <w:jc w:val="center"/>
                    <w:rPr>
                      <w:sz w:val="21"/>
                      <w:szCs w:val="21"/>
                    </w:rPr>
                  </w:pPr>
                </w:p>
              </w:tc>
              <w:tc>
                <w:tcPr>
                  <w:tcW w:w="1132" w:type="dxa"/>
                  <w:tcBorders>
                    <w:tl2br w:val="nil"/>
                    <w:tr2bl w:val="nil"/>
                  </w:tcBorders>
                  <w:vAlign w:val="center"/>
                </w:tcPr>
                <w:p w14:paraId="55A9F1FC">
                  <w:pPr>
                    <w:spacing w:beforeLines="20" w:afterLines="20" w:line="240" w:lineRule="auto"/>
                    <w:ind w:firstLine="0" w:firstLineChars="0"/>
                    <w:jc w:val="center"/>
                    <w:rPr>
                      <w:sz w:val="21"/>
                      <w:szCs w:val="21"/>
                    </w:rPr>
                  </w:pPr>
                  <w:r>
                    <w:rPr>
                      <w:sz w:val="21"/>
                      <w:szCs w:val="21"/>
                    </w:rPr>
                    <w:t>噪声治理</w:t>
                  </w:r>
                </w:p>
              </w:tc>
              <w:tc>
                <w:tcPr>
                  <w:tcW w:w="4334" w:type="dxa"/>
                  <w:tcBorders>
                    <w:tl2br w:val="nil"/>
                    <w:tr2bl w:val="nil"/>
                  </w:tcBorders>
                  <w:vAlign w:val="center"/>
                </w:tcPr>
                <w:p w14:paraId="7581263F">
                  <w:pPr>
                    <w:spacing w:beforeLines="20" w:afterLines="20" w:line="240" w:lineRule="auto"/>
                    <w:ind w:firstLine="0" w:firstLineChars="0"/>
                    <w:jc w:val="left"/>
                    <w:rPr>
                      <w:sz w:val="21"/>
                      <w:szCs w:val="21"/>
                    </w:rPr>
                  </w:pPr>
                  <w:r>
                    <w:rPr>
                      <w:sz w:val="21"/>
                      <w:szCs w:val="21"/>
                    </w:rPr>
                    <w:t>隔声、减振措施</w:t>
                  </w:r>
                </w:p>
              </w:tc>
              <w:tc>
                <w:tcPr>
                  <w:tcW w:w="843" w:type="dxa"/>
                  <w:tcBorders>
                    <w:tl2br w:val="nil"/>
                    <w:tr2bl w:val="nil"/>
                  </w:tcBorders>
                  <w:vAlign w:val="center"/>
                </w:tcPr>
                <w:p w14:paraId="23D52E05">
                  <w:pPr>
                    <w:spacing w:beforeLines="20" w:afterLines="20" w:line="240" w:lineRule="auto"/>
                    <w:ind w:firstLine="0" w:firstLineChars="0"/>
                    <w:jc w:val="center"/>
                    <w:rPr>
                      <w:sz w:val="21"/>
                      <w:szCs w:val="21"/>
                    </w:rPr>
                  </w:pPr>
                  <w:r>
                    <w:rPr>
                      <w:sz w:val="21"/>
                      <w:szCs w:val="21"/>
                    </w:rPr>
                    <w:t>新建</w:t>
                  </w:r>
                </w:p>
              </w:tc>
            </w:tr>
            <w:tr w14:paraId="4588ADA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Merge w:val="continue"/>
                  <w:tcBorders>
                    <w:tl2br w:val="nil"/>
                    <w:tr2bl w:val="nil"/>
                  </w:tcBorders>
                  <w:vAlign w:val="center"/>
                </w:tcPr>
                <w:p w14:paraId="7D1C230C">
                  <w:pPr>
                    <w:widowControl/>
                    <w:spacing w:beforeLines="20" w:afterLines="20" w:line="240" w:lineRule="auto"/>
                    <w:ind w:firstLine="0" w:firstLineChars="0"/>
                    <w:jc w:val="center"/>
                    <w:rPr>
                      <w:sz w:val="21"/>
                      <w:szCs w:val="21"/>
                    </w:rPr>
                  </w:pPr>
                </w:p>
              </w:tc>
              <w:tc>
                <w:tcPr>
                  <w:tcW w:w="865" w:type="dxa"/>
                  <w:vMerge w:val="continue"/>
                  <w:tcBorders>
                    <w:tl2br w:val="nil"/>
                    <w:tr2bl w:val="nil"/>
                  </w:tcBorders>
                  <w:vAlign w:val="center"/>
                </w:tcPr>
                <w:p w14:paraId="79E36EAB">
                  <w:pPr>
                    <w:widowControl/>
                    <w:spacing w:beforeLines="20" w:afterLines="20" w:line="240" w:lineRule="auto"/>
                    <w:ind w:firstLine="0" w:firstLineChars="0"/>
                    <w:jc w:val="center"/>
                    <w:rPr>
                      <w:sz w:val="21"/>
                      <w:szCs w:val="21"/>
                    </w:rPr>
                  </w:pPr>
                </w:p>
              </w:tc>
              <w:tc>
                <w:tcPr>
                  <w:tcW w:w="1132" w:type="dxa"/>
                  <w:tcBorders>
                    <w:tl2br w:val="nil"/>
                    <w:tr2bl w:val="nil"/>
                  </w:tcBorders>
                  <w:vAlign w:val="center"/>
                </w:tcPr>
                <w:p w14:paraId="7B3EB909">
                  <w:pPr>
                    <w:spacing w:beforeLines="20" w:afterLines="20" w:line="240" w:lineRule="auto"/>
                    <w:ind w:firstLine="0" w:firstLineChars="0"/>
                    <w:jc w:val="center"/>
                    <w:rPr>
                      <w:sz w:val="21"/>
                      <w:szCs w:val="21"/>
                    </w:rPr>
                  </w:pPr>
                  <w:r>
                    <w:rPr>
                      <w:sz w:val="21"/>
                      <w:szCs w:val="21"/>
                    </w:rPr>
                    <w:t>固废处理</w:t>
                  </w:r>
                </w:p>
              </w:tc>
              <w:tc>
                <w:tcPr>
                  <w:tcW w:w="4334" w:type="dxa"/>
                  <w:tcBorders>
                    <w:tl2br w:val="nil"/>
                    <w:tr2bl w:val="nil"/>
                  </w:tcBorders>
                  <w:vAlign w:val="center"/>
                </w:tcPr>
                <w:p w14:paraId="1AB2A0B9">
                  <w:pPr>
                    <w:spacing w:beforeLines="20" w:afterLines="20" w:line="240" w:lineRule="auto"/>
                    <w:ind w:firstLine="0" w:firstLineChars="0"/>
                    <w:jc w:val="left"/>
                  </w:pPr>
                  <w:r>
                    <w:rPr>
                      <w:sz w:val="21"/>
                      <w:szCs w:val="21"/>
                    </w:rPr>
                    <w:t>生活垃圾委托环卫部门清运；切割料集中收集后回用于压制工序；灰渣灰分收集后用于农田肥料；废离子交换树脂由出售离子交换树脂厂家替换处理；切割工序除尘设施产生的粉尘集中收集后回用于压制工序；废弃包装袋集中收集后外售</w:t>
                  </w:r>
                </w:p>
              </w:tc>
              <w:tc>
                <w:tcPr>
                  <w:tcW w:w="843" w:type="dxa"/>
                  <w:tcBorders>
                    <w:tl2br w:val="nil"/>
                    <w:tr2bl w:val="nil"/>
                  </w:tcBorders>
                  <w:vAlign w:val="center"/>
                </w:tcPr>
                <w:p w14:paraId="469E9D35">
                  <w:pPr>
                    <w:spacing w:beforeLines="20" w:afterLines="20" w:line="240" w:lineRule="auto"/>
                    <w:ind w:firstLine="0" w:firstLineChars="0"/>
                    <w:jc w:val="center"/>
                    <w:rPr>
                      <w:sz w:val="21"/>
                      <w:szCs w:val="21"/>
                    </w:rPr>
                  </w:pPr>
                  <w:r>
                    <w:rPr>
                      <w:sz w:val="21"/>
                      <w:szCs w:val="21"/>
                    </w:rPr>
                    <w:t>新建</w:t>
                  </w:r>
                </w:p>
              </w:tc>
            </w:tr>
          </w:tbl>
          <w:p w14:paraId="36BF4A95">
            <w:pPr>
              <w:pStyle w:val="5"/>
              <w:numPr>
                <w:ilvl w:val="0"/>
                <w:numId w:val="1"/>
              </w:numPr>
              <w:spacing w:before="120" w:after="120"/>
              <w:ind w:firstLine="562" w:firstLineChars="200"/>
              <w:rPr>
                <w:sz w:val="28"/>
              </w:rPr>
            </w:pPr>
            <w:r>
              <w:rPr>
                <w:sz w:val="28"/>
              </w:rPr>
              <w:t>主要原辅料及能源消耗</w:t>
            </w:r>
          </w:p>
          <w:p w14:paraId="2A2FAA18">
            <w:pPr>
              <w:widowControl/>
              <w:adjustRightInd/>
              <w:snapToGrid/>
              <w:ind w:firstLine="480"/>
              <w:outlineLvl w:val="0"/>
            </w:pPr>
            <w:r>
              <w:t>（1）主要原辅料</w:t>
            </w:r>
          </w:p>
          <w:p w14:paraId="2868EF44">
            <w:pPr>
              <w:widowControl/>
              <w:adjustRightInd/>
              <w:snapToGrid/>
              <w:ind w:firstLine="480"/>
              <w:outlineLvl w:val="0"/>
            </w:pPr>
            <w:r>
              <w:t>项目主要原辅料为聚苯乙烯颗粒、水泥、粉煤灰，</w:t>
            </w:r>
            <w:r>
              <w:rPr>
                <w:color w:val="FF0000"/>
              </w:rPr>
              <w:t>聚苯乙烯颗粒执行《可发性聚苯乙烯（EPS）树脂》（QB/T4009-2010），水泥执行《通用硅酸盐水泥》（GB175-2007）。粉煤灰来源为航锦科技有限公司。</w:t>
            </w:r>
            <w:r>
              <w:rPr>
                <w:rFonts w:hint="eastAsia"/>
                <w:color w:val="FF0000"/>
              </w:rPr>
              <w:t>主要原辅料情况</w:t>
            </w:r>
            <w:r>
              <w:t>具体见下表。</w:t>
            </w:r>
          </w:p>
          <w:p w14:paraId="140280AD">
            <w:pPr>
              <w:adjustRightInd/>
              <w:snapToGrid/>
              <w:spacing w:line="240" w:lineRule="auto"/>
              <w:ind w:firstLine="0" w:firstLineChars="0"/>
              <w:jc w:val="center"/>
              <w:rPr>
                <w:b/>
              </w:rPr>
            </w:pPr>
            <w:r>
              <w:rPr>
                <w:b/>
              </w:rPr>
              <w:t xml:space="preserve">表5  主要原辅料 </w:t>
            </w:r>
          </w:p>
          <w:tbl>
            <w:tblPr>
              <w:tblStyle w:val="24"/>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06"/>
              <w:gridCol w:w="1406"/>
              <w:gridCol w:w="1408"/>
              <w:gridCol w:w="1242"/>
              <w:gridCol w:w="1242"/>
              <w:gridCol w:w="1243"/>
            </w:tblGrid>
            <w:tr w14:paraId="437ECC0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4" w:type="pct"/>
                  <w:vAlign w:val="center"/>
                </w:tcPr>
                <w:p w14:paraId="4F62C858">
                  <w:pPr>
                    <w:spacing w:beforeLines="20" w:afterLines="20" w:line="240" w:lineRule="auto"/>
                    <w:ind w:firstLine="0" w:firstLineChars="0"/>
                    <w:jc w:val="center"/>
                    <w:rPr>
                      <w:rFonts w:eastAsiaTheme="minorEastAsia"/>
                      <w:sz w:val="21"/>
                      <w:szCs w:val="21"/>
                    </w:rPr>
                  </w:pPr>
                  <w:r>
                    <w:rPr>
                      <w:rFonts w:eastAsiaTheme="minorEastAsia"/>
                      <w:sz w:val="21"/>
                      <w:szCs w:val="21"/>
                    </w:rPr>
                    <w:t>原辅料</w:t>
                  </w:r>
                </w:p>
              </w:tc>
              <w:tc>
                <w:tcPr>
                  <w:tcW w:w="884" w:type="pct"/>
                  <w:vAlign w:val="center"/>
                </w:tcPr>
                <w:p w14:paraId="7BB06C04">
                  <w:pPr>
                    <w:spacing w:beforeLines="20" w:afterLines="20" w:line="240" w:lineRule="auto"/>
                    <w:ind w:firstLine="0" w:firstLineChars="0"/>
                    <w:jc w:val="center"/>
                    <w:rPr>
                      <w:rFonts w:eastAsiaTheme="minorEastAsia"/>
                      <w:sz w:val="21"/>
                      <w:szCs w:val="21"/>
                    </w:rPr>
                  </w:pPr>
                  <w:r>
                    <w:rPr>
                      <w:rFonts w:eastAsiaTheme="minorEastAsia"/>
                      <w:sz w:val="21"/>
                      <w:szCs w:val="21"/>
                    </w:rPr>
                    <w:t>单位</w:t>
                  </w:r>
                </w:p>
              </w:tc>
              <w:tc>
                <w:tcPr>
                  <w:tcW w:w="885" w:type="pct"/>
                  <w:vAlign w:val="center"/>
                </w:tcPr>
                <w:p w14:paraId="422D197D">
                  <w:pPr>
                    <w:spacing w:beforeLines="20" w:afterLines="20" w:line="240" w:lineRule="auto"/>
                    <w:ind w:firstLine="0" w:firstLineChars="0"/>
                    <w:jc w:val="center"/>
                    <w:rPr>
                      <w:rFonts w:eastAsiaTheme="minorEastAsia"/>
                      <w:sz w:val="21"/>
                      <w:szCs w:val="21"/>
                    </w:rPr>
                  </w:pPr>
                  <w:r>
                    <w:rPr>
                      <w:rFonts w:eastAsiaTheme="minorEastAsia"/>
                      <w:sz w:val="21"/>
                      <w:szCs w:val="21"/>
                    </w:rPr>
                    <w:t>年用量</w:t>
                  </w:r>
                </w:p>
              </w:tc>
              <w:tc>
                <w:tcPr>
                  <w:tcW w:w="781" w:type="pct"/>
                  <w:vAlign w:val="center"/>
                </w:tcPr>
                <w:p w14:paraId="1F2C5D25">
                  <w:pPr>
                    <w:spacing w:beforeLines="20" w:afterLines="20" w:line="240" w:lineRule="auto"/>
                    <w:ind w:firstLine="0" w:firstLineChars="0"/>
                    <w:jc w:val="center"/>
                    <w:rPr>
                      <w:rFonts w:eastAsiaTheme="minorEastAsia"/>
                      <w:sz w:val="21"/>
                      <w:szCs w:val="21"/>
                    </w:rPr>
                  </w:pPr>
                  <w:r>
                    <w:rPr>
                      <w:rFonts w:eastAsiaTheme="minorEastAsia"/>
                      <w:sz w:val="21"/>
                      <w:szCs w:val="21"/>
                    </w:rPr>
                    <w:t>规格</w:t>
                  </w:r>
                </w:p>
              </w:tc>
              <w:tc>
                <w:tcPr>
                  <w:tcW w:w="781" w:type="pct"/>
                  <w:vAlign w:val="center"/>
                </w:tcPr>
                <w:p w14:paraId="710A61F7">
                  <w:pPr>
                    <w:spacing w:beforeLines="20" w:afterLines="20" w:line="240" w:lineRule="auto"/>
                    <w:ind w:firstLine="0" w:firstLineChars="0"/>
                    <w:jc w:val="center"/>
                    <w:rPr>
                      <w:rFonts w:eastAsiaTheme="minorEastAsia"/>
                      <w:sz w:val="21"/>
                      <w:szCs w:val="21"/>
                    </w:rPr>
                  </w:pPr>
                  <w:r>
                    <w:rPr>
                      <w:rFonts w:eastAsiaTheme="minorEastAsia"/>
                      <w:sz w:val="21"/>
                      <w:szCs w:val="21"/>
                    </w:rPr>
                    <w:t>贮存</w:t>
                  </w:r>
                </w:p>
              </w:tc>
              <w:tc>
                <w:tcPr>
                  <w:tcW w:w="781" w:type="pct"/>
                  <w:vAlign w:val="center"/>
                </w:tcPr>
                <w:p w14:paraId="7C329EAC">
                  <w:pPr>
                    <w:spacing w:beforeLines="20" w:afterLines="20" w:line="240" w:lineRule="auto"/>
                    <w:ind w:firstLine="0" w:firstLineChars="0"/>
                    <w:jc w:val="center"/>
                    <w:rPr>
                      <w:rFonts w:eastAsiaTheme="minorEastAsia"/>
                      <w:sz w:val="21"/>
                      <w:szCs w:val="21"/>
                    </w:rPr>
                  </w:pPr>
                  <w:r>
                    <w:rPr>
                      <w:rFonts w:eastAsiaTheme="minorEastAsia"/>
                      <w:sz w:val="21"/>
                      <w:szCs w:val="21"/>
                    </w:rPr>
                    <w:t>来源</w:t>
                  </w:r>
                </w:p>
              </w:tc>
            </w:tr>
            <w:tr w14:paraId="2297DDF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84" w:type="pct"/>
                  <w:vAlign w:val="center"/>
                </w:tcPr>
                <w:p w14:paraId="4663E55A">
                  <w:pPr>
                    <w:spacing w:beforeLines="20" w:afterLines="20" w:line="240" w:lineRule="auto"/>
                    <w:ind w:firstLine="0" w:firstLineChars="0"/>
                    <w:jc w:val="center"/>
                    <w:rPr>
                      <w:rFonts w:eastAsiaTheme="minorEastAsia"/>
                      <w:sz w:val="21"/>
                      <w:szCs w:val="21"/>
                    </w:rPr>
                  </w:pPr>
                  <w:r>
                    <w:rPr>
                      <w:rFonts w:eastAsiaTheme="minorEastAsia"/>
                      <w:sz w:val="21"/>
                      <w:szCs w:val="21"/>
                    </w:rPr>
                    <w:t>聚苯乙烯颗粒</w:t>
                  </w:r>
                </w:p>
              </w:tc>
              <w:tc>
                <w:tcPr>
                  <w:tcW w:w="884" w:type="pct"/>
                  <w:vAlign w:val="center"/>
                </w:tcPr>
                <w:p w14:paraId="6475C439">
                  <w:pPr>
                    <w:spacing w:beforeLines="20" w:afterLines="20" w:line="240" w:lineRule="auto"/>
                    <w:ind w:firstLine="0" w:firstLineChars="0"/>
                    <w:jc w:val="center"/>
                    <w:rPr>
                      <w:rFonts w:eastAsiaTheme="minorEastAsia"/>
                      <w:sz w:val="21"/>
                      <w:szCs w:val="21"/>
                    </w:rPr>
                  </w:pPr>
                  <w:r>
                    <w:rPr>
                      <w:rFonts w:eastAsiaTheme="minorEastAsia"/>
                      <w:sz w:val="21"/>
                      <w:szCs w:val="21"/>
                    </w:rPr>
                    <w:t>吨</w:t>
                  </w:r>
                </w:p>
              </w:tc>
              <w:tc>
                <w:tcPr>
                  <w:tcW w:w="885" w:type="pct"/>
                  <w:vAlign w:val="center"/>
                </w:tcPr>
                <w:p w14:paraId="0FC251ED">
                  <w:pPr>
                    <w:spacing w:beforeLines="20" w:afterLines="20" w:line="240" w:lineRule="auto"/>
                    <w:ind w:firstLine="0" w:firstLineChars="0"/>
                    <w:jc w:val="center"/>
                    <w:rPr>
                      <w:rFonts w:eastAsiaTheme="minorEastAsia"/>
                      <w:sz w:val="21"/>
                      <w:szCs w:val="21"/>
                    </w:rPr>
                  </w:pPr>
                  <w:r>
                    <w:rPr>
                      <w:rFonts w:eastAsiaTheme="minorEastAsia"/>
                      <w:sz w:val="21"/>
                      <w:szCs w:val="21"/>
                    </w:rPr>
                    <w:t>1500</w:t>
                  </w:r>
                </w:p>
              </w:tc>
              <w:tc>
                <w:tcPr>
                  <w:tcW w:w="781" w:type="pct"/>
                  <w:vAlign w:val="center"/>
                </w:tcPr>
                <w:p w14:paraId="02C56432">
                  <w:pPr>
                    <w:spacing w:beforeLines="20" w:afterLines="20" w:line="240" w:lineRule="auto"/>
                    <w:ind w:firstLine="0" w:firstLineChars="0"/>
                    <w:jc w:val="center"/>
                    <w:rPr>
                      <w:rFonts w:eastAsiaTheme="minorEastAsia"/>
                      <w:sz w:val="21"/>
                      <w:szCs w:val="21"/>
                    </w:rPr>
                  </w:pPr>
                  <w:r>
                    <w:rPr>
                      <w:rFonts w:eastAsiaTheme="minorEastAsia"/>
                      <w:sz w:val="21"/>
                      <w:szCs w:val="21"/>
                    </w:rPr>
                    <w:t>25kg/袋</w:t>
                  </w:r>
                </w:p>
              </w:tc>
              <w:tc>
                <w:tcPr>
                  <w:tcW w:w="781" w:type="pct"/>
                  <w:vAlign w:val="center"/>
                </w:tcPr>
                <w:p w14:paraId="026672F1">
                  <w:pPr>
                    <w:spacing w:beforeLines="20" w:afterLines="20" w:line="240" w:lineRule="auto"/>
                    <w:ind w:firstLine="0" w:firstLineChars="0"/>
                    <w:jc w:val="center"/>
                    <w:rPr>
                      <w:rFonts w:eastAsiaTheme="minorEastAsia"/>
                      <w:sz w:val="21"/>
                      <w:szCs w:val="21"/>
                    </w:rPr>
                  </w:pPr>
                  <w:r>
                    <w:rPr>
                      <w:rFonts w:eastAsiaTheme="minorEastAsia"/>
                      <w:sz w:val="21"/>
                      <w:szCs w:val="21"/>
                    </w:rPr>
                    <w:t>生产车间</w:t>
                  </w:r>
                </w:p>
              </w:tc>
              <w:tc>
                <w:tcPr>
                  <w:tcW w:w="781" w:type="pct"/>
                  <w:vAlign w:val="center"/>
                </w:tcPr>
                <w:p w14:paraId="29357416">
                  <w:pPr>
                    <w:spacing w:beforeLines="20" w:afterLines="20" w:line="240" w:lineRule="auto"/>
                    <w:ind w:firstLine="0" w:firstLineChars="0"/>
                    <w:jc w:val="center"/>
                    <w:rPr>
                      <w:rFonts w:eastAsiaTheme="minorEastAsia"/>
                      <w:sz w:val="21"/>
                      <w:szCs w:val="21"/>
                    </w:rPr>
                  </w:pPr>
                  <w:r>
                    <w:rPr>
                      <w:rFonts w:eastAsiaTheme="minorEastAsia"/>
                      <w:sz w:val="21"/>
                      <w:szCs w:val="21"/>
                    </w:rPr>
                    <w:t>外购</w:t>
                  </w:r>
                </w:p>
              </w:tc>
            </w:tr>
            <w:tr w14:paraId="72E3F78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84" w:type="pct"/>
                  <w:vAlign w:val="center"/>
                </w:tcPr>
                <w:p w14:paraId="05CA5CB4">
                  <w:pPr>
                    <w:spacing w:beforeLines="20" w:afterLines="20" w:line="240" w:lineRule="auto"/>
                    <w:ind w:firstLine="0" w:firstLineChars="0"/>
                    <w:jc w:val="center"/>
                    <w:rPr>
                      <w:rFonts w:eastAsiaTheme="minorEastAsia"/>
                      <w:sz w:val="21"/>
                      <w:szCs w:val="21"/>
                    </w:rPr>
                  </w:pPr>
                  <w:r>
                    <w:rPr>
                      <w:rFonts w:eastAsiaTheme="minorEastAsia"/>
                      <w:sz w:val="21"/>
                      <w:szCs w:val="21"/>
                    </w:rPr>
                    <w:t>水泥</w:t>
                  </w:r>
                </w:p>
              </w:tc>
              <w:tc>
                <w:tcPr>
                  <w:tcW w:w="884" w:type="pct"/>
                  <w:vAlign w:val="center"/>
                </w:tcPr>
                <w:p w14:paraId="5F6575FB">
                  <w:pPr>
                    <w:spacing w:beforeLines="20" w:afterLines="20" w:line="240" w:lineRule="auto"/>
                    <w:ind w:firstLine="0" w:firstLineChars="0"/>
                    <w:jc w:val="center"/>
                    <w:rPr>
                      <w:rFonts w:eastAsiaTheme="minorEastAsia"/>
                      <w:sz w:val="21"/>
                      <w:szCs w:val="21"/>
                    </w:rPr>
                  </w:pPr>
                  <w:r>
                    <w:rPr>
                      <w:rFonts w:eastAsiaTheme="minorEastAsia"/>
                      <w:sz w:val="21"/>
                      <w:szCs w:val="21"/>
                    </w:rPr>
                    <w:t>吨</w:t>
                  </w:r>
                </w:p>
              </w:tc>
              <w:tc>
                <w:tcPr>
                  <w:tcW w:w="885" w:type="pct"/>
                  <w:vAlign w:val="center"/>
                </w:tcPr>
                <w:p w14:paraId="1DD4284E">
                  <w:pPr>
                    <w:spacing w:beforeLines="20" w:afterLines="20" w:line="240" w:lineRule="auto"/>
                    <w:ind w:firstLine="0" w:firstLineChars="0"/>
                    <w:jc w:val="center"/>
                    <w:rPr>
                      <w:rFonts w:eastAsiaTheme="minorEastAsia"/>
                      <w:sz w:val="21"/>
                      <w:szCs w:val="21"/>
                    </w:rPr>
                  </w:pPr>
                  <w:r>
                    <w:rPr>
                      <w:rFonts w:eastAsiaTheme="minorEastAsia"/>
                      <w:sz w:val="21"/>
                      <w:szCs w:val="21"/>
                    </w:rPr>
                    <w:t>15000</w:t>
                  </w:r>
                </w:p>
              </w:tc>
              <w:tc>
                <w:tcPr>
                  <w:tcW w:w="781" w:type="pct"/>
                  <w:vAlign w:val="center"/>
                </w:tcPr>
                <w:p w14:paraId="13E6126D">
                  <w:pPr>
                    <w:spacing w:beforeLines="20" w:afterLines="20" w:line="240" w:lineRule="auto"/>
                    <w:ind w:firstLine="0" w:firstLineChars="0"/>
                    <w:jc w:val="center"/>
                    <w:rPr>
                      <w:rFonts w:eastAsiaTheme="minorEastAsia"/>
                      <w:sz w:val="21"/>
                      <w:szCs w:val="21"/>
                    </w:rPr>
                  </w:pPr>
                  <w:r>
                    <w:rPr>
                      <w:rFonts w:eastAsiaTheme="minorEastAsia"/>
                      <w:sz w:val="21"/>
                      <w:szCs w:val="21"/>
                    </w:rPr>
                    <w:t>35t/车</w:t>
                  </w:r>
                </w:p>
              </w:tc>
              <w:tc>
                <w:tcPr>
                  <w:tcW w:w="781" w:type="pct"/>
                  <w:vAlign w:val="center"/>
                </w:tcPr>
                <w:p w14:paraId="4459FD00">
                  <w:pPr>
                    <w:spacing w:beforeLines="20" w:afterLines="20" w:line="240" w:lineRule="auto"/>
                    <w:ind w:firstLine="0" w:firstLineChars="0"/>
                    <w:jc w:val="center"/>
                    <w:rPr>
                      <w:rFonts w:eastAsiaTheme="minorEastAsia"/>
                      <w:sz w:val="21"/>
                      <w:szCs w:val="21"/>
                    </w:rPr>
                  </w:pPr>
                  <w:r>
                    <w:rPr>
                      <w:rFonts w:eastAsiaTheme="minorEastAsia"/>
                      <w:sz w:val="21"/>
                      <w:szCs w:val="21"/>
                    </w:rPr>
                    <w:t>密闭水泥料仓</w:t>
                  </w:r>
                </w:p>
              </w:tc>
              <w:tc>
                <w:tcPr>
                  <w:tcW w:w="781" w:type="pct"/>
                  <w:vAlign w:val="center"/>
                </w:tcPr>
                <w:p w14:paraId="5B057794">
                  <w:pPr>
                    <w:spacing w:beforeLines="20" w:afterLines="20" w:line="240" w:lineRule="auto"/>
                    <w:ind w:firstLine="0" w:firstLineChars="0"/>
                    <w:jc w:val="center"/>
                    <w:rPr>
                      <w:rFonts w:eastAsiaTheme="minorEastAsia"/>
                      <w:sz w:val="21"/>
                      <w:szCs w:val="21"/>
                    </w:rPr>
                  </w:pPr>
                  <w:r>
                    <w:rPr>
                      <w:rFonts w:eastAsiaTheme="minorEastAsia"/>
                      <w:sz w:val="21"/>
                      <w:szCs w:val="21"/>
                    </w:rPr>
                    <w:t>外购</w:t>
                  </w:r>
                </w:p>
              </w:tc>
            </w:tr>
            <w:tr w14:paraId="0877FE8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84" w:type="pct"/>
                  <w:vAlign w:val="center"/>
                </w:tcPr>
                <w:p w14:paraId="42892174">
                  <w:pPr>
                    <w:spacing w:beforeLines="20" w:afterLines="20" w:line="240" w:lineRule="auto"/>
                    <w:ind w:firstLine="0" w:firstLineChars="0"/>
                    <w:jc w:val="center"/>
                    <w:rPr>
                      <w:rFonts w:eastAsiaTheme="minorEastAsia"/>
                      <w:sz w:val="21"/>
                      <w:szCs w:val="21"/>
                    </w:rPr>
                  </w:pPr>
                  <w:r>
                    <w:rPr>
                      <w:rFonts w:eastAsiaTheme="minorEastAsia"/>
                      <w:sz w:val="21"/>
                      <w:szCs w:val="21"/>
                    </w:rPr>
                    <w:t>粉煤灰</w:t>
                  </w:r>
                </w:p>
              </w:tc>
              <w:tc>
                <w:tcPr>
                  <w:tcW w:w="884" w:type="pct"/>
                  <w:vAlign w:val="center"/>
                </w:tcPr>
                <w:p w14:paraId="39015BAC">
                  <w:pPr>
                    <w:spacing w:beforeLines="20" w:afterLines="20" w:line="240" w:lineRule="auto"/>
                    <w:ind w:firstLine="0" w:firstLineChars="0"/>
                    <w:jc w:val="center"/>
                    <w:rPr>
                      <w:rFonts w:eastAsiaTheme="minorEastAsia"/>
                      <w:sz w:val="21"/>
                      <w:szCs w:val="21"/>
                    </w:rPr>
                  </w:pPr>
                  <w:r>
                    <w:rPr>
                      <w:rFonts w:eastAsiaTheme="minorEastAsia"/>
                      <w:sz w:val="21"/>
                      <w:szCs w:val="21"/>
                    </w:rPr>
                    <w:t>吨</w:t>
                  </w:r>
                </w:p>
              </w:tc>
              <w:tc>
                <w:tcPr>
                  <w:tcW w:w="885" w:type="pct"/>
                  <w:vAlign w:val="center"/>
                </w:tcPr>
                <w:p w14:paraId="13066635">
                  <w:pPr>
                    <w:spacing w:beforeLines="20" w:afterLines="20" w:line="240" w:lineRule="auto"/>
                    <w:ind w:firstLine="0" w:firstLineChars="0"/>
                    <w:jc w:val="center"/>
                    <w:rPr>
                      <w:rFonts w:eastAsiaTheme="minorEastAsia"/>
                      <w:sz w:val="21"/>
                      <w:szCs w:val="21"/>
                    </w:rPr>
                  </w:pPr>
                  <w:r>
                    <w:rPr>
                      <w:rFonts w:eastAsiaTheme="minorEastAsia"/>
                      <w:sz w:val="21"/>
                      <w:szCs w:val="21"/>
                    </w:rPr>
                    <w:t>3000</w:t>
                  </w:r>
                </w:p>
              </w:tc>
              <w:tc>
                <w:tcPr>
                  <w:tcW w:w="781" w:type="pct"/>
                  <w:vAlign w:val="center"/>
                </w:tcPr>
                <w:p w14:paraId="0390BDC7">
                  <w:pPr>
                    <w:spacing w:beforeLines="20" w:afterLines="20" w:line="240" w:lineRule="auto"/>
                    <w:ind w:firstLine="0" w:firstLineChars="0"/>
                    <w:jc w:val="center"/>
                    <w:rPr>
                      <w:rFonts w:eastAsiaTheme="minorEastAsia"/>
                      <w:sz w:val="21"/>
                      <w:szCs w:val="21"/>
                    </w:rPr>
                  </w:pPr>
                  <w:r>
                    <w:rPr>
                      <w:rFonts w:eastAsiaTheme="minorEastAsia"/>
                      <w:sz w:val="21"/>
                      <w:szCs w:val="21"/>
                    </w:rPr>
                    <w:t>800kg/袋</w:t>
                  </w:r>
                </w:p>
              </w:tc>
              <w:tc>
                <w:tcPr>
                  <w:tcW w:w="781" w:type="pct"/>
                  <w:vAlign w:val="center"/>
                </w:tcPr>
                <w:p w14:paraId="41743BF6">
                  <w:pPr>
                    <w:spacing w:beforeLines="20" w:afterLines="20" w:line="240" w:lineRule="auto"/>
                    <w:ind w:firstLine="0" w:firstLineChars="0"/>
                    <w:jc w:val="center"/>
                    <w:rPr>
                      <w:rFonts w:eastAsiaTheme="minorEastAsia"/>
                      <w:sz w:val="21"/>
                      <w:szCs w:val="21"/>
                    </w:rPr>
                  </w:pPr>
                  <w:r>
                    <w:rPr>
                      <w:rFonts w:eastAsiaTheme="minorEastAsia"/>
                      <w:sz w:val="21"/>
                      <w:szCs w:val="21"/>
                    </w:rPr>
                    <w:t>生产车间</w:t>
                  </w:r>
                </w:p>
              </w:tc>
              <w:tc>
                <w:tcPr>
                  <w:tcW w:w="781" w:type="pct"/>
                  <w:vAlign w:val="center"/>
                </w:tcPr>
                <w:p w14:paraId="2EF365E5">
                  <w:pPr>
                    <w:spacing w:beforeLines="20" w:afterLines="20" w:line="240" w:lineRule="auto"/>
                    <w:ind w:firstLine="0" w:firstLineChars="0"/>
                    <w:jc w:val="center"/>
                    <w:rPr>
                      <w:rFonts w:eastAsiaTheme="minorEastAsia"/>
                      <w:sz w:val="21"/>
                      <w:szCs w:val="21"/>
                    </w:rPr>
                  </w:pPr>
                  <w:r>
                    <w:rPr>
                      <w:rFonts w:eastAsiaTheme="minorEastAsia"/>
                      <w:sz w:val="21"/>
                      <w:szCs w:val="21"/>
                    </w:rPr>
                    <w:t>外购</w:t>
                  </w:r>
                </w:p>
              </w:tc>
            </w:tr>
          </w:tbl>
          <w:p w14:paraId="7B44D621">
            <w:pPr>
              <w:widowControl/>
              <w:adjustRightInd/>
              <w:snapToGrid/>
              <w:ind w:firstLine="480"/>
              <w:outlineLvl w:val="0"/>
            </w:pPr>
            <w:r>
              <w:t>主要原辅料理化性质：</w:t>
            </w:r>
          </w:p>
          <w:p w14:paraId="063D4946">
            <w:pPr>
              <w:widowControl/>
              <w:adjustRightInd/>
              <w:snapToGrid/>
              <w:ind w:firstLine="480"/>
              <w:outlineLvl w:val="0"/>
            </w:pPr>
            <w:r>
              <w:t>聚苯乙烯颗粒：可发性聚苯乙烯是一种加入了发泡剂的聚苯乙烯制品。缩写代号“EPS”。外观为无色透明珠状颗粒。常用发泡剂为低沸点烃（如石油醚、丁烷、戊烷等），一般为4-8%的戊烷，此生产工艺中EPS颗粒使用的发泡剂为戊烷，制备时以苯乙烯单体在高压釜中一次反应完成，称一步法，一步法产品发泡后泡孔均匀细小，制品弹性好，聚合物分子量低。EPS颗粒可分为阻燃和不阻燃，也可以根据半径分为大、中、小。其中预发泡使用80-100℃蒸汽加热原料，使珠粒增大100-130倍。EPS颗粒的特性：低导热系数、密度小、较高的力学性能、低吸水率、容易操作安装、耐老化、隔音、有浮力，分解温度大于300度。闭孔结构可以使其通过改变和恢复形变来缓冲冲击。导热系数在0.033-0.043W/（m·k）。长时间暴露在紫外线下会影响性能。没有任何营养价值，不会被霉菌侵蚀，也不会分解出任何污染地下水的水溶物。</w:t>
            </w:r>
          </w:p>
          <w:p w14:paraId="7FFAFD0D">
            <w:pPr>
              <w:widowControl/>
              <w:adjustRightInd/>
              <w:snapToGrid/>
              <w:ind w:firstLine="480"/>
              <w:outlineLvl w:val="0"/>
            </w:pPr>
            <w:r>
              <w:t>水泥：又称洋灰、红毛灰、红毛土等，是一种粉状水硬性</w:t>
            </w:r>
            <w:r>
              <w:fldChar w:fldCharType="begin"/>
            </w:r>
            <w:r>
              <w:instrText xml:space="preserve"> HYPERLINK "https://baike.sogou.com/lemma/ShowInnerLink.htm?lemmaId=342979&amp;ss_c=ssc.citiao.link" \t "https://baike.sogou.com/_blank" </w:instrText>
            </w:r>
            <w:r>
              <w:fldChar w:fldCharType="separate"/>
            </w:r>
            <w:r>
              <w:t>无机胶凝材料</w:t>
            </w:r>
            <w:r>
              <w:fldChar w:fldCharType="end"/>
            </w:r>
            <w:r>
              <w:t>，与水混合后会凝固硬化，通常不单独使用，而是用来与沙、砾（骨料）接合，形成砂浆或混凝土。水泥的主要化学成分有</w:t>
            </w:r>
            <w:r>
              <w:fldChar w:fldCharType="begin"/>
            </w:r>
            <w:r>
              <w:instrText xml:space="preserve"> HYPERLINK "https://baike.baidu.com/item/%E6%B0%A7%E5%8C%96%E9%92%99" \t "https://baike.baidu.com/item/%E6%B0%B4%E6%B3%A5/_blank" </w:instrText>
            </w:r>
            <w:r>
              <w:fldChar w:fldCharType="separate"/>
            </w:r>
            <w:r>
              <w:t>氧化钙</w:t>
            </w:r>
            <w:r>
              <w:fldChar w:fldCharType="end"/>
            </w:r>
            <w:r>
              <w:t>，</w:t>
            </w:r>
            <w:r>
              <w:fldChar w:fldCharType="begin"/>
            </w:r>
            <w:r>
              <w:instrText xml:space="preserve"> HYPERLINK "https://baike.baidu.com/item/%E4%BA%8C%E6%B0%A7%E5%8C%96%E7%A1%85" \t "https://baike.baidu.com/item/%E6%B0%B4%E6%B3%A5/_blank" </w:instrText>
            </w:r>
            <w:r>
              <w:fldChar w:fldCharType="separate"/>
            </w:r>
            <w:r>
              <w:t>二氧化硅</w:t>
            </w:r>
            <w:r>
              <w:fldChar w:fldCharType="end"/>
            </w:r>
            <w:r>
              <w:t>，</w:t>
            </w:r>
            <w:r>
              <w:fldChar w:fldCharType="begin"/>
            </w:r>
            <w:r>
              <w:instrText xml:space="preserve"> HYPERLINK "https://baike.baidu.com/item/%E4%B8%89%E6%B0%A7%E5%8C%96%E4%BA%8C%E9%93%81" \t "https://baike.baidu.com/item/%E6%B0%B4%E6%B3%A5/_blank" </w:instrText>
            </w:r>
            <w:r>
              <w:fldChar w:fldCharType="separate"/>
            </w:r>
            <w:r>
              <w:t>三氧化二铁</w:t>
            </w:r>
            <w:r>
              <w:fldChar w:fldCharType="end"/>
            </w:r>
            <w:r>
              <w:t>，</w:t>
            </w:r>
            <w:r>
              <w:fldChar w:fldCharType="begin"/>
            </w:r>
            <w:r>
              <w:instrText xml:space="preserve"> HYPERLINK "https://baike.baidu.com/item/%E4%B8%89%E6%B0%A7%E5%8C%96%E4%BA%8C%E9%93%9D" \t "https://baike.baidu.com/item/%E6%B0%B4%E6%B3%A5/_blank" </w:instrText>
            </w:r>
            <w:r>
              <w:fldChar w:fldCharType="separate"/>
            </w:r>
            <w:r>
              <w:t>三氧化二铝</w:t>
            </w:r>
            <w:r>
              <w:fldChar w:fldCharType="end"/>
            </w:r>
            <w:r>
              <w:t>。硬化后强度高、硬度大，能抵抗淡水或含盐水的侵蚀，作为一种重要的胶凝材料，广泛应用于土木建筑、水利、国防等工程。</w:t>
            </w:r>
          </w:p>
          <w:p w14:paraId="3E15FAED">
            <w:pPr>
              <w:pStyle w:val="28"/>
              <w:ind w:firstLine="480"/>
            </w:pPr>
            <w:r>
              <w:t>粉煤灰：外观类似水泥，颜色在乳白色到灰黑色之间变化，颜色越深粉煤灰粒度越细，含碳量越高。粉煤灰有低钙粉煤灰和</w:t>
            </w:r>
            <w:r>
              <w:fldChar w:fldCharType="begin"/>
            </w:r>
            <w:r>
              <w:instrText xml:space="preserve"> HYPERLINK "https://baike.sogou.com/lemma/ShowInnerLink.htm?lemmaId=73221886&amp;ss_c=ssc.citiao.link" \t "https://baike.sogou.com/_blank" </w:instrText>
            </w:r>
            <w:r>
              <w:fldChar w:fldCharType="separate"/>
            </w:r>
            <w:r>
              <w:t>高钙粉煤灰</w:t>
            </w:r>
            <w:r>
              <w:fldChar w:fldCharType="end"/>
            </w:r>
            <w:r>
              <w:t>之分，通常高钙粉煤灰的颜色偏黄，低钙粉煤灰的颜色偏灰。粉煤灰颗粒呈多孔型蜂窝状组织，比表面积较大，具有较高的吸附活性，颗粒的粒径范围为0.5~300μm。并且珠壁具有多孔结构，</w:t>
            </w:r>
            <w:r>
              <w:fldChar w:fldCharType="begin"/>
            </w:r>
            <w:r>
              <w:instrText xml:space="preserve"> HYPERLINK "https://baike.sogou.com/lemma/ShowInnerLink.htm?lemmaId=489162&amp;ss_c=ssc.citiao.link" \t "https://baike.sogou.com/_blank" </w:instrText>
            </w:r>
            <w:r>
              <w:fldChar w:fldCharType="separate"/>
            </w:r>
            <w:r>
              <w:t>孔隙率</w:t>
            </w:r>
            <w:r>
              <w:fldChar w:fldCharType="end"/>
            </w:r>
            <w:r>
              <w:t>高达50%-80%，有很强的吸水性。粉煤灰的主要来源是以煤粉为燃料的火电厂和城市集中供热锅炉，其中90%以上为湿排灰。粉煤灰的比重在1.95-2.36之间，松干密度在450 kg/m</w:t>
            </w:r>
            <w:r>
              <w:rPr>
                <w:vertAlign w:val="superscript"/>
              </w:rPr>
              <w:t>3</w:t>
            </w:r>
            <w:r>
              <w:t>-700kg/m</w:t>
            </w:r>
            <w:r>
              <w:rPr>
                <w:vertAlign w:val="superscript"/>
              </w:rPr>
              <w:t>3</w:t>
            </w:r>
            <w:r>
              <w:t>范围内，比表面积在220 kg/m</w:t>
            </w:r>
            <w:r>
              <w:rPr>
                <w:vertAlign w:val="superscript"/>
              </w:rPr>
              <w:t>3</w:t>
            </w:r>
            <w:r>
              <w:t>-588 kg/m</w:t>
            </w:r>
            <w:r>
              <w:rPr>
                <w:vertAlign w:val="superscript"/>
              </w:rPr>
              <w:t>3</w:t>
            </w:r>
            <w:r>
              <w:t>之间。由于粉煤灰的多孔结构、球形粒径的特性，在松散状态下具有良好的渗透性，其渗透系数比粘性土的渗透系数大数百倍。粉煤灰的化学组成与粘土质相似，主要用来生产粉煤灰水泥、粉煤灰砖、粉煤灰硅酸盐砌块、粉煤灰加气混凝土及其他建筑材料，还可用作农业肥料和土壤改良剂，回收工业原料和作环境材料。</w:t>
            </w:r>
          </w:p>
          <w:p w14:paraId="6DC5FCDA">
            <w:pPr>
              <w:pStyle w:val="28"/>
              <w:ind w:firstLine="480"/>
            </w:pPr>
            <w:r>
              <w:t>（2）能源消耗</w:t>
            </w:r>
          </w:p>
          <w:p w14:paraId="436132EF">
            <w:pPr>
              <w:ind w:firstLine="480"/>
            </w:pPr>
            <w:r>
              <w:t>本项目主要能源情况见下表。</w:t>
            </w:r>
          </w:p>
          <w:p w14:paraId="400FDB63">
            <w:pPr>
              <w:pStyle w:val="33"/>
              <w:spacing w:beforeLines="0"/>
              <w:rPr>
                <w:rFonts w:hint="default"/>
              </w:rPr>
            </w:pPr>
            <w:r>
              <w:rPr>
                <w:rFonts w:hint="default"/>
              </w:rPr>
              <w:t>表6  能源消耗情况表</w:t>
            </w:r>
          </w:p>
          <w:tbl>
            <w:tblPr>
              <w:tblStyle w:val="24"/>
              <w:tblpPr w:leftFromText="180" w:rightFromText="180" w:vertAnchor="text" w:horzAnchor="margin" w:tblpXSpec="center" w:tblpY="30"/>
              <w:tblOverlap w:val="never"/>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1955"/>
              <w:gridCol w:w="2083"/>
              <w:gridCol w:w="2083"/>
            </w:tblGrid>
            <w:tr w14:paraId="322894B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49" w:type="pct"/>
                  <w:vAlign w:val="center"/>
                </w:tcPr>
                <w:p w14:paraId="1C54E3E8">
                  <w:pPr>
                    <w:pStyle w:val="32"/>
                    <w:spacing w:before="48" w:after="48"/>
                  </w:pPr>
                  <w:r>
                    <w:t>名  称</w:t>
                  </w:r>
                </w:p>
              </w:tc>
              <w:tc>
                <w:tcPr>
                  <w:tcW w:w="1230" w:type="pct"/>
                  <w:vAlign w:val="center"/>
                </w:tcPr>
                <w:p w14:paraId="17D27285">
                  <w:pPr>
                    <w:pStyle w:val="32"/>
                    <w:spacing w:before="48" w:after="48"/>
                  </w:pPr>
                  <w:r>
                    <w:t>单位</w:t>
                  </w:r>
                </w:p>
              </w:tc>
              <w:tc>
                <w:tcPr>
                  <w:tcW w:w="1310" w:type="pct"/>
                  <w:vAlign w:val="center"/>
                </w:tcPr>
                <w:p w14:paraId="50A7C363">
                  <w:pPr>
                    <w:pStyle w:val="32"/>
                    <w:spacing w:before="48" w:after="48"/>
                  </w:pPr>
                  <w:r>
                    <w:t>消耗量</w:t>
                  </w:r>
                </w:p>
              </w:tc>
              <w:tc>
                <w:tcPr>
                  <w:tcW w:w="1310" w:type="pct"/>
                  <w:vAlign w:val="center"/>
                </w:tcPr>
                <w:p w14:paraId="7CDB245C">
                  <w:pPr>
                    <w:pStyle w:val="32"/>
                    <w:spacing w:before="48" w:after="48"/>
                  </w:pPr>
                  <w:r>
                    <w:t>来源</w:t>
                  </w:r>
                </w:p>
              </w:tc>
            </w:tr>
            <w:tr w14:paraId="13A39FA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49" w:type="pct"/>
                  <w:vAlign w:val="center"/>
                </w:tcPr>
                <w:p w14:paraId="1AD2FBF4">
                  <w:pPr>
                    <w:pStyle w:val="32"/>
                    <w:spacing w:before="48" w:after="48"/>
                  </w:pPr>
                  <w:r>
                    <w:t>电</w:t>
                  </w:r>
                </w:p>
              </w:tc>
              <w:tc>
                <w:tcPr>
                  <w:tcW w:w="1230" w:type="pct"/>
                  <w:vAlign w:val="center"/>
                </w:tcPr>
                <w:p w14:paraId="42EF75DC">
                  <w:pPr>
                    <w:pStyle w:val="32"/>
                    <w:spacing w:before="48" w:after="48"/>
                  </w:pPr>
                  <w:r>
                    <w:t>kW·h/a</w:t>
                  </w:r>
                </w:p>
              </w:tc>
              <w:tc>
                <w:tcPr>
                  <w:tcW w:w="1310" w:type="pct"/>
                  <w:vAlign w:val="center"/>
                </w:tcPr>
                <w:p w14:paraId="08A3B6DB">
                  <w:pPr>
                    <w:pStyle w:val="32"/>
                    <w:spacing w:before="48" w:after="48"/>
                  </w:pPr>
                  <w:r>
                    <w:t>60000</w:t>
                  </w:r>
                </w:p>
              </w:tc>
              <w:tc>
                <w:tcPr>
                  <w:tcW w:w="1310" w:type="pct"/>
                  <w:vAlign w:val="center"/>
                </w:tcPr>
                <w:p w14:paraId="705E39B2">
                  <w:pPr>
                    <w:pStyle w:val="32"/>
                    <w:spacing w:before="48" w:after="48"/>
                  </w:pPr>
                  <w:r>
                    <w:t>市政供电</w:t>
                  </w:r>
                </w:p>
              </w:tc>
            </w:tr>
            <w:tr w14:paraId="64DDAA9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49" w:type="pct"/>
                  <w:vAlign w:val="center"/>
                </w:tcPr>
                <w:p w14:paraId="6F1ED684">
                  <w:pPr>
                    <w:pStyle w:val="32"/>
                    <w:spacing w:before="48" w:after="48"/>
                  </w:pPr>
                  <w:r>
                    <w:t>水</w:t>
                  </w:r>
                </w:p>
              </w:tc>
              <w:tc>
                <w:tcPr>
                  <w:tcW w:w="1230" w:type="pct"/>
                  <w:vAlign w:val="center"/>
                </w:tcPr>
                <w:p w14:paraId="39881D38">
                  <w:pPr>
                    <w:pStyle w:val="32"/>
                    <w:spacing w:before="48" w:after="48"/>
                  </w:pPr>
                  <w:r>
                    <w:t>t/a</w:t>
                  </w:r>
                </w:p>
              </w:tc>
              <w:tc>
                <w:tcPr>
                  <w:tcW w:w="1310" w:type="pct"/>
                  <w:vAlign w:val="center"/>
                </w:tcPr>
                <w:p w14:paraId="40E06B88">
                  <w:pPr>
                    <w:pStyle w:val="32"/>
                    <w:spacing w:before="48" w:after="48"/>
                  </w:pPr>
                  <w:r>
                    <w:t>12612</w:t>
                  </w:r>
                </w:p>
              </w:tc>
              <w:tc>
                <w:tcPr>
                  <w:tcW w:w="1310" w:type="pct"/>
                  <w:vAlign w:val="center"/>
                </w:tcPr>
                <w:p w14:paraId="44308EC0">
                  <w:pPr>
                    <w:pStyle w:val="32"/>
                    <w:spacing w:before="48" w:after="48"/>
                  </w:pPr>
                  <w:r>
                    <w:t>市政供水</w:t>
                  </w:r>
                </w:p>
              </w:tc>
            </w:tr>
            <w:tr w14:paraId="64BCB80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49" w:type="pct"/>
                  <w:vAlign w:val="center"/>
                </w:tcPr>
                <w:p w14:paraId="160D0183">
                  <w:pPr>
                    <w:pStyle w:val="32"/>
                    <w:spacing w:before="48" w:after="48"/>
                  </w:pPr>
                  <w:r>
                    <w:t>生物质颗粒燃料</w:t>
                  </w:r>
                </w:p>
              </w:tc>
              <w:tc>
                <w:tcPr>
                  <w:tcW w:w="1230" w:type="pct"/>
                  <w:vAlign w:val="center"/>
                </w:tcPr>
                <w:p w14:paraId="5D4FB317">
                  <w:pPr>
                    <w:pStyle w:val="32"/>
                    <w:spacing w:before="48" w:after="48"/>
                  </w:pPr>
                  <w:r>
                    <w:t>t/a</w:t>
                  </w:r>
                </w:p>
              </w:tc>
              <w:tc>
                <w:tcPr>
                  <w:tcW w:w="1310" w:type="pct"/>
                  <w:vAlign w:val="center"/>
                </w:tcPr>
                <w:p w14:paraId="7E59767D">
                  <w:pPr>
                    <w:pStyle w:val="32"/>
                    <w:spacing w:before="48" w:after="48"/>
                  </w:pPr>
                  <w:r>
                    <w:t>780</w:t>
                  </w:r>
                </w:p>
              </w:tc>
              <w:tc>
                <w:tcPr>
                  <w:tcW w:w="1310" w:type="pct"/>
                  <w:vAlign w:val="center"/>
                </w:tcPr>
                <w:p w14:paraId="5AAD2D42">
                  <w:pPr>
                    <w:pStyle w:val="32"/>
                    <w:spacing w:before="48" w:after="48"/>
                  </w:pPr>
                  <w:r>
                    <w:t>外购，规格为500kg/袋，暂存生产车间内</w:t>
                  </w:r>
                </w:p>
              </w:tc>
            </w:tr>
          </w:tbl>
          <w:p w14:paraId="2CADCE9D">
            <w:pPr>
              <w:pStyle w:val="33"/>
              <w:spacing w:beforeLines="0"/>
              <w:jc w:val="both"/>
              <w:rPr>
                <w:rFonts w:hint="default"/>
                <w:b w:val="0"/>
                <w:bCs/>
                <w:sz w:val="21"/>
                <w:szCs w:val="21"/>
              </w:rPr>
            </w:pPr>
            <w:r>
              <w:rPr>
                <w:rFonts w:hint="default"/>
                <w:b w:val="0"/>
                <w:bCs/>
                <w:sz w:val="21"/>
                <w:szCs w:val="21"/>
              </w:rPr>
              <w:t>注：生物质燃料来自盘锦佰嘉生物质制品经营有限公司，生物质产能为2000t/a，能够满足本项目生物质燃料需求，采购协议见附件6，</w:t>
            </w:r>
            <w:r>
              <w:rPr>
                <w:rFonts w:hint="default"/>
                <w:b w:val="0"/>
                <w:bCs/>
                <w:color w:val="FF0000"/>
                <w:sz w:val="21"/>
                <w:szCs w:val="21"/>
              </w:rPr>
              <w:t>生物质颗粒检测报告见附件7。</w:t>
            </w:r>
          </w:p>
          <w:p w14:paraId="728C3F07">
            <w:pPr>
              <w:pStyle w:val="5"/>
              <w:numPr>
                <w:ilvl w:val="0"/>
                <w:numId w:val="1"/>
              </w:numPr>
              <w:spacing w:before="120" w:after="120"/>
              <w:ind w:firstLine="562" w:firstLineChars="200"/>
              <w:rPr>
                <w:sz w:val="28"/>
              </w:rPr>
            </w:pPr>
            <w:r>
              <w:rPr>
                <w:sz w:val="28"/>
              </w:rPr>
              <w:t>产品方案</w:t>
            </w:r>
          </w:p>
          <w:p w14:paraId="3D23E673">
            <w:pPr>
              <w:ind w:firstLine="480"/>
            </w:pPr>
            <w:r>
              <w:t>本项目主要生产复合不燃保温板，年产量为15万立方米，具体产品规格根据客户需求切割，项目产品主要用于建筑物外墙保温。</w:t>
            </w:r>
          </w:p>
          <w:p w14:paraId="51DB74F6">
            <w:pPr>
              <w:pStyle w:val="28"/>
              <w:ind w:firstLine="480"/>
              <w:rPr>
                <w:color w:val="FF0000"/>
              </w:rPr>
            </w:pPr>
            <w:r>
              <w:rPr>
                <w:color w:val="FF0000"/>
              </w:rPr>
              <w:t>产品用途：广泛用于建筑、保温、包装、冷冻、日用品、工业铸造等领域。为适应国家建筑节能要求主要应用于墙体外墙保温、屋顶保温、地暖保温等。</w:t>
            </w:r>
          </w:p>
          <w:p w14:paraId="21A3C3F1">
            <w:pPr>
              <w:ind w:firstLine="480"/>
              <w:rPr>
                <w:color w:val="FF0000"/>
              </w:rPr>
            </w:pPr>
            <w:r>
              <w:rPr>
                <w:color w:val="FF0000"/>
              </w:rPr>
              <w:t>产品标准：本产品已通过国家建筑防火产品安全质量监督检验中心和国家建筑材料测试中心进行的全性能检验，产品检验结果均符合中华人民共和国国家建筑工业行业标准《热固复合聚苯乙烯泡沫保温板》（JG/T536-2017）及《建筑材料及制品燃烧性能分级》（GB8624-2012）的要求，具体见下表。</w:t>
            </w:r>
          </w:p>
          <w:p w14:paraId="073BC3A2">
            <w:pPr>
              <w:pStyle w:val="33"/>
              <w:spacing w:beforeLines="0"/>
              <w:rPr>
                <w:rFonts w:hint="default"/>
                <w:color w:val="FF0000"/>
              </w:rPr>
            </w:pPr>
            <w:r>
              <w:rPr>
                <w:rFonts w:hint="default"/>
                <w:color w:val="FF0000"/>
              </w:rPr>
              <w:t>表7  G型热固复合聚苯板性能指标</w:t>
            </w:r>
          </w:p>
          <w:tbl>
            <w:tblPr>
              <w:tblStyle w:val="25"/>
              <w:tblW w:w="4999"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3000"/>
              <w:gridCol w:w="2650"/>
            </w:tblGrid>
            <w:tr w14:paraId="2827F52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c>
                <w:tcPr>
                  <w:tcW w:w="1446" w:type="pct"/>
                  <w:vMerge w:val="restart"/>
                  <w:tcBorders>
                    <w:tl2br w:val="nil"/>
                    <w:tr2bl w:val="nil"/>
                  </w:tcBorders>
                  <w:vAlign w:val="center"/>
                </w:tcPr>
                <w:p w14:paraId="51B2887D">
                  <w:pPr>
                    <w:bidi/>
                    <w:spacing w:line="240" w:lineRule="auto"/>
                    <w:ind w:firstLine="0" w:firstLineChars="0"/>
                    <w:jc w:val="center"/>
                    <w:rPr>
                      <w:color w:val="FF0000"/>
                      <w:sz w:val="21"/>
                      <w:szCs w:val="21"/>
                    </w:rPr>
                  </w:pPr>
                  <w:r>
                    <w:rPr>
                      <w:color w:val="FF0000"/>
                      <w:sz w:val="21"/>
                      <w:szCs w:val="21"/>
                    </w:rPr>
                    <w:t>项目</w:t>
                  </w:r>
                </w:p>
              </w:tc>
              <w:tc>
                <w:tcPr>
                  <w:tcW w:w="3553" w:type="pct"/>
                  <w:gridSpan w:val="2"/>
                  <w:tcBorders>
                    <w:tl2br w:val="nil"/>
                    <w:tr2bl w:val="nil"/>
                  </w:tcBorders>
                  <w:vAlign w:val="center"/>
                </w:tcPr>
                <w:p w14:paraId="343B7B19">
                  <w:pPr>
                    <w:bidi/>
                    <w:spacing w:line="240" w:lineRule="auto"/>
                    <w:ind w:firstLine="0" w:firstLineChars="0"/>
                    <w:jc w:val="center"/>
                    <w:rPr>
                      <w:color w:val="FF0000"/>
                      <w:sz w:val="21"/>
                      <w:szCs w:val="21"/>
                    </w:rPr>
                  </w:pPr>
                  <w:r>
                    <w:rPr>
                      <w:color w:val="FF0000"/>
                      <w:sz w:val="21"/>
                      <w:szCs w:val="21"/>
                    </w:rPr>
                    <w:t>指标</w:t>
                  </w:r>
                </w:p>
              </w:tc>
            </w:tr>
            <w:tr w14:paraId="3CF749B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46" w:type="pct"/>
                  <w:vMerge w:val="continue"/>
                  <w:tcBorders>
                    <w:tl2br w:val="nil"/>
                    <w:tr2bl w:val="nil"/>
                  </w:tcBorders>
                  <w:vAlign w:val="center"/>
                </w:tcPr>
                <w:p w14:paraId="3F0F6123">
                  <w:pPr>
                    <w:bidi/>
                    <w:spacing w:line="240" w:lineRule="auto"/>
                    <w:ind w:firstLine="0" w:firstLineChars="0"/>
                    <w:jc w:val="center"/>
                    <w:rPr>
                      <w:color w:val="FF0000"/>
                      <w:sz w:val="21"/>
                      <w:szCs w:val="21"/>
                    </w:rPr>
                  </w:pPr>
                </w:p>
              </w:tc>
              <w:tc>
                <w:tcPr>
                  <w:tcW w:w="1887" w:type="pct"/>
                  <w:tcBorders>
                    <w:tl2br w:val="nil"/>
                    <w:tr2bl w:val="nil"/>
                  </w:tcBorders>
                  <w:vAlign w:val="center"/>
                </w:tcPr>
                <w:p w14:paraId="2BFDE2FD">
                  <w:pPr>
                    <w:bidi/>
                    <w:spacing w:line="240" w:lineRule="auto"/>
                    <w:ind w:firstLine="0" w:firstLineChars="0"/>
                    <w:jc w:val="center"/>
                    <w:rPr>
                      <w:color w:val="FF0000"/>
                      <w:sz w:val="21"/>
                      <w:szCs w:val="21"/>
                    </w:rPr>
                  </w:pPr>
                  <w:r>
                    <w:rPr>
                      <w:color w:val="FF0000"/>
                      <w:sz w:val="21"/>
                      <w:szCs w:val="21"/>
                    </w:rPr>
                    <w:t>050级</w:t>
                  </w:r>
                </w:p>
              </w:tc>
              <w:tc>
                <w:tcPr>
                  <w:tcW w:w="1666" w:type="pct"/>
                  <w:tcBorders>
                    <w:tl2br w:val="nil"/>
                    <w:tr2bl w:val="nil"/>
                  </w:tcBorders>
                  <w:vAlign w:val="center"/>
                </w:tcPr>
                <w:p w14:paraId="205A095C">
                  <w:pPr>
                    <w:bidi/>
                    <w:spacing w:line="240" w:lineRule="auto"/>
                    <w:ind w:firstLine="0" w:firstLineChars="0"/>
                    <w:jc w:val="center"/>
                    <w:rPr>
                      <w:color w:val="FF0000"/>
                      <w:sz w:val="21"/>
                      <w:szCs w:val="21"/>
                    </w:rPr>
                  </w:pPr>
                  <w:r>
                    <w:rPr>
                      <w:color w:val="FF0000"/>
                      <w:sz w:val="21"/>
                      <w:szCs w:val="21"/>
                    </w:rPr>
                    <w:t>060级</w:t>
                  </w:r>
                </w:p>
              </w:tc>
            </w:tr>
            <w:tr w14:paraId="1BE2393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46" w:type="pct"/>
                  <w:tcBorders>
                    <w:tl2br w:val="nil"/>
                    <w:tr2bl w:val="nil"/>
                  </w:tcBorders>
                  <w:vAlign w:val="center"/>
                </w:tcPr>
                <w:p w14:paraId="7AE3C161">
                  <w:pPr>
                    <w:bidi/>
                    <w:spacing w:line="240" w:lineRule="auto"/>
                    <w:ind w:firstLine="0" w:firstLineChars="0"/>
                    <w:jc w:val="center"/>
                    <w:rPr>
                      <w:color w:val="FF0000"/>
                      <w:sz w:val="21"/>
                      <w:szCs w:val="21"/>
                    </w:rPr>
                  </w:pPr>
                  <w:r>
                    <w:rPr>
                      <w:color w:val="FF0000"/>
                      <w:sz w:val="21"/>
                      <w:szCs w:val="21"/>
                    </w:rPr>
                    <w:t>密度</w:t>
                  </w:r>
                </w:p>
              </w:tc>
              <w:tc>
                <w:tcPr>
                  <w:tcW w:w="3553" w:type="pct"/>
                  <w:gridSpan w:val="2"/>
                  <w:tcBorders>
                    <w:tl2br w:val="nil"/>
                    <w:tr2bl w:val="nil"/>
                  </w:tcBorders>
                  <w:vAlign w:val="center"/>
                </w:tcPr>
                <w:p w14:paraId="5E8E4FFA">
                  <w:pPr>
                    <w:bidi/>
                    <w:spacing w:line="240" w:lineRule="auto"/>
                    <w:ind w:firstLine="0" w:firstLineChars="0"/>
                    <w:jc w:val="center"/>
                    <w:rPr>
                      <w:color w:val="FF0000"/>
                      <w:sz w:val="21"/>
                      <w:szCs w:val="21"/>
                    </w:rPr>
                  </w:pPr>
                  <w:r>
                    <w:rPr>
                      <w:color w:val="FF0000"/>
                      <w:sz w:val="21"/>
                      <w:szCs w:val="21"/>
                    </w:rPr>
                    <w:t>标称密度140kg/m</w:t>
                  </w:r>
                  <w:r>
                    <w:rPr>
                      <w:color w:val="FF0000"/>
                      <w:sz w:val="21"/>
                      <w:szCs w:val="21"/>
                      <w:vertAlign w:val="superscript"/>
                    </w:rPr>
                    <w:t>2</w:t>
                  </w:r>
                  <w:r>
                    <w:rPr>
                      <w:color w:val="FF0000"/>
                      <w:sz w:val="21"/>
                      <w:szCs w:val="21"/>
                    </w:rPr>
                    <w:t>-200kg/m</w:t>
                  </w:r>
                  <w:r>
                    <w:rPr>
                      <w:color w:val="FF0000"/>
                      <w:sz w:val="21"/>
                      <w:szCs w:val="21"/>
                      <w:vertAlign w:val="superscript"/>
                    </w:rPr>
                    <w:t>2</w:t>
                  </w:r>
                  <w:r>
                    <w:rPr>
                      <w:color w:val="FF0000"/>
                      <w:sz w:val="21"/>
                      <w:szCs w:val="21"/>
                    </w:rPr>
                    <w:t>，密度允许偏差为标准密度的+10%</w:t>
                  </w:r>
                </w:p>
              </w:tc>
            </w:tr>
            <w:tr w14:paraId="7A451BA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46" w:type="pct"/>
                  <w:tcBorders>
                    <w:tl2br w:val="nil"/>
                    <w:tr2bl w:val="nil"/>
                  </w:tcBorders>
                  <w:vAlign w:val="center"/>
                </w:tcPr>
                <w:p w14:paraId="00E316F1">
                  <w:pPr>
                    <w:bidi/>
                    <w:spacing w:line="240" w:lineRule="auto"/>
                    <w:ind w:firstLine="0" w:firstLineChars="0"/>
                    <w:jc w:val="center"/>
                    <w:rPr>
                      <w:color w:val="FF0000"/>
                      <w:sz w:val="21"/>
                      <w:szCs w:val="21"/>
                    </w:rPr>
                  </w:pPr>
                  <w:r>
                    <w:rPr>
                      <w:color w:val="FF0000"/>
                      <w:sz w:val="21"/>
                      <w:szCs w:val="21"/>
                    </w:rPr>
                    <w:t>导热系数/[W/（m·K）]</w:t>
                  </w:r>
                </w:p>
              </w:tc>
              <w:tc>
                <w:tcPr>
                  <w:tcW w:w="1887" w:type="pct"/>
                  <w:tcBorders>
                    <w:tl2br w:val="nil"/>
                    <w:tr2bl w:val="nil"/>
                  </w:tcBorders>
                  <w:vAlign w:val="center"/>
                </w:tcPr>
                <w:p w14:paraId="29B05FBB">
                  <w:pPr>
                    <w:bidi/>
                    <w:spacing w:line="240" w:lineRule="auto"/>
                    <w:ind w:firstLine="0" w:firstLineChars="0"/>
                    <w:jc w:val="center"/>
                    <w:rPr>
                      <w:color w:val="FF0000"/>
                      <w:sz w:val="21"/>
                      <w:szCs w:val="21"/>
                    </w:rPr>
                  </w:pPr>
                  <w:r>
                    <w:rPr>
                      <w:color w:val="FF0000"/>
                      <w:sz w:val="21"/>
                      <w:szCs w:val="21"/>
                    </w:rPr>
                    <w:t>≤0.050</w:t>
                  </w:r>
                </w:p>
              </w:tc>
              <w:tc>
                <w:tcPr>
                  <w:tcW w:w="1666" w:type="pct"/>
                  <w:tcBorders>
                    <w:tl2br w:val="nil"/>
                    <w:tr2bl w:val="nil"/>
                  </w:tcBorders>
                  <w:vAlign w:val="center"/>
                </w:tcPr>
                <w:p w14:paraId="4DB349C5">
                  <w:pPr>
                    <w:bidi/>
                    <w:spacing w:line="240" w:lineRule="auto"/>
                    <w:ind w:firstLine="0" w:firstLineChars="0"/>
                    <w:jc w:val="center"/>
                    <w:rPr>
                      <w:color w:val="FF0000"/>
                      <w:sz w:val="21"/>
                      <w:szCs w:val="21"/>
                    </w:rPr>
                  </w:pPr>
                  <w:r>
                    <w:rPr>
                      <w:color w:val="FF0000"/>
                      <w:sz w:val="21"/>
                      <w:szCs w:val="21"/>
                    </w:rPr>
                    <w:t>&gt;0.050，且≤0.060</w:t>
                  </w:r>
                </w:p>
              </w:tc>
            </w:tr>
            <w:tr w14:paraId="2E9279D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46" w:type="pct"/>
                  <w:tcBorders>
                    <w:tl2br w:val="nil"/>
                    <w:tr2bl w:val="nil"/>
                  </w:tcBorders>
                  <w:vAlign w:val="center"/>
                </w:tcPr>
                <w:p w14:paraId="3091C0BC">
                  <w:pPr>
                    <w:bidi/>
                    <w:spacing w:line="240" w:lineRule="auto"/>
                    <w:ind w:firstLine="0" w:firstLineChars="0"/>
                    <w:jc w:val="center"/>
                    <w:rPr>
                      <w:color w:val="FF0000"/>
                      <w:sz w:val="21"/>
                      <w:szCs w:val="21"/>
                    </w:rPr>
                  </w:pPr>
                  <w:r>
                    <w:rPr>
                      <w:color w:val="FF0000"/>
                      <w:sz w:val="21"/>
                      <w:szCs w:val="21"/>
                    </w:rPr>
                    <w:t>垂直于板面方向的抗拉强度/MPa</w:t>
                  </w:r>
                </w:p>
              </w:tc>
              <w:tc>
                <w:tcPr>
                  <w:tcW w:w="1887" w:type="pct"/>
                  <w:tcBorders>
                    <w:tl2br w:val="nil"/>
                    <w:tr2bl w:val="nil"/>
                  </w:tcBorders>
                  <w:vAlign w:val="center"/>
                </w:tcPr>
                <w:p w14:paraId="06E3257D">
                  <w:pPr>
                    <w:bidi/>
                    <w:spacing w:line="240" w:lineRule="auto"/>
                    <w:ind w:firstLine="0" w:firstLineChars="0"/>
                    <w:jc w:val="center"/>
                    <w:rPr>
                      <w:color w:val="FF0000"/>
                      <w:sz w:val="21"/>
                      <w:szCs w:val="21"/>
                    </w:rPr>
                  </w:pPr>
                  <w:r>
                    <w:rPr>
                      <w:color w:val="FF0000"/>
                      <w:sz w:val="21"/>
                      <w:szCs w:val="21"/>
                    </w:rPr>
                    <w:t>≥0.10</w:t>
                  </w:r>
                </w:p>
              </w:tc>
              <w:tc>
                <w:tcPr>
                  <w:tcW w:w="1666" w:type="pct"/>
                  <w:tcBorders>
                    <w:tl2br w:val="nil"/>
                    <w:tr2bl w:val="nil"/>
                  </w:tcBorders>
                  <w:vAlign w:val="center"/>
                </w:tcPr>
                <w:p w14:paraId="2969941B">
                  <w:pPr>
                    <w:bidi/>
                    <w:spacing w:line="240" w:lineRule="auto"/>
                    <w:ind w:firstLine="0" w:firstLineChars="0"/>
                    <w:jc w:val="center"/>
                    <w:rPr>
                      <w:color w:val="FF0000"/>
                      <w:sz w:val="21"/>
                      <w:szCs w:val="21"/>
                    </w:rPr>
                  </w:pPr>
                  <w:r>
                    <w:rPr>
                      <w:color w:val="FF0000"/>
                      <w:sz w:val="21"/>
                      <w:szCs w:val="21"/>
                    </w:rPr>
                    <w:t>≥0.12</w:t>
                  </w:r>
                </w:p>
              </w:tc>
            </w:tr>
            <w:tr w14:paraId="56C04C7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46" w:type="pct"/>
                  <w:tcBorders>
                    <w:tl2br w:val="nil"/>
                    <w:tr2bl w:val="nil"/>
                  </w:tcBorders>
                  <w:vAlign w:val="center"/>
                </w:tcPr>
                <w:p w14:paraId="2F1090A0">
                  <w:pPr>
                    <w:bidi/>
                    <w:spacing w:line="240" w:lineRule="auto"/>
                    <w:ind w:firstLine="0" w:firstLineChars="0"/>
                    <w:jc w:val="center"/>
                    <w:rPr>
                      <w:color w:val="FF0000"/>
                      <w:sz w:val="21"/>
                      <w:szCs w:val="21"/>
                    </w:rPr>
                  </w:pPr>
                  <w:r>
                    <w:rPr>
                      <w:color w:val="FF0000"/>
                      <w:sz w:val="21"/>
                      <w:szCs w:val="21"/>
                    </w:rPr>
                    <w:t>抗压强度/MPa</w:t>
                  </w:r>
                </w:p>
              </w:tc>
              <w:tc>
                <w:tcPr>
                  <w:tcW w:w="1887" w:type="pct"/>
                  <w:tcBorders>
                    <w:tl2br w:val="nil"/>
                    <w:tr2bl w:val="nil"/>
                  </w:tcBorders>
                  <w:vAlign w:val="center"/>
                </w:tcPr>
                <w:p w14:paraId="2F27E577">
                  <w:pPr>
                    <w:bidi/>
                    <w:spacing w:line="240" w:lineRule="auto"/>
                    <w:ind w:firstLine="0" w:firstLineChars="0"/>
                    <w:jc w:val="center"/>
                    <w:rPr>
                      <w:color w:val="FF0000"/>
                      <w:sz w:val="21"/>
                      <w:szCs w:val="21"/>
                    </w:rPr>
                  </w:pPr>
                  <w:r>
                    <w:rPr>
                      <w:color w:val="FF0000"/>
                      <w:sz w:val="21"/>
                      <w:szCs w:val="21"/>
                    </w:rPr>
                    <w:t>≥0.15</w:t>
                  </w:r>
                </w:p>
              </w:tc>
              <w:tc>
                <w:tcPr>
                  <w:tcW w:w="1666" w:type="pct"/>
                  <w:tcBorders>
                    <w:tl2br w:val="nil"/>
                    <w:tr2bl w:val="nil"/>
                  </w:tcBorders>
                  <w:vAlign w:val="center"/>
                </w:tcPr>
                <w:p w14:paraId="10206452">
                  <w:pPr>
                    <w:bidi/>
                    <w:spacing w:line="240" w:lineRule="auto"/>
                    <w:ind w:firstLine="0" w:firstLineChars="0"/>
                    <w:jc w:val="center"/>
                    <w:rPr>
                      <w:color w:val="FF0000"/>
                      <w:sz w:val="21"/>
                      <w:szCs w:val="21"/>
                    </w:rPr>
                  </w:pPr>
                  <w:r>
                    <w:rPr>
                      <w:color w:val="FF0000"/>
                      <w:sz w:val="21"/>
                      <w:szCs w:val="21"/>
                    </w:rPr>
                    <w:t>≥0.20</w:t>
                  </w:r>
                </w:p>
              </w:tc>
            </w:tr>
            <w:tr w14:paraId="043288D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46" w:type="pct"/>
                  <w:tcBorders>
                    <w:tl2br w:val="nil"/>
                    <w:tr2bl w:val="nil"/>
                  </w:tcBorders>
                  <w:vAlign w:val="center"/>
                </w:tcPr>
                <w:p w14:paraId="19EC4332">
                  <w:pPr>
                    <w:bidi/>
                    <w:spacing w:line="240" w:lineRule="auto"/>
                    <w:ind w:firstLine="0" w:firstLineChars="0"/>
                    <w:jc w:val="center"/>
                    <w:rPr>
                      <w:color w:val="FF0000"/>
                      <w:sz w:val="21"/>
                      <w:szCs w:val="21"/>
                    </w:rPr>
                  </w:pPr>
                  <w:r>
                    <w:rPr>
                      <w:color w:val="FF0000"/>
                      <w:sz w:val="21"/>
                      <w:szCs w:val="21"/>
                    </w:rPr>
                    <w:t>干燥收缩率/%</w:t>
                  </w:r>
                </w:p>
              </w:tc>
              <w:tc>
                <w:tcPr>
                  <w:tcW w:w="3553" w:type="pct"/>
                  <w:gridSpan w:val="2"/>
                  <w:tcBorders>
                    <w:tl2br w:val="nil"/>
                    <w:tr2bl w:val="nil"/>
                  </w:tcBorders>
                  <w:vAlign w:val="center"/>
                </w:tcPr>
                <w:p w14:paraId="3B88C41D">
                  <w:pPr>
                    <w:bidi/>
                    <w:spacing w:line="240" w:lineRule="auto"/>
                    <w:ind w:firstLine="0" w:firstLineChars="0"/>
                    <w:jc w:val="center"/>
                    <w:rPr>
                      <w:color w:val="FF0000"/>
                      <w:sz w:val="21"/>
                      <w:szCs w:val="21"/>
                    </w:rPr>
                  </w:pPr>
                  <w:r>
                    <w:rPr>
                      <w:color w:val="FF0000"/>
                      <w:sz w:val="21"/>
                      <w:szCs w:val="21"/>
                    </w:rPr>
                    <w:t>≤0.6</w:t>
                  </w:r>
                </w:p>
              </w:tc>
            </w:tr>
            <w:tr w14:paraId="3F967C7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46" w:type="pct"/>
                  <w:tcBorders>
                    <w:tl2br w:val="nil"/>
                    <w:tr2bl w:val="nil"/>
                  </w:tcBorders>
                  <w:vAlign w:val="center"/>
                </w:tcPr>
                <w:p w14:paraId="3B74D880">
                  <w:pPr>
                    <w:bidi/>
                    <w:spacing w:line="240" w:lineRule="auto"/>
                    <w:ind w:firstLine="0" w:firstLineChars="0"/>
                    <w:jc w:val="center"/>
                    <w:rPr>
                      <w:color w:val="FF0000"/>
                      <w:sz w:val="21"/>
                      <w:szCs w:val="21"/>
                    </w:rPr>
                  </w:pPr>
                  <w:r>
                    <w:rPr>
                      <w:color w:val="FF0000"/>
                      <w:sz w:val="21"/>
                      <w:szCs w:val="21"/>
                    </w:rPr>
                    <w:t>体积吸水率/%</w:t>
                  </w:r>
                </w:p>
              </w:tc>
              <w:tc>
                <w:tcPr>
                  <w:tcW w:w="3553" w:type="pct"/>
                  <w:gridSpan w:val="2"/>
                  <w:tcBorders>
                    <w:tl2br w:val="nil"/>
                    <w:tr2bl w:val="nil"/>
                  </w:tcBorders>
                  <w:vAlign w:val="center"/>
                </w:tcPr>
                <w:p w14:paraId="0B25E069">
                  <w:pPr>
                    <w:bidi/>
                    <w:spacing w:line="240" w:lineRule="auto"/>
                    <w:ind w:firstLine="0" w:firstLineChars="0"/>
                    <w:jc w:val="center"/>
                    <w:rPr>
                      <w:color w:val="FF0000"/>
                      <w:sz w:val="21"/>
                      <w:szCs w:val="21"/>
                    </w:rPr>
                  </w:pPr>
                  <w:r>
                    <w:rPr>
                      <w:color w:val="FF0000"/>
                      <w:sz w:val="21"/>
                      <w:szCs w:val="21"/>
                    </w:rPr>
                    <w:t>≤10</w:t>
                  </w:r>
                </w:p>
              </w:tc>
            </w:tr>
            <w:tr w14:paraId="73B5B3D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46" w:type="pct"/>
                  <w:tcBorders>
                    <w:tl2br w:val="nil"/>
                    <w:tr2bl w:val="nil"/>
                  </w:tcBorders>
                  <w:vAlign w:val="center"/>
                </w:tcPr>
                <w:p w14:paraId="7356CEBA">
                  <w:pPr>
                    <w:bidi/>
                    <w:spacing w:line="240" w:lineRule="auto"/>
                    <w:ind w:firstLine="0" w:firstLineChars="0"/>
                    <w:jc w:val="center"/>
                    <w:rPr>
                      <w:color w:val="FF0000"/>
                      <w:sz w:val="21"/>
                      <w:szCs w:val="21"/>
                    </w:rPr>
                  </w:pPr>
                  <w:r>
                    <w:rPr>
                      <w:color w:val="FF0000"/>
                      <w:sz w:val="21"/>
                      <w:szCs w:val="21"/>
                    </w:rPr>
                    <w:t>抗折强度/MPa</w:t>
                  </w:r>
                </w:p>
              </w:tc>
              <w:tc>
                <w:tcPr>
                  <w:tcW w:w="3553" w:type="pct"/>
                  <w:gridSpan w:val="2"/>
                  <w:tcBorders>
                    <w:tl2br w:val="nil"/>
                    <w:tr2bl w:val="nil"/>
                  </w:tcBorders>
                  <w:vAlign w:val="center"/>
                </w:tcPr>
                <w:p w14:paraId="597C7E4E">
                  <w:pPr>
                    <w:bidi/>
                    <w:spacing w:line="240" w:lineRule="auto"/>
                    <w:ind w:firstLine="0" w:firstLineChars="0"/>
                    <w:jc w:val="center"/>
                    <w:rPr>
                      <w:color w:val="FF0000"/>
                      <w:sz w:val="21"/>
                      <w:szCs w:val="21"/>
                    </w:rPr>
                  </w:pPr>
                  <w:r>
                    <w:rPr>
                      <w:color w:val="FF0000"/>
                      <w:sz w:val="21"/>
                      <w:szCs w:val="21"/>
                    </w:rPr>
                    <w:t>≥0.2</w:t>
                  </w:r>
                </w:p>
              </w:tc>
            </w:tr>
            <w:tr w14:paraId="3FDA9B5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46" w:type="pct"/>
                  <w:tcBorders>
                    <w:tl2br w:val="nil"/>
                    <w:tr2bl w:val="nil"/>
                  </w:tcBorders>
                  <w:vAlign w:val="center"/>
                </w:tcPr>
                <w:p w14:paraId="44D84D32">
                  <w:pPr>
                    <w:bidi/>
                    <w:spacing w:line="240" w:lineRule="auto"/>
                    <w:ind w:firstLine="0" w:firstLineChars="0"/>
                    <w:jc w:val="center"/>
                    <w:rPr>
                      <w:color w:val="FF0000"/>
                      <w:sz w:val="21"/>
                      <w:szCs w:val="21"/>
                    </w:rPr>
                  </w:pPr>
                  <w:r>
                    <w:rPr>
                      <w:color w:val="FF0000"/>
                      <w:sz w:val="21"/>
                      <w:szCs w:val="21"/>
                    </w:rPr>
                    <w:t>软化系数</w:t>
                  </w:r>
                </w:p>
              </w:tc>
              <w:tc>
                <w:tcPr>
                  <w:tcW w:w="3553" w:type="pct"/>
                  <w:gridSpan w:val="2"/>
                  <w:tcBorders>
                    <w:tl2br w:val="nil"/>
                    <w:tr2bl w:val="nil"/>
                  </w:tcBorders>
                  <w:vAlign w:val="center"/>
                </w:tcPr>
                <w:p w14:paraId="786A3250">
                  <w:pPr>
                    <w:bidi/>
                    <w:spacing w:line="240" w:lineRule="auto"/>
                    <w:ind w:firstLine="0" w:firstLineChars="0"/>
                    <w:jc w:val="center"/>
                    <w:rPr>
                      <w:color w:val="FF0000"/>
                      <w:sz w:val="21"/>
                      <w:szCs w:val="21"/>
                    </w:rPr>
                  </w:pPr>
                  <w:r>
                    <w:rPr>
                      <w:color w:val="FF0000"/>
                      <w:sz w:val="21"/>
                      <w:szCs w:val="21"/>
                    </w:rPr>
                    <w:t>≥0.7</w:t>
                  </w:r>
                </w:p>
              </w:tc>
            </w:tr>
            <w:tr w14:paraId="12CFAB2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46" w:type="pct"/>
                  <w:tcBorders>
                    <w:tl2br w:val="nil"/>
                    <w:tr2bl w:val="nil"/>
                  </w:tcBorders>
                  <w:vAlign w:val="center"/>
                </w:tcPr>
                <w:p w14:paraId="2BE497C5">
                  <w:pPr>
                    <w:bidi/>
                    <w:spacing w:line="240" w:lineRule="auto"/>
                    <w:ind w:firstLine="0" w:firstLineChars="0"/>
                    <w:jc w:val="center"/>
                    <w:rPr>
                      <w:color w:val="FF0000"/>
                      <w:sz w:val="21"/>
                      <w:szCs w:val="21"/>
                    </w:rPr>
                  </w:pPr>
                  <w:r>
                    <w:rPr>
                      <w:color w:val="FF0000"/>
                      <w:sz w:val="21"/>
                      <w:szCs w:val="21"/>
                    </w:rPr>
                    <w:t>燃烧性能等级</w:t>
                  </w:r>
                </w:p>
              </w:tc>
              <w:tc>
                <w:tcPr>
                  <w:tcW w:w="3553" w:type="pct"/>
                  <w:gridSpan w:val="2"/>
                  <w:tcBorders>
                    <w:tl2br w:val="nil"/>
                    <w:tr2bl w:val="nil"/>
                  </w:tcBorders>
                  <w:vAlign w:val="center"/>
                </w:tcPr>
                <w:p w14:paraId="31A3372A">
                  <w:pPr>
                    <w:bidi/>
                    <w:spacing w:line="240" w:lineRule="auto"/>
                    <w:ind w:firstLine="0" w:firstLineChars="0"/>
                    <w:jc w:val="center"/>
                    <w:rPr>
                      <w:color w:val="FF0000"/>
                      <w:sz w:val="21"/>
                      <w:szCs w:val="21"/>
                    </w:rPr>
                  </w:pPr>
                  <w:r>
                    <w:rPr>
                      <w:color w:val="FF0000"/>
                      <w:sz w:val="21"/>
                      <w:szCs w:val="21"/>
                    </w:rPr>
                    <w:t>A（A2）级</w:t>
                  </w:r>
                </w:p>
              </w:tc>
            </w:tr>
            <w:tr w14:paraId="76382D8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l2br w:val="nil"/>
                    <w:tr2bl w:val="nil"/>
                  </w:tcBorders>
                  <w:vAlign w:val="center"/>
                </w:tcPr>
                <w:p w14:paraId="348FFCA4">
                  <w:pPr>
                    <w:bidi/>
                    <w:spacing w:line="240" w:lineRule="auto"/>
                    <w:ind w:firstLine="0" w:firstLineChars="0"/>
                    <w:jc w:val="center"/>
                    <w:rPr>
                      <w:color w:val="FF0000"/>
                      <w:sz w:val="21"/>
                      <w:szCs w:val="21"/>
                    </w:rPr>
                  </w:pPr>
                  <w:r>
                    <w:rPr>
                      <w:color w:val="FF0000"/>
                      <w:sz w:val="21"/>
                      <w:szCs w:val="21"/>
                    </w:rPr>
                    <w:t>注：非型式检验时，检验报告中应注明样品密度</w:t>
                  </w:r>
                </w:p>
              </w:tc>
            </w:tr>
          </w:tbl>
          <w:p w14:paraId="602B7097">
            <w:pPr>
              <w:pStyle w:val="5"/>
              <w:numPr>
                <w:ilvl w:val="0"/>
                <w:numId w:val="1"/>
              </w:numPr>
              <w:spacing w:before="120" w:after="120"/>
              <w:ind w:firstLine="562" w:firstLineChars="200"/>
              <w:rPr>
                <w:sz w:val="28"/>
              </w:rPr>
            </w:pPr>
            <w:r>
              <w:rPr>
                <w:sz w:val="28"/>
              </w:rPr>
              <w:t>主要生产设备</w:t>
            </w:r>
          </w:p>
          <w:p w14:paraId="5D481D55">
            <w:pPr>
              <w:ind w:firstLine="480"/>
            </w:pPr>
            <w:r>
              <w:t>本项目主要生产设备见下表。</w:t>
            </w:r>
          </w:p>
          <w:p w14:paraId="5DAEDD2D">
            <w:pPr>
              <w:pStyle w:val="33"/>
              <w:spacing w:beforeLines="0"/>
              <w:rPr>
                <w:rFonts w:hint="default"/>
              </w:rPr>
            </w:pPr>
            <w:r>
              <w:rPr>
                <w:rFonts w:hint="default"/>
              </w:rPr>
              <w:t>表8 本项目主要生产设备</w:t>
            </w:r>
          </w:p>
          <w:tbl>
            <w:tblPr>
              <w:tblStyle w:val="24"/>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630"/>
              <w:gridCol w:w="1978"/>
              <w:gridCol w:w="878"/>
              <w:gridCol w:w="759"/>
              <w:gridCol w:w="1908"/>
            </w:tblGrid>
            <w:tr w14:paraId="3CF3C90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tcBorders>
                    <w:tl2br w:val="nil"/>
                    <w:tr2bl w:val="nil"/>
                  </w:tcBorders>
                  <w:vAlign w:val="center"/>
                </w:tcPr>
                <w:p w14:paraId="5B608DAB">
                  <w:pPr>
                    <w:spacing w:line="240" w:lineRule="auto"/>
                    <w:ind w:firstLine="0" w:firstLineChars="0"/>
                    <w:jc w:val="center"/>
                    <w:rPr>
                      <w:sz w:val="21"/>
                      <w:szCs w:val="21"/>
                    </w:rPr>
                  </w:pPr>
                  <w:r>
                    <w:rPr>
                      <w:sz w:val="21"/>
                      <w:szCs w:val="21"/>
                    </w:rPr>
                    <w:t>序号</w:t>
                  </w:r>
                </w:p>
              </w:tc>
              <w:tc>
                <w:tcPr>
                  <w:tcW w:w="1025" w:type="pct"/>
                  <w:tcBorders>
                    <w:tl2br w:val="nil"/>
                    <w:tr2bl w:val="nil"/>
                  </w:tcBorders>
                  <w:vAlign w:val="center"/>
                </w:tcPr>
                <w:p w14:paraId="05F79317">
                  <w:pPr>
                    <w:spacing w:line="240" w:lineRule="auto"/>
                    <w:ind w:firstLine="0" w:firstLineChars="0"/>
                    <w:jc w:val="center"/>
                    <w:rPr>
                      <w:sz w:val="21"/>
                      <w:szCs w:val="21"/>
                    </w:rPr>
                  </w:pPr>
                  <w:r>
                    <w:rPr>
                      <w:sz w:val="21"/>
                      <w:szCs w:val="21"/>
                    </w:rPr>
                    <w:t>设备名称</w:t>
                  </w:r>
                </w:p>
              </w:tc>
              <w:tc>
                <w:tcPr>
                  <w:tcW w:w="1244" w:type="pct"/>
                  <w:tcBorders>
                    <w:tl2br w:val="nil"/>
                    <w:tr2bl w:val="nil"/>
                  </w:tcBorders>
                  <w:vAlign w:val="center"/>
                </w:tcPr>
                <w:p w14:paraId="1AE96087">
                  <w:pPr>
                    <w:spacing w:line="240" w:lineRule="auto"/>
                    <w:ind w:firstLine="0" w:firstLineChars="0"/>
                    <w:jc w:val="center"/>
                    <w:rPr>
                      <w:sz w:val="21"/>
                      <w:szCs w:val="21"/>
                    </w:rPr>
                  </w:pPr>
                  <w:r>
                    <w:rPr>
                      <w:sz w:val="21"/>
                      <w:szCs w:val="21"/>
                    </w:rPr>
                    <w:t>规格型号</w:t>
                  </w:r>
                </w:p>
              </w:tc>
              <w:tc>
                <w:tcPr>
                  <w:tcW w:w="552" w:type="pct"/>
                  <w:tcBorders>
                    <w:tl2br w:val="nil"/>
                    <w:tr2bl w:val="nil"/>
                  </w:tcBorders>
                  <w:vAlign w:val="center"/>
                </w:tcPr>
                <w:p w14:paraId="5239D19D">
                  <w:pPr>
                    <w:spacing w:line="240" w:lineRule="auto"/>
                    <w:ind w:firstLine="0" w:firstLineChars="0"/>
                    <w:jc w:val="center"/>
                    <w:rPr>
                      <w:sz w:val="21"/>
                      <w:szCs w:val="21"/>
                    </w:rPr>
                  </w:pPr>
                  <w:r>
                    <w:rPr>
                      <w:sz w:val="21"/>
                      <w:szCs w:val="21"/>
                    </w:rPr>
                    <w:t>单位</w:t>
                  </w:r>
                </w:p>
              </w:tc>
              <w:tc>
                <w:tcPr>
                  <w:tcW w:w="477" w:type="pct"/>
                  <w:tcBorders>
                    <w:tl2br w:val="nil"/>
                    <w:tr2bl w:val="nil"/>
                  </w:tcBorders>
                  <w:vAlign w:val="center"/>
                </w:tcPr>
                <w:p w14:paraId="10AB188C">
                  <w:pPr>
                    <w:spacing w:line="240" w:lineRule="auto"/>
                    <w:ind w:firstLine="0" w:firstLineChars="0"/>
                    <w:jc w:val="center"/>
                    <w:rPr>
                      <w:sz w:val="21"/>
                      <w:szCs w:val="21"/>
                    </w:rPr>
                  </w:pPr>
                  <w:r>
                    <w:rPr>
                      <w:sz w:val="21"/>
                      <w:szCs w:val="21"/>
                    </w:rPr>
                    <w:t>数量</w:t>
                  </w:r>
                </w:p>
              </w:tc>
              <w:tc>
                <w:tcPr>
                  <w:tcW w:w="1200" w:type="pct"/>
                  <w:tcBorders>
                    <w:tl2br w:val="nil"/>
                    <w:tr2bl w:val="nil"/>
                  </w:tcBorders>
                  <w:vAlign w:val="center"/>
                </w:tcPr>
                <w:p w14:paraId="36E353CD">
                  <w:pPr>
                    <w:spacing w:line="240" w:lineRule="auto"/>
                    <w:ind w:firstLine="0" w:firstLineChars="0"/>
                    <w:jc w:val="center"/>
                    <w:rPr>
                      <w:sz w:val="21"/>
                      <w:szCs w:val="21"/>
                    </w:rPr>
                  </w:pPr>
                  <w:r>
                    <w:rPr>
                      <w:sz w:val="21"/>
                      <w:szCs w:val="21"/>
                    </w:rPr>
                    <w:t>备注</w:t>
                  </w:r>
                </w:p>
              </w:tc>
            </w:tr>
            <w:tr w14:paraId="21A7634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99" w:type="pct"/>
                  <w:tcBorders>
                    <w:tl2br w:val="nil"/>
                    <w:tr2bl w:val="nil"/>
                  </w:tcBorders>
                  <w:vAlign w:val="center"/>
                </w:tcPr>
                <w:p w14:paraId="43CFE2A0">
                  <w:pPr>
                    <w:spacing w:line="240" w:lineRule="auto"/>
                    <w:ind w:firstLine="0" w:firstLineChars="0"/>
                    <w:jc w:val="center"/>
                    <w:rPr>
                      <w:sz w:val="21"/>
                      <w:szCs w:val="21"/>
                    </w:rPr>
                  </w:pPr>
                  <w:r>
                    <w:rPr>
                      <w:sz w:val="21"/>
                      <w:szCs w:val="21"/>
                    </w:rPr>
                    <w:t>1</w:t>
                  </w:r>
                </w:p>
              </w:tc>
              <w:tc>
                <w:tcPr>
                  <w:tcW w:w="1025" w:type="pct"/>
                  <w:tcBorders>
                    <w:tl2br w:val="nil"/>
                    <w:tr2bl w:val="nil"/>
                  </w:tcBorders>
                  <w:vAlign w:val="center"/>
                </w:tcPr>
                <w:p w14:paraId="7FD44812">
                  <w:pPr>
                    <w:spacing w:line="240" w:lineRule="auto"/>
                    <w:ind w:firstLine="0" w:firstLineChars="0"/>
                    <w:jc w:val="center"/>
                    <w:rPr>
                      <w:sz w:val="21"/>
                      <w:szCs w:val="21"/>
                    </w:rPr>
                  </w:pPr>
                  <w:r>
                    <w:rPr>
                      <w:sz w:val="21"/>
                      <w:szCs w:val="21"/>
                    </w:rPr>
                    <w:t>混合搅拌机</w:t>
                  </w:r>
                </w:p>
              </w:tc>
              <w:tc>
                <w:tcPr>
                  <w:tcW w:w="1244" w:type="pct"/>
                  <w:tcBorders>
                    <w:tl2br w:val="nil"/>
                    <w:tr2bl w:val="nil"/>
                  </w:tcBorders>
                  <w:vAlign w:val="center"/>
                </w:tcPr>
                <w:p w14:paraId="41DABB49">
                  <w:pPr>
                    <w:spacing w:line="240" w:lineRule="auto"/>
                    <w:ind w:firstLine="0" w:firstLineChars="0"/>
                    <w:jc w:val="center"/>
                    <w:rPr>
                      <w:sz w:val="21"/>
                      <w:szCs w:val="21"/>
                    </w:rPr>
                  </w:pPr>
                  <w:r>
                    <w:rPr>
                      <w:sz w:val="21"/>
                      <w:szCs w:val="21"/>
                    </w:rPr>
                    <w:t>5</w:t>
                  </w:r>
                  <w:r>
                    <w:rPr>
                      <w:snapToGrid w:val="0"/>
                      <w:kern w:val="0"/>
                      <w:sz w:val="21"/>
                      <w:szCs w:val="21"/>
                    </w:rPr>
                    <w:t>m³</w:t>
                  </w:r>
                </w:p>
              </w:tc>
              <w:tc>
                <w:tcPr>
                  <w:tcW w:w="552" w:type="pct"/>
                  <w:tcBorders>
                    <w:tl2br w:val="nil"/>
                    <w:tr2bl w:val="nil"/>
                  </w:tcBorders>
                  <w:vAlign w:val="center"/>
                </w:tcPr>
                <w:p w14:paraId="17B680D2">
                  <w:pPr>
                    <w:spacing w:line="240" w:lineRule="auto"/>
                    <w:ind w:firstLine="0" w:firstLineChars="0"/>
                    <w:jc w:val="center"/>
                    <w:rPr>
                      <w:sz w:val="21"/>
                      <w:szCs w:val="21"/>
                    </w:rPr>
                  </w:pPr>
                  <w:r>
                    <w:rPr>
                      <w:sz w:val="21"/>
                      <w:szCs w:val="21"/>
                    </w:rPr>
                    <w:t>台</w:t>
                  </w:r>
                </w:p>
              </w:tc>
              <w:tc>
                <w:tcPr>
                  <w:tcW w:w="477" w:type="pct"/>
                  <w:tcBorders>
                    <w:tl2br w:val="nil"/>
                    <w:tr2bl w:val="nil"/>
                  </w:tcBorders>
                  <w:vAlign w:val="center"/>
                </w:tcPr>
                <w:p w14:paraId="4028132F">
                  <w:pPr>
                    <w:spacing w:line="240" w:lineRule="auto"/>
                    <w:ind w:firstLine="0" w:firstLineChars="0"/>
                    <w:jc w:val="center"/>
                    <w:rPr>
                      <w:sz w:val="21"/>
                      <w:szCs w:val="21"/>
                    </w:rPr>
                  </w:pPr>
                  <w:r>
                    <w:rPr>
                      <w:sz w:val="21"/>
                      <w:szCs w:val="21"/>
                    </w:rPr>
                    <w:t>2</w:t>
                  </w:r>
                </w:p>
              </w:tc>
              <w:tc>
                <w:tcPr>
                  <w:tcW w:w="1200" w:type="pct"/>
                  <w:tcBorders>
                    <w:tl2br w:val="nil"/>
                    <w:tr2bl w:val="nil"/>
                  </w:tcBorders>
                  <w:vAlign w:val="center"/>
                </w:tcPr>
                <w:p w14:paraId="3A9B68BC">
                  <w:pPr>
                    <w:spacing w:line="240" w:lineRule="auto"/>
                    <w:ind w:firstLine="0" w:firstLineChars="0"/>
                    <w:jc w:val="center"/>
                    <w:rPr>
                      <w:sz w:val="21"/>
                      <w:szCs w:val="21"/>
                    </w:rPr>
                  </w:pPr>
                  <w:r>
                    <w:rPr>
                      <w:sz w:val="21"/>
                      <w:szCs w:val="21"/>
                    </w:rPr>
                    <w:t>新增</w:t>
                  </w:r>
                </w:p>
              </w:tc>
            </w:tr>
            <w:tr w14:paraId="6983B3B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99" w:type="pct"/>
                  <w:tcBorders>
                    <w:tl2br w:val="nil"/>
                    <w:tr2bl w:val="nil"/>
                  </w:tcBorders>
                  <w:vAlign w:val="center"/>
                </w:tcPr>
                <w:p w14:paraId="5A55E3DE">
                  <w:pPr>
                    <w:spacing w:line="240" w:lineRule="auto"/>
                    <w:ind w:firstLine="0" w:firstLineChars="0"/>
                    <w:jc w:val="center"/>
                    <w:rPr>
                      <w:sz w:val="21"/>
                      <w:szCs w:val="21"/>
                    </w:rPr>
                  </w:pPr>
                  <w:r>
                    <w:rPr>
                      <w:sz w:val="21"/>
                      <w:szCs w:val="21"/>
                    </w:rPr>
                    <w:t>2</w:t>
                  </w:r>
                </w:p>
              </w:tc>
              <w:tc>
                <w:tcPr>
                  <w:tcW w:w="1025" w:type="pct"/>
                  <w:tcBorders>
                    <w:tl2br w:val="nil"/>
                    <w:tr2bl w:val="nil"/>
                  </w:tcBorders>
                  <w:vAlign w:val="center"/>
                </w:tcPr>
                <w:p w14:paraId="2F4D93FD">
                  <w:pPr>
                    <w:spacing w:line="240" w:lineRule="auto"/>
                    <w:ind w:firstLine="0" w:firstLineChars="0"/>
                    <w:jc w:val="center"/>
                    <w:rPr>
                      <w:sz w:val="21"/>
                      <w:szCs w:val="21"/>
                    </w:rPr>
                  </w:pPr>
                  <w:r>
                    <w:rPr>
                      <w:sz w:val="21"/>
                      <w:szCs w:val="21"/>
                    </w:rPr>
                    <w:t>EPS发泡机</w:t>
                  </w:r>
                </w:p>
              </w:tc>
              <w:tc>
                <w:tcPr>
                  <w:tcW w:w="1244" w:type="pct"/>
                  <w:tcBorders>
                    <w:tl2br w:val="nil"/>
                    <w:tr2bl w:val="nil"/>
                  </w:tcBorders>
                  <w:vAlign w:val="center"/>
                </w:tcPr>
                <w:p w14:paraId="27C29B07">
                  <w:pPr>
                    <w:spacing w:line="240" w:lineRule="auto"/>
                    <w:ind w:firstLine="0" w:firstLineChars="0"/>
                    <w:jc w:val="center"/>
                    <w:rPr>
                      <w:sz w:val="21"/>
                      <w:szCs w:val="21"/>
                    </w:rPr>
                  </w:pPr>
                  <w:r>
                    <w:rPr>
                      <w:sz w:val="21"/>
                      <w:szCs w:val="21"/>
                    </w:rPr>
                    <w:t>160</w:t>
                  </w:r>
                </w:p>
              </w:tc>
              <w:tc>
                <w:tcPr>
                  <w:tcW w:w="552" w:type="pct"/>
                  <w:tcBorders>
                    <w:tl2br w:val="nil"/>
                    <w:tr2bl w:val="nil"/>
                  </w:tcBorders>
                  <w:vAlign w:val="center"/>
                </w:tcPr>
                <w:p w14:paraId="0915DF94">
                  <w:pPr>
                    <w:spacing w:line="240" w:lineRule="auto"/>
                    <w:ind w:firstLine="0" w:firstLineChars="0"/>
                    <w:jc w:val="center"/>
                    <w:rPr>
                      <w:sz w:val="21"/>
                      <w:szCs w:val="21"/>
                    </w:rPr>
                  </w:pPr>
                  <w:r>
                    <w:rPr>
                      <w:sz w:val="21"/>
                      <w:szCs w:val="21"/>
                    </w:rPr>
                    <w:t>台</w:t>
                  </w:r>
                </w:p>
              </w:tc>
              <w:tc>
                <w:tcPr>
                  <w:tcW w:w="477" w:type="pct"/>
                  <w:tcBorders>
                    <w:tl2br w:val="nil"/>
                    <w:tr2bl w:val="nil"/>
                  </w:tcBorders>
                  <w:vAlign w:val="center"/>
                </w:tcPr>
                <w:p w14:paraId="3E05C5A4">
                  <w:pPr>
                    <w:spacing w:line="240" w:lineRule="auto"/>
                    <w:ind w:firstLine="0" w:firstLineChars="0"/>
                    <w:jc w:val="center"/>
                    <w:rPr>
                      <w:sz w:val="21"/>
                      <w:szCs w:val="21"/>
                    </w:rPr>
                  </w:pPr>
                  <w:r>
                    <w:rPr>
                      <w:sz w:val="21"/>
                      <w:szCs w:val="21"/>
                    </w:rPr>
                    <w:t>2</w:t>
                  </w:r>
                </w:p>
              </w:tc>
              <w:tc>
                <w:tcPr>
                  <w:tcW w:w="1200" w:type="pct"/>
                  <w:tcBorders>
                    <w:tl2br w:val="nil"/>
                    <w:tr2bl w:val="nil"/>
                  </w:tcBorders>
                  <w:vAlign w:val="center"/>
                </w:tcPr>
                <w:p w14:paraId="510A8345">
                  <w:pPr>
                    <w:spacing w:line="240" w:lineRule="auto"/>
                    <w:ind w:firstLine="0" w:firstLineChars="0"/>
                    <w:jc w:val="center"/>
                    <w:rPr>
                      <w:sz w:val="21"/>
                      <w:szCs w:val="21"/>
                    </w:rPr>
                  </w:pPr>
                  <w:r>
                    <w:rPr>
                      <w:sz w:val="21"/>
                      <w:szCs w:val="21"/>
                    </w:rPr>
                    <w:t>新增</w:t>
                  </w:r>
                </w:p>
              </w:tc>
            </w:tr>
            <w:tr w14:paraId="1676E15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tcBorders>
                    <w:tl2br w:val="nil"/>
                    <w:tr2bl w:val="nil"/>
                  </w:tcBorders>
                  <w:vAlign w:val="center"/>
                </w:tcPr>
                <w:p w14:paraId="611060B9">
                  <w:pPr>
                    <w:spacing w:line="240" w:lineRule="auto"/>
                    <w:ind w:firstLine="0" w:firstLineChars="0"/>
                    <w:jc w:val="center"/>
                    <w:rPr>
                      <w:sz w:val="21"/>
                      <w:szCs w:val="21"/>
                    </w:rPr>
                  </w:pPr>
                  <w:r>
                    <w:rPr>
                      <w:sz w:val="21"/>
                      <w:szCs w:val="21"/>
                    </w:rPr>
                    <w:t>3</w:t>
                  </w:r>
                </w:p>
              </w:tc>
              <w:tc>
                <w:tcPr>
                  <w:tcW w:w="1025" w:type="pct"/>
                  <w:tcBorders>
                    <w:tl2br w:val="nil"/>
                    <w:tr2bl w:val="nil"/>
                  </w:tcBorders>
                  <w:vAlign w:val="center"/>
                </w:tcPr>
                <w:p w14:paraId="16B0F506">
                  <w:pPr>
                    <w:spacing w:line="240" w:lineRule="auto"/>
                    <w:ind w:firstLine="0" w:firstLineChars="0"/>
                    <w:jc w:val="center"/>
                    <w:rPr>
                      <w:sz w:val="21"/>
                      <w:szCs w:val="21"/>
                    </w:rPr>
                  </w:pPr>
                  <w:r>
                    <w:rPr>
                      <w:sz w:val="21"/>
                      <w:szCs w:val="21"/>
                    </w:rPr>
                    <w:t>自动切割机</w:t>
                  </w:r>
                </w:p>
              </w:tc>
              <w:tc>
                <w:tcPr>
                  <w:tcW w:w="1244" w:type="pct"/>
                  <w:tcBorders>
                    <w:tl2br w:val="nil"/>
                    <w:tr2bl w:val="nil"/>
                  </w:tcBorders>
                  <w:vAlign w:val="center"/>
                </w:tcPr>
                <w:p w14:paraId="0744A189">
                  <w:pPr>
                    <w:spacing w:line="240" w:lineRule="auto"/>
                    <w:ind w:firstLine="0" w:firstLineChars="0"/>
                    <w:jc w:val="center"/>
                    <w:rPr>
                      <w:sz w:val="21"/>
                      <w:szCs w:val="21"/>
                    </w:rPr>
                  </w:pPr>
                  <w:r>
                    <w:rPr>
                      <w:sz w:val="21"/>
                      <w:szCs w:val="21"/>
                    </w:rPr>
                    <w:t>/</w:t>
                  </w:r>
                </w:p>
              </w:tc>
              <w:tc>
                <w:tcPr>
                  <w:tcW w:w="552" w:type="pct"/>
                  <w:tcBorders>
                    <w:tl2br w:val="nil"/>
                    <w:tr2bl w:val="nil"/>
                  </w:tcBorders>
                  <w:vAlign w:val="center"/>
                </w:tcPr>
                <w:p w14:paraId="5E0CD46C">
                  <w:pPr>
                    <w:spacing w:line="240" w:lineRule="auto"/>
                    <w:ind w:firstLine="0" w:firstLineChars="0"/>
                    <w:jc w:val="center"/>
                    <w:rPr>
                      <w:sz w:val="21"/>
                      <w:szCs w:val="21"/>
                    </w:rPr>
                  </w:pPr>
                  <w:r>
                    <w:rPr>
                      <w:sz w:val="21"/>
                      <w:szCs w:val="21"/>
                    </w:rPr>
                    <w:t>台</w:t>
                  </w:r>
                </w:p>
              </w:tc>
              <w:tc>
                <w:tcPr>
                  <w:tcW w:w="477" w:type="pct"/>
                  <w:tcBorders>
                    <w:tl2br w:val="nil"/>
                    <w:tr2bl w:val="nil"/>
                  </w:tcBorders>
                  <w:vAlign w:val="center"/>
                </w:tcPr>
                <w:p w14:paraId="3D8EEB31">
                  <w:pPr>
                    <w:spacing w:line="240" w:lineRule="auto"/>
                    <w:ind w:firstLine="0" w:firstLineChars="0"/>
                    <w:jc w:val="center"/>
                    <w:rPr>
                      <w:sz w:val="21"/>
                      <w:szCs w:val="21"/>
                    </w:rPr>
                  </w:pPr>
                  <w:r>
                    <w:rPr>
                      <w:sz w:val="21"/>
                      <w:szCs w:val="21"/>
                    </w:rPr>
                    <w:t>1</w:t>
                  </w:r>
                </w:p>
              </w:tc>
              <w:tc>
                <w:tcPr>
                  <w:tcW w:w="1200" w:type="pct"/>
                  <w:tcBorders>
                    <w:tl2br w:val="nil"/>
                    <w:tr2bl w:val="nil"/>
                  </w:tcBorders>
                  <w:vAlign w:val="center"/>
                </w:tcPr>
                <w:p w14:paraId="481E66F6">
                  <w:pPr>
                    <w:spacing w:line="240" w:lineRule="auto"/>
                    <w:ind w:firstLine="0" w:firstLineChars="0"/>
                    <w:jc w:val="center"/>
                    <w:rPr>
                      <w:sz w:val="21"/>
                      <w:szCs w:val="21"/>
                    </w:rPr>
                  </w:pPr>
                  <w:r>
                    <w:rPr>
                      <w:sz w:val="21"/>
                      <w:szCs w:val="21"/>
                    </w:rPr>
                    <w:t>配有除尘系统</w:t>
                  </w:r>
                </w:p>
              </w:tc>
            </w:tr>
            <w:tr w14:paraId="5928D5C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tcBorders>
                    <w:tl2br w:val="nil"/>
                    <w:tr2bl w:val="nil"/>
                  </w:tcBorders>
                  <w:vAlign w:val="center"/>
                </w:tcPr>
                <w:p w14:paraId="5F18FC43">
                  <w:pPr>
                    <w:spacing w:line="240" w:lineRule="auto"/>
                    <w:ind w:firstLine="0" w:firstLineChars="0"/>
                    <w:jc w:val="center"/>
                    <w:rPr>
                      <w:sz w:val="21"/>
                      <w:szCs w:val="21"/>
                    </w:rPr>
                  </w:pPr>
                  <w:r>
                    <w:rPr>
                      <w:sz w:val="21"/>
                      <w:szCs w:val="21"/>
                    </w:rPr>
                    <w:t>4</w:t>
                  </w:r>
                </w:p>
              </w:tc>
              <w:tc>
                <w:tcPr>
                  <w:tcW w:w="1025" w:type="pct"/>
                  <w:tcBorders>
                    <w:tl2br w:val="nil"/>
                    <w:tr2bl w:val="nil"/>
                  </w:tcBorders>
                  <w:vAlign w:val="center"/>
                </w:tcPr>
                <w:p w14:paraId="1EFE28F1">
                  <w:pPr>
                    <w:spacing w:line="240" w:lineRule="auto"/>
                    <w:ind w:firstLine="0" w:firstLineChars="0"/>
                    <w:jc w:val="center"/>
                    <w:rPr>
                      <w:sz w:val="21"/>
                      <w:szCs w:val="21"/>
                    </w:rPr>
                  </w:pPr>
                  <w:bookmarkStart w:id="3" w:name="_Hlk95814473"/>
                  <w:r>
                    <w:rPr>
                      <w:sz w:val="21"/>
                      <w:szCs w:val="21"/>
                    </w:rPr>
                    <w:t>生物质蒸汽发生器</w:t>
                  </w:r>
                  <w:bookmarkEnd w:id="3"/>
                </w:p>
              </w:tc>
              <w:tc>
                <w:tcPr>
                  <w:tcW w:w="1244" w:type="pct"/>
                  <w:tcBorders>
                    <w:tl2br w:val="nil"/>
                    <w:tr2bl w:val="nil"/>
                  </w:tcBorders>
                  <w:vAlign w:val="center"/>
                </w:tcPr>
                <w:p w14:paraId="2464D49D">
                  <w:pPr>
                    <w:spacing w:line="240" w:lineRule="auto"/>
                    <w:ind w:firstLine="0" w:firstLineChars="0"/>
                    <w:jc w:val="center"/>
                    <w:rPr>
                      <w:sz w:val="21"/>
                      <w:szCs w:val="21"/>
                    </w:rPr>
                  </w:pPr>
                  <w:bookmarkStart w:id="4" w:name="_Hlk95814481"/>
                  <w:r>
                    <w:rPr>
                      <w:sz w:val="21"/>
                      <w:szCs w:val="21"/>
                    </w:rPr>
                    <w:t>SWZQ-GH08-2000</w:t>
                  </w:r>
                  <w:bookmarkEnd w:id="4"/>
                </w:p>
              </w:tc>
              <w:tc>
                <w:tcPr>
                  <w:tcW w:w="552" w:type="pct"/>
                  <w:tcBorders>
                    <w:tl2br w:val="nil"/>
                    <w:tr2bl w:val="nil"/>
                  </w:tcBorders>
                  <w:vAlign w:val="center"/>
                </w:tcPr>
                <w:p w14:paraId="7485BD2D">
                  <w:pPr>
                    <w:spacing w:line="240" w:lineRule="auto"/>
                    <w:ind w:firstLine="0" w:firstLineChars="0"/>
                    <w:jc w:val="center"/>
                    <w:rPr>
                      <w:sz w:val="21"/>
                      <w:szCs w:val="21"/>
                    </w:rPr>
                  </w:pPr>
                  <w:r>
                    <w:rPr>
                      <w:sz w:val="21"/>
                      <w:szCs w:val="21"/>
                    </w:rPr>
                    <w:t>台</w:t>
                  </w:r>
                </w:p>
              </w:tc>
              <w:tc>
                <w:tcPr>
                  <w:tcW w:w="477" w:type="pct"/>
                  <w:tcBorders>
                    <w:tl2br w:val="nil"/>
                    <w:tr2bl w:val="nil"/>
                  </w:tcBorders>
                  <w:vAlign w:val="center"/>
                </w:tcPr>
                <w:p w14:paraId="105C979F">
                  <w:pPr>
                    <w:spacing w:line="240" w:lineRule="auto"/>
                    <w:ind w:firstLine="0" w:firstLineChars="0"/>
                    <w:jc w:val="center"/>
                    <w:rPr>
                      <w:sz w:val="21"/>
                      <w:szCs w:val="21"/>
                    </w:rPr>
                  </w:pPr>
                  <w:r>
                    <w:rPr>
                      <w:sz w:val="21"/>
                      <w:szCs w:val="21"/>
                    </w:rPr>
                    <w:t>1</w:t>
                  </w:r>
                </w:p>
              </w:tc>
              <w:tc>
                <w:tcPr>
                  <w:tcW w:w="1200" w:type="pct"/>
                  <w:tcBorders>
                    <w:tl2br w:val="nil"/>
                    <w:tr2bl w:val="nil"/>
                  </w:tcBorders>
                  <w:vAlign w:val="center"/>
                </w:tcPr>
                <w:p w14:paraId="032B2238">
                  <w:pPr>
                    <w:spacing w:line="240" w:lineRule="auto"/>
                    <w:ind w:firstLine="0" w:firstLineChars="0"/>
                    <w:jc w:val="center"/>
                    <w:rPr>
                      <w:sz w:val="21"/>
                      <w:szCs w:val="21"/>
                    </w:rPr>
                  </w:pPr>
                  <w:r>
                    <w:rPr>
                      <w:sz w:val="21"/>
                      <w:szCs w:val="21"/>
                    </w:rPr>
                    <w:t>新增</w:t>
                  </w:r>
                </w:p>
              </w:tc>
            </w:tr>
            <w:tr w14:paraId="6BF4049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tcBorders>
                    <w:tl2br w:val="nil"/>
                    <w:tr2bl w:val="nil"/>
                  </w:tcBorders>
                  <w:vAlign w:val="center"/>
                </w:tcPr>
                <w:p w14:paraId="2218F459">
                  <w:pPr>
                    <w:spacing w:line="240" w:lineRule="auto"/>
                    <w:ind w:firstLine="0" w:firstLineChars="0"/>
                    <w:jc w:val="center"/>
                    <w:rPr>
                      <w:sz w:val="21"/>
                      <w:szCs w:val="21"/>
                    </w:rPr>
                  </w:pPr>
                  <w:r>
                    <w:rPr>
                      <w:sz w:val="21"/>
                      <w:szCs w:val="21"/>
                    </w:rPr>
                    <w:t>5</w:t>
                  </w:r>
                </w:p>
              </w:tc>
              <w:tc>
                <w:tcPr>
                  <w:tcW w:w="1025" w:type="pct"/>
                  <w:tcBorders>
                    <w:tl2br w:val="nil"/>
                    <w:tr2bl w:val="nil"/>
                  </w:tcBorders>
                </w:tcPr>
                <w:p w14:paraId="2D6C732E">
                  <w:pPr>
                    <w:spacing w:line="240" w:lineRule="auto"/>
                    <w:ind w:firstLine="0" w:firstLineChars="0"/>
                    <w:jc w:val="center"/>
                    <w:rPr>
                      <w:sz w:val="21"/>
                      <w:szCs w:val="21"/>
                    </w:rPr>
                  </w:pPr>
                  <w:r>
                    <w:rPr>
                      <w:sz w:val="21"/>
                      <w:szCs w:val="21"/>
                    </w:rPr>
                    <w:t>压膜机</w:t>
                  </w:r>
                </w:p>
              </w:tc>
              <w:tc>
                <w:tcPr>
                  <w:tcW w:w="1244" w:type="pct"/>
                  <w:tcBorders>
                    <w:tl2br w:val="nil"/>
                    <w:tr2bl w:val="nil"/>
                  </w:tcBorders>
                  <w:vAlign w:val="center"/>
                </w:tcPr>
                <w:p w14:paraId="24E4D868">
                  <w:pPr>
                    <w:spacing w:line="240" w:lineRule="auto"/>
                    <w:ind w:firstLine="0" w:firstLineChars="0"/>
                    <w:jc w:val="center"/>
                    <w:rPr>
                      <w:sz w:val="21"/>
                      <w:szCs w:val="21"/>
                    </w:rPr>
                  </w:pPr>
                  <w:r>
                    <w:rPr>
                      <w:sz w:val="21"/>
                      <w:szCs w:val="21"/>
                    </w:rPr>
                    <w:t>2400*1200*600</w:t>
                  </w:r>
                </w:p>
              </w:tc>
              <w:tc>
                <w:tcPr>
                  <w:tcW w:w="552" w:type="pct"/>
                  <w:tcBorders>
                    <w:tl2br w:val="nil"/>
                    <w:tr2bl w:val="nil"/>
                  </w:tcBorders>
                  <w:vAlign w:val="center"/>
                </w:tcPr>
                <w:p w14:paraId="5C08C7C9">
                  <w:pPr>
                    <w:spacing w:line="240" w:lineRule="auto"/>
                    <w:ind w:firstLine="0" w:firstLineChars="0"/>
                    <w:jc w:val="center"/>
                    <w:rPr>
                      <w:sz w:val="21"/>
                      <w:szCs w:val="21"/>
                    </w:rPr>
                  </w:pPr>
                  <w:r>
                    <w:rPr>
                      <w:sz w:val="21"/>
                      <w:szCs w:val="21"/>
                    </w:rPr>
                    <w:t>台</w:t>
                  </w:r>
                </w:p>
              </w:tc>
              <w:tc>
                <w:tcPr>
                  <w:tcW w:w="477" w:type="pct"/>
                  <w:tcBorders>
                    <w:tl2br w:val="nil"/>
                    <w:tr2bl w:val="nil"/>
                  </w:tcBorders>
                  <w:vAlign w:val="center"/>
                </w:tcPr>
                <w:p w14:paraId="332E6497">
                  <w:pPr>
                    <w:spacing w:line="240" w:lineRule="auto"/>
                    <w:ind w:firstLine="0" w:firstLineChars="0"/>
                    <w:jc w:val="center"/>
                    <w:rPr>
                      <w:sz w:val="21"/>
                      <w:szCs w:val="21"/>
                    </w:rPr>
                  </w:pPr>
                  <w:r>
                    <w:rPr>
                      <w:sz w:val="21"/>
                      <w:szCs w:val="21"/>
                    </w:rPr>
                    <w:t>1</w:t>
                  </w:r>
                </w:p>
              </w:tc>
              <w:tc>
                <w:tcPr>
                  <w:tcW w:w="1200" w:type="pct"/>
                  <w:tcBorders>
                    <w:tl2br w:val="nil"/>
                    <w:tr2bl w:val="nil"/>
                  </w:tcBorders>
                  <w:vAlign w:val="center"/>
                </w:tcPr>
                <w:p w14:paraId="50C3FB78">
                  <w:pPr>
                    <w:spacing w:line="240" w:lineRule="auto"/>
                    <w:ind w:firstLine="0" w:firstLineChars="0"/>
                    <w:jc w:val="center"/>
                    <w:rPr>
                      <w:sz w:val="21"/>
                      <w:szCs w:val="21"/>
                    </w:rPr>
                  </w:pPr>
                  <w:r>
                    <w:rPr>
                      <w:sz w:val="21"/>
                      <w:szCs w:val="21"/>
                    </w:rPr>
                    <w:t>新增</w:t>
                  </w:r>
                </w:p>
              </w:tc>
            </w:tr>
            <w:tr w14:paraId="15E4571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tcBorders>
                    <w:tl2br w:val="nil"/>
                    <w:tr2bl w:val="nil"/>
                  </w:tcBorders>
                  <w:vAlign w:val="center"/>
                </w:tcPr>
                <w:p w14:paraId="3F97252B">
                  <w:pPr>
                    <w:spacing w:line="240" w:lineRule="auto"/>
                    <w:ind w:firstLine="0" w:firstLineChars="0"/>
                    <w:jc w:val="center"/>
                    <w:rPr>
                      <w:sz w:val="21"/>
                      <w:szCs w:val="21"/>
                    </w:rPr>
                  </w:pPr>
                  <w:r>
                    <w:rPr>
                      <w:sz w:val="21"/>
                      <w:szCs w:val="21"/>
                    </w:rPr>
                    <w:t>6</w:t>
                  </w:r>
                </w:p>
              </w:tc>
              <w:tc>
                <w:tcPr>
                  <w:tcW w:w="1025" w:type="pct"/>
                  <w:tcBorders>
                    <w:tl2br w:val="nil"/>
                    <w:tr2bl w:val="nil"/>
                  </w:tcBorders>
                </w:tcPr>
                <w:p w14:paraId="64B4931A">
                  <w:pPr>
                    <w:spacing w:line="240" w:lineRule="auto"/>
                    <w:ind w:firstLine="0" w:firstLineChars="0"/>
                    <w:jc w:val="center"/>
                    <w:rPr>
                      <w:sz w:val="21"/>
                      <w:szCs w:val="21"/>
                    </w:rPr>
                  </w:pPr>
                  <w:r>
                    <w:rPr>
                      <w:sz w:val="21"/>
                      <w:szCs w:val="21"/>
                    </w:rPr>
                    <w:t>脱模机</w:t>
                  </w:r>
                </w:p>
              </w:tc>
              <w:tc>
                <w:tcPr>
                  <w:tcW w:w="1244" w:type="pct"/>
                  <w:tcBorders>
                    <w:tl2br w:val="nil"/>
                    <w:tr2bl w:val="nil"/>
                  </w:tcBorders>
                  <w:vAlign w:val="center"/>
                </w:tcPr>
                <w:p w14:paraId="74492348">
                  <w:pPr>
                    <w:spacing w:line="240" w:lineRule="auto"/>
                    <w:ind w:firstLine="0" w:firstLineChars="0"/>
                    <w:jc w:val="center"/>
                    <w:rPr>
                      <w:sz w:val="21"/>
                      <w:szCs w:val="21"/>
                    </w:rPr>
                  </w:pPr>
                  <w:r>
                    <w:rPr>
                      <w:sz w:val="21"/>
                      <w:szCs w:val="21"/>
                    </w:rPr>
                    <w:t>2400*1200*600</w:t>
                  </w:r>
                </w:p>
              </w:tc>
              <w:tc>
                <w:tcPr>
                  <w:tcW w:w="552" w:type="pct"/>
                  <w:tcBorders>
                    <w:tl2br w:val="nil"/>
                    <w:tr2bl w:val="nil"/>
                  </w:tcBorders>
                  <w:vAlign w:val="center"/>
                </w:tcPr>
                <w:p w14:paraId="25B0EA7B">
                  <w:pPr>
                    <w:spacing w:line="240" w:lineRule="auto"/>
                    <w:ind w:firstLine="0" w:firstLineChars="0"/>
                    <w:jc w:val="center"/>
                    <w:rPr>
                      <w:sz w:val="21"/>
                      <w:szCs w:val="21"/>
                    </w:rPr>
                  </w:pPr>
                  <w:r>
                    <w:rPr>
                      <w:sz w:val="21"/>
                      <w:szCs w:val="21"/>
                    </w:rPr>
                    <w:t>台</w:t>
                  </w:r>
                </w:p>
              </w:tc>
              <w:tc>
                <w:tcPr>
                  <w:tcW w:w="477" w:type="pct"/>
                  <w:tcBorders>
                    <w:tl2br w:val="nil"/>
                    <w:tr2bl w:val="nil"/>
                  </w:tcBorders>
                  <w:vAlign w:val="center"/>
                </w:tcPr>
                <w:p w14:paraId="46F255A7">
                  <w:pPr>
                    <w:spacing w:line="240" w:lineRule="auto"/>
                    <w:ind w:firstLine="0" w:firstLineChars="0"/>
                    <w:jc w:val="center"/>
                    <w:rPr>
                      <w:sz w:val="21"/>
                      <w:szCs w:val="21"/>
                    </w:rPr>
                  </w:pPr>
                  <w:r>
                    <w:rPr>
                      <w:sz w:val="21"/>
                      <w:szCs w:val="21"/>
                    </w:rPr>
                    <w:t>1</w:t>
                  </w:r>
                </w:p>
              </w:tc>
              <w:tc>
                <w:tcPr>
                  <w:tcW w:w="1200" w:type="pct"/>
                  <w:tcBorders>
                    <w:tl2br w:val="nil"/>
                    <w:tr2bl w:val="nil"/>
                  </w:tcBorders>
                  <w:vAlign w:val="center"/>
                </w:tcPr>
                <w:p w14:paraId="38378226">
                  <w:pPr>
                    <w:spacing w:line="240" w:lineRule="auto"/>
                    <w:ind w:firstLine="0" w:firstLineChars="0"/>
                    <w:jc w:val="center"/>
                    <w:rPr>
                      <w:sz w:val="21"/>
                      <w:szCs w:val="21"/>
                    </w:rPr>
                  </w:pPr>
                  <w:r>
                    <w:rPr>
                      <w:sz w:val="21"/>
                      <w:szCs w:val="21"/>
                    </w:rPr>
                    <w:t>新增</w:t>
                  </w:r>
                </w:p>
              </w:tc>
            </w:tr>
            <w:tr w14:paraId="067B509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tcBorders>
                    <w:tl2br w:val="nil"/>
                    <w:tr2bl w:val="nil"/>
                  </w:tcBorders>
                  <w:vAlign w:val="center"/>
                </w:tcPr>
                <w:p w14:paraId="05EC9C9F">
                  <w:pPr>
                    <w:spacing w:line="240" w:lineRule="auto"/>
                    <w:ind w:firstLine="0" w:firstLineChars="0"/>
                    <w:jc w:val="center"/>
                    <w:rPr>
                      <w:sz w:val="21"/>
                      <w:szCs w:val="21"/>
                    </w:rPr>
                  </w:pPr>
                  <w:r>
                    <w:rPr>
                      <w:sz w:val="21"/>
                      <w:szCs w:val="21"/>
                    </w:rPr>
                    <w:t>7</w:t>
                  </w:r>
                </w:p>
              </w:tc>
              <w:tc>
                <w:tcPr>
                  <w:tcW w:w="1025" w:type="pct"/>
                  <w:tcBorders>
                    <w:tl2br w:val="nil"/>
                    <w:tr2bl w:val="nil"/>
                  </w:tcBorders>
                </w:tcPr>
                <w:p w14:paraId="371EB18F">
                  <w:pPr>
                    <w:spacing w:line="240" w:lineRule="auto"/>
                    <w:ind w:firstLine="0" w:firstLineChars="0"/>
                    <w:jc w:val="center"/>
                    <w:rPr>
                      <w:sz w:val="21"/>
                      <w:szCs w:val="21"/>
                    </w:rPr>
                  </w:pPr>
                  <w:r>
                    <w:rPr>
                      <w:sz w:val="21"/>
                      <w:szCs w:val="21"/>
                    </w:rPr>
                    <w:t>浆料输送泵</w:t>
                  </w:r>
                </w:p>
              </w:tc>
              <w:tc>
                <w:tcPr>
                  <w:tcW w:w="1244" w:type="pct"/>
                  <w:tcBorders>
                    <w:tl2br w:val="nil"/>
                    <w:tr2bl w:val="nil"/>
                  </w:tcBorders>
                  <w:vAlign w:val="center"/>
                </w:tcPr>
                <w:p w14:paraId="1ABFC5E5">
                  <w:pPr>
                    <w:spacing w:line="240" w:lineRule="auto"/>
                    <w:ind w:firstLine="0" w:firstLineChars="0"/>
                    <w:jc w:val="center"/>
                    <w:rPr>
                      <w:sz w:val="21"/>
                      <w:szCs w:val="21"/>
                    </w:rPr>
                  </w:pPr>
                  <w:r>
                    <w:rPr>
                      <w:sz w:val="21"/>
                      <w:szCs w:val="21"/>
                    </w:rPr>
                    <w:t>220V</w:t>
                  </w:r>
                </w:p>
              </w:tc>
              <w:tc>
                <w:tcPr>
                  <w:tcW w:w="552" w:type="pct"/>
                  <w:tcBorders>
                    <w:tl2br w:val="nil"/>
                    <w:tr2bl w:val="nil"/>
                  </w:tcBorders>
                  <w:vAlign w:val="center"/>
                </w:tcPr>
                <w:p w14:paraId="1BFFA726">
                  <w:pPr>
                    <w:spacing w:line="240" w:lineRule="auto"/>
                    <w:ind w:firstLine="0" w:firstLineChars="0"/>
                    <w:jc w:val="center"/>
                    <w:rPr>
                      <w:sz w:val="21"/>
                      <w:szCs w:val="21"/>
                    </w:rPr>
                  </w:pPr>
                  <w:r>
                    <w:rPr>
                      <w:sz w:val="21"/>
                      <w:szCs w:val="21"/>
                    </w:rPr>
                    <w:t>台</w:t>
                  </w:r>
                </w:p>
              </w:tc>
              <w:tc>
                <w:tcPr>
                  <w:tcW w:w="477" w:type="pct"/>
                  <w:tcBorders>
                    <w:tl2br w:val="nil"/>
                    <w:tr2bl w:val="nil"/>
                  </w:tcBorders>
                  <w:vAlign w:val="center"/>
                </w:tcPr>
                <w:p w14:paraId="187CAA07">
                  <w:pPr>
                    <w:spacing w:line="240" w:lineRule="auto"/>
                    <w:ind w:firstLine="0" w:firstLineChars="0"/>
                    <w:jc w:val="center"/>
                    <w:rPr>
                      <w:sz w:val="21"/>
                      <w:szCs w:val="21"/>
                    </w:rPr>
                  </w:pPr>
                  <w:r>
                    <w:rPr>
                      <w:sz w:val="21"/>
                      <w:szCs w:val="21"/>
                    </w:rPr>
                    <w:t>1</w:t>
                  </w:r>
                </w:p>
              </w:tc>
              <w:tc>
                <w:tcPr>
                  <w:tcW w:w="1200" w:type="pct"/>
                  <w:tcBorders>
                    <w:tl2br w:val="nil"/>
                    <w:tr2bl w:val="nil"/>
                  </w:tcBorders>
                  <w:vAlign w:val="center"/>
                </w:tcPr>
                <w:p w14:paraId="6821B734">
                  <w:pPr>
                    <w:spacing w:line="240" w:lineRule="auto"/>
                    <w:ind w:firstLine="0" w:firstLineChars="0"/>
                    <w:jc w:val="center"/>
                    <w:rPr>
                      <w:sz w:val="21"/>
                      <w:szCs w:val="21"/>
                    </w:rPr>
                  </w:pPr>
                  <w:r>
                    <w:rPr>
                      <w:sz w:val="21"/>
                      <w:szCs w:val="21"/>
                    </w:rPr>
                    <w:t>新增</w:t>
                  </w:r>
                </w:p>
              </w:tc>
            </w:tr>
            <w:tr w14:paraId="07E1EB8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tcBorders>
                    <w:tl2br w:val="nil"/>
                    <w:tr2bl w:val="nil"/>
                  </w:tcBorders>
                  <w:vAlign w:val="center"/>
                </w:tcPr>
                <w:p w14:paraId="6EFCA2FD">
                  <w:pPr>
                    <w:spacing w:line="240" w:lineRule="auto"/>
                    <w:ind w:firstLine="0" w:firstLineChars="0"/>
                    <w:jc w:val="center"/>
                    <w:rPr>
                      <w:sz w:val="21"/>
                      <w:szCs w:val="21"/>
                    </w:rPr>
                  </w:pPr>
                  <w:r>
                    <w:rPr>
                      <w:sz w:val="21"/>
                      <w:szCs w:val="21"/>
                    </w:rPr>
                    <w:t>8</w:t>
                  </w:r>
                </w:p>
              </w:tc>
              <w:tc>
                <w:tcPr>
                  <w:tcW w:w="1025" w:type="pct"/>
                  <w:tcBorders>
                    <w:tl2br w:val="nil"/>
                    <w:tr2bl w:val="nil"/>
                  </w:tcBorders>
                </w:tcPr>
                <w:p w14:paraId="58279FE7">
                  <w:pPr>
                    <w:spacing w:line="240" w:lineRule="auto"/>
                    <w:ind w:firstLine="0" w:firstLineChars="0"/>
                    <w:jc w:val="center"/>
                    <w:rPr>
                      <w:sz w:val="21"/>
                      <w:szCs w:val="21"/>
                    </w:rPr>
                  </w:pPr>
                  <w:r>
                    <w:rPr>
                      <w:sz w:val="21"/>
                      <w:szCs w:val="21"/>
                    </w:rPr>
                    <w:t>软化水装置</w:t>
                  </w:r>
                </w:p>
              </w:tc>
              <w:tc>
                <w:tcPr>
                  <w:tcW w:w="1244" w:type="pct"/>
                  <w:tcBorders>
                    <w:tl2br w:val="nil"/>
                    <w:tr2bl w:val="nil"/>
                  </w:tcBorders>
                  <w:vAlign w:val="center"/>
                </w:tcPr>
                <w:p w14:paraId="48D15962">
                  <w:pPr>
                    <w:spacing w:line="240" w:lineRule="auto"/>
                    <w:ind w:firstLine="0" w:firstLineChars="0"/>
                    <w:jc w:val="center"/>
                    <w:rPr>
                      <w:sz w:val="21"/>
                      <w:szCs w:val="21"/>
                    </w:rPr>
                  </w:pPr>
                  <w:r>
                    <w:rPr>
                      <w:sz w:val="21"/>
                      <w:szCs w:val="21"/>
                    </w:rPr>
                    <w:t>/</w:t>
                  </w:r>
                </w:p>
              </w:tc>
              <w:tc>
                <w:tcPr>
                  <w:tcW w:w="552" w:type="pct"/>
                  <w:tcBorders>
                    <w:tl2br w:val="nil"/>
                    <w:tr2bl w:val="nil"/>
                  </w:tcBorders>
                  <w:vAlign w:val="center"/>
                </w:tcPr>
                <w:p w14:paraId="44DC4C96">
                  <w:pPr>
                    <w:spacing w:line="240" w:lineRule="auto"/>
                    <w:ind w:firstLine="0" w:firstLineChars="0"/>
                    <w:jc w:val="center"/>
                    <w:rPr>
                      <w:sz w:val="21"/>
                      <w:szCs w:val="21"/>
                    </w:rPr>
                  </w:pPr>
                  <w:r>
                    <w:rPr>
                      <w:sz w:val="21"/>
                      <w:szCs w:val="21"/>
                    </w:rPr>
                    <w:t>台</w:t>
                  </w:r>
                </w:p>
              </w:tc>
              <w:tc>
                <w:tcPr>
                  <w:tcW w:w="477" w:type="pct"/>
                  <w:tcBorders>
                    <w:tl2br w:val="nil"/>
                    <w:tr2bl w:val="nil"/>
                  </w:tcBorders>
                  <w:vAlign w:val="center"/>
                </w:tcPr>
                <w:p w14:paraId="0E619667">
                  <w:pPr>
                    <w:spacing w:line="240" w:lineRule="auto"/>
                    <w:ind w:firstLine="0" w:firstLineChars="0"/>
                    <w:jc w:val="center"/>
                    <w:rPr>
                      <w:sz w:val="21"/>
                      <w:szCs w:val="21"/>
                    </w:rPr>
                  </w:pPr>
                  <w:r>
                    <w:rPr>
                      <w:sz w:val="21"/>
                      <w:szCs w:val="21"/>
                    </w:rPr>
                    <w:t>1</w:t>
                  </w:r>
                </w:p>
              </w:tc>
              <w:tc>
                <w:tcPr>
                  <w:tcW w:w="1200" w:type="pct"/>
                  <w:tcBorders>
                    <w:tl2br w:val="nil"/>
                    <w:tr2bl w:val="nil"/>
                  </w:tcBorders>
                  <w:vAlign w:val="center"/>
                </w:tcPr>
                <w:p w14:paraId="6CBB031B">
                  <w:pPr>
                    <w:spacing w:line="240" w:lineRule="auto"/>
                    <w:ind w:firstLine="0" w:firstLineChars="0"/>
                    <w:jc w:val="center"/>
                    <w:rPr>
                      <w:sz w:val="21"/>
                      <w:szCs w:val="21"/>
                    </w:rPr>
                  </w:pPr>
                  <w:r>
                    <w:rPr>
                      <w:sz w:val="21"/>
                      <w:szCs w:val="21"/>
                    </w:rPr>
                    <w:t>新增</w:t>
                  </w:r>
                </w:p>
              </w:tc>
            </w:tr>
            <w:tr w14:paraId="2F62EBC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tcBorders>
                    <w:tl2br w:val="nil"/>
                    <w:tr2bl w:val="nil"/>
                  </w:tcBorders>
                  <w:vAlign w:val="center"/>
                </w:tcPr>
                <w:p w14:paraId="08F32DBD">
                  <w:pPr>
                    <w:spacing w:line="240" w:lineRule="auto"/>
                    <w:ind w:firstLine="0" w:firstLineChars="0"/>
                    <w:jc w:val="center"/>
                    <w:rPr>
                      <w:sz w:val="21"/>
                      <w:szCs w:val="21"/>
                    </w:rPr>
                  </w:pPr>
                  <w:r>
                    <w:rPr>
                      <w:sz w:val="21"/>
                      <w:szCs w:val="21"/>
                    </w:rPr>
                    <w:t>9</w:t>
                  </w:r>
                </w:p>
              </w:tc>
              <w:tc>
                <w:tcPr>
                  <w:tcW w:w="1025" w:type="pct"/>
                  <w:tcBorders>
                    <w:tl2br w:val="nil"/>
                    <w:tr2bl w:val="nil"/>
                  </w:tcBorders>
                </w:tcPr>
                <w:p w14:paraId="13E8FF3E">
                  <w:pPr>
                    <w:spacing w:line="240" w:lineRule="auto"/>
                    <w:ind w:firstLine="0" w:firstLineChars="0"/>
                    <w:jc w:val="center"/>
                    <w:rPr>
                      <w:sz w:val="21"/>
                      <w:szCs w:val="21"/>
                    </w:rPr>
                  </w:pPr>
                  <w:r>
                    <w:rPr>
                      <w:sz w:val="21"/>
                      <w:szCs w:val="21"/>
                    </w:rPr>
                    <w:t>空压机</w:t>
                  </w:r>
                </w:p>
              </w:tc>
              <w:tc>
                <w:tcPr>
                  <w:tcW w:w="1244" w:type="pct"/>
                  <w:tcBorders>
                    <w:tl2br w:val="nil"/>
                    <w:tr2bl w:val="nil"/>
                  </w:tcBorders>
                  <w:vAlign w:val="center"/>
                </w:tcPr>
                <w:p w14:paraId="69720B44">
                  <w:pPr>
                    <w:spacing w:line="240" w:lineRule="auto"/>
                    <w:ind w:firstLine="0" w:firstLineChars="0"/>
                    <w:jc w:val="center"/>
                    <w:rPr>
                      <w:sz w:val="21"/>
                      <w:szCs w:val="21"/>
                    </w:rPr>
                  </w:pPr>
                  <w:r>
                    <w:rPr>
                      <w:sz w:val="21"/>
                      <w:szCs w:val="21"/>
                    </w:rPr>
                    <w:t>BMVF11</w:t>
                  </w:r>
                </w:p>
              </w:tc>
              <w:tc>
                <w:tcPr>
                  <w:tcW w:w="552" w:type="pct"/>
                  <w:tcBorders>
                    <w:tl2br w:val="nil"/>
                    <w:tr2bl w:val="nil"/>
                  </w:tcBorders>
                  <w:vAlign w:val="center"/>
                </w:tcPr>
                <w:p w14:paraId="13C69D3D">
                  <w:pPr>
                    <w:spacing w:line="240" w:lineRule="auto"/>
                    <w:ind w:firstLine="0" w:firstLineChars="0"/>
                    <w:jc w:val="center"/>
                    <w:rPr>
                      <w:sz w:val="21"/>
                      <w:szCs w:val="21"/>
                    </w:rPr>
                  </w:pPr>
                  <w:r>
                    <w:rPr>
                      <w:sz w:val="21"/>
                      <w:szCs w:val="21"/>
                    </w:rPr>
                    <w:t>台</w:t>
                  </w:r>
                </w:p>
              </w:tc>
              <w:tc>
                <w:tcPr>
                  <w:tcW w:w="477" w:type="pct"/>
                  <w:tcBorders>
                    <w:tl2br w:val="nil"/>
                    <w:tr2bl w:val="nil"/>
                  </w:tcBorders>
                  <w:vAlign w:val="center"/>
                </w:tcPr>
                <w:p w14:paraId="0BC1D0B7">
                  <w:pPr>
                    <w:spacing w:line="240" w:lineRule="auto"/>
                    <w:ind w:firstLine="0" w:firstLineChars="0"/>
                    <w:jc w:val="center"/>
                    <w:rPr>
                      <w:sz w:val="21"/>
                      <w:szCs w:val="21"/>
                    </w:rPr>
                  </w:pPr>
                  <w:r>
                    <w:rPr>
                      <w:sz w:val="21"/>
                      <w:szCs w:val="21"/>
                    </w:rPr>
                    <w:t>1</w:t>
                  </w:r>
                </w:p>
              </w:tc>
              <w:tc>
                <w:tcPr>
                  <w:tcW w:w="1200" w:type="pct"/>
                  <w:tcBorders>
                    <w:tl2br w:val="nil"/>
                    <w:tr2bl w:val="nil"/>
                  </w:tcBorders>
                  <w:vAlign w:val="center"/>
                </w:tcPr>
                <w:p w14:paraId="49020E25">
                  <w:pPr>
                    <w:spacing w:line="240" w:lineRule="auto"/>
                    <w:ind w:firstLine="0" w:firstLineChars="0"/>
                    <w:jc w:val="center"/>
                    <w:rPr>
                      <w:sz w:val="21"/>
                      <w:szCs w:val="21"/>
                    </w:rPr>
                  </w:pPr>
                  <w:r>
                    <w:rPr>
                      <w:sz w:val="21"/>
                      <w:szCs w:val="21"/>
                    </w:rPr>
                    <w:t>新增</w:t>
                  </w:r>
                </w:p>
              </w:tc>
            </w:tr>
            <w:tr w14:paraId="0D22841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jc w:val="center"/>
              </w:trPr>
              <w:tc>
                <w:tcPr>
                  <w:tcW w:w="499" w:type="pct"/>
                  <w:tcBorders>
                    <w:tl2br w:val="nil"/>
                    <w:tr2bl w:val="nil"/>
                  </w:tcBorders>
                  <w:vAlign w:val="center"/>
                </w:tcPr>
                <w:p w14:paraId="2A0E9A19">
                  <w:pPr>
                    <w:spacing w:line="240" w:lineRule="auto"/>
                    <w:ind w:firstLine="0" w:firstLineChars="0"/>
                    <w:jc w:val="center"/>
                    <w:rPr>
                      <w:sz w:val="21"/>
                      <w:szCs w:val="21"/>
                    </w:rPr>
                  </w:pPr>
                  <w:r>
                    <w:rPr>
                      <w:sz w:val="21"/>
                      <w:szCs w:val="21"/>
                    </w:rPr>
                    <w:t>10</w:t>
                  </w:r>
                </w:p>
              </w:tc>
              <w:tc>
                <w:tcPr>
                  <w:tcW w:w="1025" w:type="pct"/>
                  <w:tcBorders>
                    <w:tl2br w:val="nil"/>
                    <w:tr2bl w:val="nil"/>
                  </w:tcBorders>
                </w:tcPr>
                <w:p w14:paraId="3282C6E1">
                  <w:pPr>
                    <w:spacing w:line="240" w:lineRule="auto"/>
                    <w:ind w:firstLine="0" w:firstLineChars="0"/>
                    <w:jc w:val="center"/>
                    <w:rPr>
                      <w:sz w:val="21"/>
                      <w:szCs w:val="21"/>
                    </w:rPr>
                  </w:pPr>
                  <w:r>
                    <w:rPr>
                      <w:sz w:val="21"/>
                      <w:szCs w:val="21"/>
                    </w:rPr>
                    <w:t>起重臂</w:t>
                  </w:r>
                </w:p>
              </w:tc>
              <w:tc>
                <w:tcPr>
                  <w:tcW w:w="1244" w:type="pct"/>
                  <w:tcBorders>
                    <w:tl2br w:val="nil"/>
                    <w:tr2bl w:val="nil"/>
                  </w:tcBorders>
                  <w:vAlign w:val="center"/>
                </w:tcPr>
                <w:p w14:paraId="4D787CB7">
                  <w:pPr>
                    <w:spacing w:line="240" w:lineRule="auto"/>
                    <w:ind w:firstLine="0" w:firstLineChars="0"/>
                    <w:jc w:val="center"/>
                    <w:rPr>
                      <w:sz w:val="21"/>
                      <w:szCs w:val="21"/>
                    </w:rPr>
                  </w:pPr>
                  <w:r>
                    <w:rPr>
                      <w:sz w:val="21"/>
                      <w:szCs w:val="21"/>
                    </w:rPr>
                    <w:t>5t</w:t>
                  </w:r>
                </w:p>
              </w:tc>
              <w:tc>
                <w:tcPr>
                  <w:tcW w:w="552" w:type="pct"/>
                  <w:tcBorders>
                    <w:tl2br w:val="nil"/>
                    <w:tr2bl w:val="nil"/>
                  </w:tcBorders>
                  <w:vAlign w:val="center"/>
                </w:tcPr>
                <w:p w14:paraId="14A6203E">
                  <w:pPr>
                    <w:spacing w:line="240" w:lineRule="auto"/>
                    <w:ind w:firstLine="0" w:firstLineChars="0"/>
                    <w:jc w:val="center"/>
                    <w:rPr>
                      <w:sz w:val="21"/>
                      <w:szCs w:val="21"/>
                    </w:rPr>
                  </w:pPr>
                  <w:r>
                    <w:rPr>
                      <w:sz w:val="21"/>
                      <w:szCs w:val="21"/>
                    </w:rPr>
                    <w:t>台</w:t>
                  </w:r>
                </w:p>
              </w:tc>
              <w:tc>
                <w:tcPr>
                  <w:tcW w:w="477" w:type="pct"/>
                  <w:tcBorders>
                    <w:tl2br w:val="nil"/>
                    <w:tr2bl w:val="nil"/>
                  </w:tcBorders>
                  <w:vAlign w:val="center"/>
                </w:tcPr>
                <w:p w14:paraId="7DDA1EB0">
                  <w:pPr>
                    <w:spacing w:line="240" w:lineRule="auto"/>
                    <w:ind w:firstLine="0" w:firstLineChars="0"/>
                    <w:jc w:val="center"/>
                    <w:rPr>
                      <w:sz w:val="21"/>
                      <w:szCs w:val="21"/>
                    </w:rPr>
                  </w:pPr>
                  <w:r>
                    <w:rPr>
                      <w:sz w:val="21"/>
                      <w:szCs w:val="21"/>
                    </w:rPr>
                    <w:t>1</w:t>
                  </w:r>
                </w:p>
              </w:tc>
              <w:tc>
                <w:tcPr>
                  <w:tcW w:w="1200" w:type="pct"/>
                  <w:tcBorders>
                    <w:tl2br w:val="nil"/>
                    <w:tr2bl w:val="nil"/>
                  </w:tcBorders>
                  <w:vAlign w:val="center"/>
                </w:tcPr>
                <w:p w14:paraId="245C8D2D">
                  <w:pPr>
                    <w:spacing w:line="240" w:lineRule="auto"/>
                    <w:ind w:firstLine="0" w:firstLineChars="0"/>
                    <w:jc w:val="center"/>
                    <w:rPr>
                      <w:sz w:val="21"/>
                      <w:szCs w:val="21"/>
                    </w:rPr>
                  </w:pPr>
                  <w:r>
                    <w:rPr>
                      <w:sz w:val="21"/>
                      <w:szCs w:val="21"/>
                    </w:rPr>
                    <w:t>新增</w:t>
                  </w:r>
                </w:p>
              </w:tc>
            </w:tr>
            <w:tr w14:paraId="34D792B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tcBorders>
                    <w:tl2br w:val="nil"/>
                    <w:tr2bl w:val="nil"/>
                  </w:tcBorders>
                  <w:vAlign w:val="center"/>
                </w:tcPr>
                <w:p w14:paraId="641936CE">
                  <w:pPr>
                    <w:spacing w:line="240" w:lineRule="auto"/>
                    <w:ind w:firstLine="0" w:firstLineChars="0"/>
                    <w:jc w:val="center"/>
                    <w:rPr>
                      <w:sz w:val="21"/>
                      <w:szCs w:val="21"/>
                    </w:rPr>
                  </w:pPr>
                  <w:r>
                    <w:rPr>
                      <w:sz w:val="21"/>
                      <w:szCs w:val="21"/>
                    </w:rPr>
                    <w:t>11</w:t>
                  </w:r>
                </w:p>
              </w:tc>
              <w:tc>
                <w:tcPr>
                  <w:tcW w:w="1025" w:type="pct"/>
                  <w:tcBorders>
                    <w:tl2br w:val="nil"/>
                    <w:tr2bl w:val="nil"/>
                  </w:tcBorders>
                </w:tcPr>
                <w:p w14:paraId="3B7906E1">
                  <w:pPr>
                    <w:spacing w:line="240" w:lineRule="auto"/>
                    <w:ind w:firstLine="0" w:firstLineChars="0"/>
                    <w:jc w:val="center"/>
                    <w:rPr>
                      <w:sz w:val="21"/>
                      <w:szCs w:val="21"/>
                    </w:rPr>
                  </w:pPr>
                  <w:r>
                    <w:rPr>
                      <w:sz w:val="21"/>
                      <w:szCs w:val="21"/>
                    </w:rPr>
                    <w:t>模具</w:t>
                  </w:r>
                </w:p>
              </w:tc>
              <w:tc>
                <w:tcPr>
                  <w:tcW w:w="1244" w:type="pct"/>
                  <w:tcBorders>
                    <w:tl2br w:val="nil"/>
                    <w:tr2bl w:val="nil"/>
                  </w:tcBorders>
                  <w:vAlign w:val="center"/>
                </w:tcPr>
                <w:p w14:paraId="7B899FAC">
                  <w:pPr>
                    <w:spacing w:line="240" w:lineRule="auto"/>
                    <w:ind w:firstLine="0" w:firstLineChars="0"/>
                    <w:jc w:val="center"/>
                    <w:rPr>
                      <w:sz w:val="21"/>
                      <w:szCs w:val="21"/>
                    </w:rPr>
                  </w:pPr>
                  <w:r>
                    <w:rPr>
                      <w:sz w:val="21"/>
                      <w:szCs w:val="21"/>
                    </w:rPr>
                    <w:t>/</w:t>
                  </w:r>
                </w:p>
              </w:tc>
              <w:tc>
                <w:tcPr>
                  <w:tcW w:w="552" w:type="pct"/>
                  <w:tcBorders>
                    <w:tl2br w:val="nil"/>
                    <w:tr2bl w:val="nil"/>
                  </w:tcBorders>
                  <w:vAlign w:val="center"/>
                </w:tcPr>
                <w:p w14:paraId="39280E16">
                  <w:pPr>
                    <w:spacing w:line="240" w:lineRule="auto"/>
                    <w:ind w:firstLine="0" w:firstLineChars="0"/>
                    <w:jc w:val="center"/>
                    <w:rPr>
                      <w:sz w:val="21"/>
                      <w:szCs w:val="21"/>
                    </w:rPr>
                  </w:pPr>
                  <w:r>
                    <w:rPr>
                      <w:sz w:val="21"/>
                      <w:szCs w:val="21"/>
                    </w:rPr>
                    <w:t>台</w:t>
                  </w:r>
                </w:p>
              </w:tc>
              <w:tc>
                <w:tcPr>
                  <w:tcW w:w="477" w:type="pct"/>
                  <w:tcBorders>
                    <w:tl2br w:val="nil"/>
                    <w:tr2bl w:val="nil"/>
                  </w:tcBorders>
                  <w:vAlign w:val="center"/>
                </w:tcPr>
                <w:p w14:paraId="7BEA9D83">
                  <w:pPr>
                    <w:spacing w:line="240" w:lineRule="auto"/>
                    <w:ind w:firstLine="0" w:firstLineChars="0"/>
                    <w:jc w:val="center"/>
                    <w:rPr>
                      <w:sz w:val="21"/>
                      <w:szCs w:val="21"/>
                    </w:rPr>
                  </w:pPr>
                  <w:r>
                    <w:rPr>
                      <w:sz w:val="21"/>
                      <w:szCs w:val="21"/>
                    </w:rPr>
                    <w:t>320</w:t>
                  </w:r>
                </w:p>
              </w:tc>
              <w:tc>
                <w:tcPr>
                  <w:tcW w:w="1200" w:type="pct"/>
                  <w:tcBorders>
                    <w:tl2br w:val="nil"/>
                    <w:tr2bl w:val="nil"/>
                  </w:tcBorders>
                  <w:vAlign w:val="center"/>
                </w:tcPr>
                <w:p w14:paraId="368067DB">
                  <w:pPr>
                    <w:spacing w:line="240" w:lineRule="auto"/>
                    <w:ind w:firstLine="0" w:firstLineChars="0"/>
                    <w:jc w:val="center"/>
                    <w:rPr>
                      <w:sz w:val="21"/>
                      <w:szCs w:val="21"/>
                    </w:rPr>
                  </w:pPr>
                  <w:r>
                    <w:rPr>
                      <w:sz w:val="21"/>
                      <w:szCs w:val="21"/>
                    </w:rPr>
                    <w:t>新增</w:t>
                  </w:r>
                </w:p>
              </w:tc>
            </w:tr>
            <w:tr w14:paraId="1BCD861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tcBorders>
                    <w:tl2br w:val="nil"/>
                    <w:tr2bl w:val="nil"/>
                  </w:tcBorders>
                  <w:vAlign w:val="center"/>
                </w:tcPr>
                <w:p w14:paraId="02754CC9">
                  <w:pPr>
                    <w:spacing w:line="240" w:lineRule="auto"/>
                    <w:ind w:firstLine="0" w:firstLineChars="0"/>
                    <w:jc w:val="center"/>
                    <w:rPr>
                      <w:sz w:val="21"/>
                      <w:szCs w:val="21"/>
                    </w:rPr>
                  </w:pPr>
                  <w:r>
                    <w:rPr>
                      <w:sz w:val="21"/>
                      <w:szCs w:val="21"/>
                    </w:rPr>
                    <w:t>12</w:t>
                  </w:r>
                </w:p>
              </w:tc>
              <w:tc>
                <w:tcPr>
                  <w:tcW w:w="1025" w:type="pct"/>
                  <w:tcBorders>
                    <w:tl2br w:val="nil"/>
                    <w:tr2bl w:val="nil"/>
                  </w:tcBorders>
                </w:tcPr>
                <w:p w14:paraId="2C05A8FF">
                  <w:pPr>
                    <w:spacing w:line="240" w:lineRule="auto"/>
                    <w:ind w:firstLine="0" w:firstLineChars="0"/>
                    <w:jc w:val="center"/>
                    <w:rPr>
                      <w:sz w:val="21"/>
                      <w:szCs w:val="21"/>
                    </w:rPr>
                  </w:pPr>
                  <w:r>
                    <w:rPr>
                      <w:sz w:val="21"/>
                      <w:szCs w:val="21"/>
                    </w:rPr>
                    <w:t>水泥料仓</w:t>
                  </w:r>
                </w:p>
              </w:tc>
              <w:tc>
                <w:tcPr>
                  <w:tcW w:w="1244" w:type="pct"/>
                  <w:tcBorders>
                    <w:tl2br w:val="nil"/>
                    <w:tr2bl w:val="nil"/>
                  </w:tcBorders>
                  <w:vAlign w:val="center"/>
                </w:tcPr>
                <w:p w14:paraId="176A9E9C">
                  <w:pPr>
                    <w:spacing w:line="240" w:lineRule="auto"/>
                    <w:ind w:firstLine="0" w:firstLineChars="0"/>
                    <w:jc w:val="center"/>
                    <w:rPr>
                      <w:sz w:val="21"/>
                      <w:szCs w:val="21"/>
                    </w:rPr>
                  </w:pPr>
                  <w:r>
                    <w:rPr>
                      <w:sz w:val="21"/>
                      <w:szCs w:val="21"/>
                    </w:rPr>
                    <w:t>Φ3m、h10.5m</w:t>
                  </w:r>
                </w:p>
              </w:tc>
              <w:tc>
                <w:tcPr>
                  <w:tcW w:w="552" w:type="pct"/>
                  <w:tcBorders>
                    <w:tl2br w:val="nil"/>
                    <w:tr2bl w:val="nil"/>
                  </w:tcBorders>
                  <w:vAlign w:val="center"/>
                </w:tcPr>
                <w:p w14:paraId="42A09CE7">
                  <w:pPr>
                    <w:spacing w:line="240" w:lineRule="auto"/>
                    <w:ind w:firstLine="0" w:firstLineChars="0"/>
                    <w:jc w:val="center"/>
                    <w:rPr>
                      <w:sz w:val="21"/>
                      <w:szCs w:val="21"/>
                    </w:rPr>
                  </w:pPr>
                  <w:r>
                    <w:rPr>
                      <w:sz w:val="21"/>
                      <w:szCs w:val="21"/>
                    </w:rPr>
                    <w:t>台</w:t>
                  </w:r>
                </w:p>
              </w:tc>
              <w:tc>
                <w:tcPr>
                  <w:tcW w:w="477" w:type="pct"/>
                  <w:tcBorders>
                    <w:tl2br w:val="nil"/>
                    <w:tr2bl w:val="nil"/>
                  </w:tcBorders>
                  <w:vAlign w:val="center"/>
                </w:tcPr>
                <w:p w14:paraId="5403B17B">
                  <w:pPr>
                    <w:spacing w:line="240" w:lineRule="auto"/>
                    <w:ind w:firstLine="0" w:firstLineChars="0"/>
                    <w:jc w:val="center"/>
                    <w:rPr>
                      <w:sz w:val="21"/>
                      <w:szCs w:val="21"/>
                    </w:rPr>
                  </w:pPr>
                  <w:r>
                    <w:rPr>
                      <w:sz w:val="21"/>
                      <w:szCs w:val="21"/>
                    </w:rPr>
                    <w:t>2</w:t>
                  </w:r>
                </w:p>
              </w:tc>
              <w:tc>
                <w:tcPr>
                  <w:tcW w:w="1200" w:type="pct"/>
                  <w:tcBorders>
                    <w:tl2br w:val="nil"/>
                    <w:tr2bl w:val="nil"/>
                  </w:tcBorders>
                  <w:vAlign w:val="center"/>
                </w:tcPr>
                <w:p w14:paraId="4DACB5A3">
                  <w:pPr>
                    <w:spacing w:line="240" w:lineRule="auto"/>
                    <w:ind w:firstLine="0" w:firstLineChars="0"/>
                    <w:jc w:val="center"/>
                    <w:rPr>
                      <w:sz w:val="21"/>
                      <w:szCs w:val="21"/>
                    </w:rPr>
                  </w:pPr>
                  <w:r>
                    <w:rPr>
                      <w:sz w:val="21"/>
                      <w:szCs w:val="21"/>
                    </w:rPr>
                    <w:t>新增</w:t>
                  </w:r>
                </w:p>
              </w:tc>
            </w:tr>
            <w:tr w14:paraId="6671E64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tcBorders>
                    <w:tl2br w:val="nil"/>
                    <w:tr2bl w:val="nil"/>
                  </w:tcBorders>
                  <w:vAlign w:val="center"/>
                </w:tcPr>
                <w:p w14:paraId="4E20944B">
                  <w:pPr>
                    <w:spacing w:line="240" w:lineRule="auto"/>
                    <w:ind w:firstLine="0" w:firstLineChars="0"/>
                    <w:jc w:val="center"/>
                    <w:rPr>
                      <w:sz w:val="21"/>
                      <w:szCs w:val="21"/>
                    </w:rPr>
                  </w:pPr>
                  <w:r>
                    <w:rPr>
                      <w:sz w:val="21"/>
                      <w:szCs w:val="21"/>
                    </w:rPr>
                    <w:t>13</w:t>
                  </w:r>
                </w:p>
              </w:tc>
              <w:tc>
                <w:tcPr>
                  <w:tcW w:w="1025" w:type="pct"/>
                  <w:tcBorders>
                    <w:tl2br w:val="nil"/>
                    <w:tr2bl w:val="nil"/>
                  </w:tcBorders>
                </w:tcPr>
                <w:p w14:paraId="51741750">
                  <w:pPr>
                    <w:spacing w:line="240" w:lineRule="auto"/>
                    <w:ind w:firstLine="0" w:firstLineChars="0"/>
                    <w:jc w:val="center"/>
                    <w:rPr>
                      <w:sz w:val="21"/>
                      <w:szCs w:val="21"/>
                    </w:rPr>
                  </w:pPr>
                  <w:r>
                    <w:rPr>
                      <w:sz w:val="21"/>
                      <w:szCs w:val="21"/>
                    </w:rPr>
                    <w:t>密闭发泡料仓</w:t>
                  </w:r>
                </w:p>
              </w:tc>
              <w:tc>
                <w:tcPr>
                  <w:tcW w:w="1244" w:type="pct"/>
                  <w:tcBorders>
                    <w:tl2br w:val="nil"/>
                    <w:tr2bl w:val="nil"/>
                  </w:tcBorders>
                  <w:vAlign w:val="center"/>
                </w:tcPr>
                <w:p w14:paraId="1999A973">
                  <w:pPr>
                    <w:spacing w:line="240" w:lineRule="auto"/>
                    <w:ind w:firstLine="0" w:firstLineChars="0"/>
                    <w:jc w:val="center"/>
                    <w:rPr>
                      <w:sz w:val="21"/>
                      <w:szCs w:val="21"/>
                    </w:rPr>
                  </w:pPr>
                  <w:r>
                    <w:rPr>
                      <w:sz w:val="21"/>
                      <w:szCs w:val="21"/>
                    </w:rPr>
                    <w:t>30m*7m</w:t>
                  </w:r>
                </w:p>
              </w:tc>
              <w:tc>
                <w:tcPr>
                  <w:tcW w:w="552" w:type="pct"/>
                  <w:tcBorders>
                    <w:tl2br w:val="nil"/>
                    <w:tr2bl w:val="nil"/>
                  </w:tcBorders>
                  <w:vAlign w:val="center"/>
                </w:tcPr>
                <w:p w14:paraId="601E6B4C">
                  <w:pPr>
                    <w:spacing w:line="240" w:lineRule="auto"/>
                    <w:ind w:firstLine="0" w:firstLineChars="0"/>
                    <w:jc w:val="center"/>
                    <w:rPr>
                      <w:sz w:val="21"/>
                      <w:szCs w:val="21"/>
                    </w:rPr>
                  </w:pPr>
                  <w:r>
                    <w:rPr>
                      <w:sz w:val="21"/>
                      <w:szCs w:val="21"/>
                    </w:rPr>
                    <w:t>座</w:t>
                  </w:r>
                </w:p>
              </w:tc>
              <w:tc>
                <w:tcPr>
                  <w:tcW w:w="477" w:type="pct"/>
                  <w:tcBorders>
                    <w:tl2br w:val="nil"/>
                    <w:tr2bl w:val="nil"/>
                  </w:tcBorders>
                  <w:vAlign w:val="center"/>
                </w:tcPr>
                <w:p w14:paraId="3AE086DF">
                  <w:pPr>
                    <w:spacing w:line="240" w:lineRule="auto"/>
                    <w:ind w:firstLine="0" w:firstLineChars="0"/>
                    <w:jc w:val="center"/>
                    <w:rPr>
                      <w:sz w:val="21"/>
                      <w:szCs w:val="21"/>
                    </w:rPr>
                  </w:pPr>
                  <w:r>
                    <w:rPr>
                      <w:sz w:val="21"/>
                      <w:szCs w:val="21"/>
                    </w:rPr>
                    <w:t>2</w:t>
                  </w:r>
                </w:p>
              </w:tc>
              <w:tc>
                <w:tcPr>
                  <w:tcW w:w="1200" w:type="pct"/>
                  <w:tcBorders>
                    <w:tl2br w:val="nil"/>
                    <w:tr2bl w:val="nil"/>
                  </w:tcBorders>
                  <w:vAlign w:val="center"/>
                </w:tcPr>
                <w:p w14:paraId="53DDF183">
                  <w:pPr>
                    <w:spacing w:line="240" w:lineRule="auto"/>
                    <w:ind w:firstLine="0" w:firstLineChars="0"/>
                    <w:jc w:val="center"/>
                    <w:rPr>
                      <w:sz w:val="21"/>
                      <w:szCs w:val="21"/>
                    </w:rPr>
                  </w:pPr>
                  <w:r>
                    <w:rPr>
                      <w:sz w:val="21"/>
                      <w:szCs w:val="21"/>
                    </w:rPr>
                    <w:t>新增</w:t>
                  </w:r>
                </w:p>
              </w:tc>
            </w:tr>
          </w:tbl>
          <w:p w14:paraId="02BD1FF2">
            <w:pPr>
              <w:pStyle w:val="5"/>
              <w:numPr>
                <w:ilvl w:val="0"/>
                <w:numId w:val="1"/>
              </w:numPr>
              <w:spacing w:before="120" w:after="120"/>
              <w:ind w:firstLine="562" w:firstLineChars="200"/>
              <w:rPr>
                <w:sz w:val="28"/>
              </w:rPr>
            </w:pPr>
            <w:r>
              <w:rPr>
                <w:sz w:val="28"/>
              </w:rPr>
              <w:t>公用工程</w:t>
            </w:r>
          </w:p>
          <w:p w14:paraId="199C08D7">
            <w:pPr>
              <w:ind w:firstLine="480"/>
              <w:rPr>
                <w:szCs w:val="22"/>
              </w:rPr>
            </w:pPr>
            <w:r>
              <w:rPr>
                <w:szCs w:val="22"/>
              </w:rPr>
              <w:t>（1）供水</w:t>
            </w:r>
          </w:p>
          <w:p w14:paraId="6838E6F2">
            <w:pPr>
              <w:adjustRightInd/>
              <w:snapToGrid/>
              <w:ind w:firstLine="480"/>
            </w:pPr>
            <w:r>
              <w:t>本项目用水主要为生活用水、生产用水及生物质蒸汽发生器用水。</w:t>
            </w:r>
          </w:p>
          <w:p w14:paraId="71B78E6C">
            <w:pPr>
              <w:adjustRightInd/>
              <w:snapToGrid/>
              <w:ind w:firstLine="480"/>
            </w:pPr>
            <w:r>
              <w:t>①生活用水</w:t>
            </w:r>
          </w:p>
          <w:p w14:paraId="5E9B70AC">
            <w:pPr>
              <w:adjustRightInd/>
              <w:snapToGrid/>
              <w:ind w:firstLine="480"/>
            </w:pPr>
            <w:r>
              <w:t>本项目职工为55人，职工用水量参照《辽宁省行业用水定额》（DB21/T 1237-2020）中相关规定，按60L/人·d计算，全年运行300天，则生活用水量为3.3m</w:t>
            </w:r>
            <w:r>
              <w:rPr>
                <w:vertAlign w:val="superscript"/>
              </w:rPr>
              <w:t>3</w:t>
            </w:r>
            <w:r>
              <w:t>/d（990m</w:t>
            </w:r>
            <w:r>
              <w:rPr>
                <w:vertAlign w:val="superscript"/>
              </w:rPr>
              <w:t>3</w:t>
            </w:r>
            <w:r>
              <w:t>/a）。</w:t>
            </w:r>
          </w:p>
          <w:p w14:paraId="5A635F5C">
            <w:pPr>
              <w:pStyle w:val="28"/>
              <w:ind w:firstLine="480"/>
            </w:pPr>
            <w:r>
              <w:t>②生产用水</w:t>
            </w:r>
          </w:p>
          <w:p w14:paraId="2068DE9C">
            <w:pPr>
              <w:ind w:firstLine="480"/>
              <w:rPr>
                <w:szCs w:val="22"/>
              </w:rPr>
            </w:pPr>
            <w:r>
              <w:rPr>
                <w:szCs w:val="22"/>
              </w:rPr>
              <w:t>生产用水主要为搅拌工序用水、搅拌机冲洗用水和冷凝吸附设施用水。</w:t>
            </w:r>
          </w:p>
          <w:p w14:paraId="374C3D29">
            <w:pPr>
              <w:pStyle w:val="28"/>
              <w:ind w:firstLine="480"/>
            </w:pPr>
            <w:r>
              <w:t>根据建设单位提供资料知，搅拌工序用水量为11250t/a，搅拌机冲洗用水量为40t/a，冷凝吸附设施补水量为3t/a。</w:t>
            </w:r>
          </w:p>
          <w:p w14:paraId="54F898AB">
            <w:pPr>
              <w:pStyle w:val="28"/>
              <w:ind w:firstLine="480"/>
            </w:pPr>
            <w:r>
              <w:t>③生物质蒸汽发生器用水</w:t>
            </w:r>
          </w:p>
          <w:p w14:paraId="60AFBE9A">
            <w:pPr>
              <w:pStyle w:val="28"/>
              <w:ind w:firstLine="480"/>
            </w:pPr>
            <w:r>
              <w:t>根据建设单位提供资料知，生物质蒸汽发生器需水量为</w:t>
            </w:r>
            <w:r>
              <w:rPr>
                <w:szCs w:val="21"/>
              </w:rPr>
              <w:t>3473.7t/a，</w:t>
            </w:r>
            <w:r>
              <w:t>蒸汽发生器用水需要使用软水装置处理，软水处理装置采取离子交换树脂法，实际出水效率约90%。经计算，软水制备需原水3859.7t/a。</w:t>
            </w:r>
          </w:p>
          <w:p w14:paraId="250DADCE">
            <w:pPr>
              <w:ind w:firstLine="480"/>
              <w:rPr>
                <w:szCs w:val="22"/>
              </w:rPr>
            </w:pPr>
            <w:r>
              <w:rPr>
                <w:szCs w:val="22"/>
              </w:rPr>
              <w:t>（2）排水</w:t>
            </w:r>
          </w:p>
          <w:p w14:paraId="2711D510">
            <w:pPr>
              <w:adjustRightInd/>
              <w:snapToGrid/>
              <w:ind w:firstLine="480"/>
            </w:pPr>
            <w:r>
              <w:t>①生活污水</w:t>
            </w:r>
          </w:p>
          <w:p w14:paraId="6E51564A">
            <w:pPr>
              <w:ind w:firstLine="480"/>
            </w:pPr>
            <w:r>
              <w:t>生活污水产生量按用水量的85%计，则生活污水量为2.81m</w:t>
            </w:r>
            <w:r>
              <w:rPr>
                <w:vertAlign w:val="superscript"/>
              </w:rPr>
              <w:t>3</w:t>
            </w:r>
            <w:r>
              <w:t>/d，841.5m</w:t>
            </w:r>
            <w:r>
              <w:rPr>
                <w:vertAlign w:val="superscript"/>
              </w:rPr>
              <w:t>3</w:t>
            </w:r>
            <w:r>
              <w:t>/a，生活污水经厂区现有化粪池处理后排入园区污水处理厂。</w:t>
            </w:r>
          </w:p>
          <w:p w14:paraId="0E7BCD4E">
            <w:pPr>
              <w:pStyle w:val="28"/>
              <w:ind w:firstLine="480"/>
            </w:pPr>
            <w:r>
              <w:t>②生产废水</w:t>
            </w:r>
          </w:p>
          <w:p w14:paraId="3EF2869E">
            <w:pPr>
              <w:ind w:firstLine="480"/>
              <w:rPr>
                <w:highlight w:val="green"/>
              </w:rPr>
            </w:pPr>
            <w:r>
              <w:rPr>
                <w:szCs w:val="22"/>
              </w:rPr>
              <w:t>根据建设单位提供资料知，搅拌机冲洗废水回用于搅拌工序用水，不外排。冷凝吸附设施蒸汽冷却为冷凝水，冷凝水产生量约为2970t/a，回用于搅拌工序用水，不外排。</w:t>
            </w:r>
          </w:p>
          <w:p w14:paraId="743A23A4">
            <w:pPr>
              <w:pStyle w:val="28"/>
              <w:ind w:firstLine="480"/>
            </w:pPr>
            <w:r>
              <w:t>③生物质蒸汽发生器废水</w:t>
            </w:r>
          </w:p>
          <w:p w14:paraId="62E84C84">
            <w:pPr>
              <w:pStyle w:val="28"/>
              <w:ind w:firstLine="480"/>
            </w:pPr>
            <w:r>
              <w:t>根据建设单位提供资料知，软水处理装置废水排放量约为386t/a，蒸汽发生器排水量约为173.7t/a，则总排水量为559.7t/a，回用于搅拌工序用水，不外排。项目水平衡图见下图。</w:t>
            </w:r>
          </w:p>
          <w:p w14:paraId="18BE63D0">
            <w:pPr>
              <w:pStyle w:val="28"/>
              <w:ind w:firstLine="480"/>
            </w:pPr>
          </w:p>
          <w:p w14:paraId="466145F5">
            <w:pPr>
              <w:pStyle w:val="28"/>
              <w:ind w:firstLine="480"/>
            </w:pPr>
          </w:p>
          <w:p w14:paraId="619610A1">
            <w:pPr>
              <w:pStyle w:val="28"/>
              <w:ind w:firstLine="480"/>
            </w:pPr>
          </w:p>
          <w:p w14:paraId="3F1735AC">
            <w:pPr>
              <w:pStyle w:val="28"/>
              <w:ind w:firstLine="480"/>
              <w:rPr>
                <w:rFonts w:hint="eastAsia"/>
              </w:rPr>
            </w:pPr>
          </w:p>
          <w:p w14:paraId="6F0C6EF1">
            <w:pPr>
              <w:pStyle w:val="28"/>
              <w:ind w:firstLine="480"/>
              <w:rPr>
                <w:rFonts w:hint="eastAsia"/>
              </w:rPr>
            </w:pPr>
          </w:p>
          <w:p w14:paraId="1D0ECBCF">
            <w:pPr>
              <w:pStyle w:val="28"/>
              <w:ind w:firstLine="480"/>
              <w:rPr>
                <w:rFonts w:hint="eastAsia"/>
              </w:rPr>
            </w:pPr>
          </w:p>
          <w:p w14:paraId="6E5E354D">
            <w:pPr>
              <w:pStyle w:val="28"/>
              <w:ind w:left="0" w:leftChars="0" w:firstLine="0" w:firstLineChars="0"/>
              <w:jc w:val="center"/>
              <w:rPr>
                <w:rFonts w:hint="eastAsia"/>
              </w:rPr>
            </w:pPr>
            <w:r>
              <w:drawing>
                <wp:inline distT="0" distB="0" distL="114300" distR="114300">
                  <wp:extent cx="5037455" cy="3376295"/>
                  <wp:effectExtent l="0" t="0" r="10795" b="146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5"/>
                          <a:stretch>
                            <a:fillRect/>
                          </a:stretch>
                        </pic:blipFill>
                        <pic:spPr>
                          <a:xfrm>
                            <a:off x="0" y="0"/>
                            <a:ext cx="5037455" cy="3376295"/>
                          </a:xfrm>
                          <a:prstGeom prst="rect">
                            <a:avLst/>
                          </a:prstGeom>
                          <a:noFill/>
                          <a:ln>
                            <a:noFill/>
                          </a:ln>
                        </pic:spPr>
                      </pic:pic>
                    </a:graphicData>
                  </a:graphic>
                </wp:inline>
              </w:drawing>
            </w:r>
          </w:p>
          <w:p w14:paraId="79E0F3D4">
            <w:pPr>
              <w:ind w:firstLine="0" w:firstLineChars="0"/>
              <w:jc w:val="center"/>
              <w:rPr>
                <w:b/>
              </w:rPr>
            </w:pPr>
            <w:r>
              <w:rPr>
                <w:b/>
              </w:rPr>
              <w:t>图1  项目水平衡图</w:t>
            </w:r>
          </w:p>
          <w:p w14:paraId="19A511E8">
            <w:pPr>
              <w:ind w:firstLine="480"/>
            </w:pPr>
            <w:r>
              <w:t>（3）供电</w:t>
            </w:r>
          </w:p>
          <w:p w14:paraId="673354DE">
            <w:pPr>
              <w:ind w:firstLine="480"/>
            </w:pPr>
            <w:r>
              <w:t>本项目供电来自市政供电，年用电量为</w:t>
            </w:r>
            <w:r>
              <w:rPr>
                <w:bCs/>
              </w:rPr>
              <w:t>60000</w:t>
            </w:r>
            <w:r>
              <w:t>kWh。</w:t>
            </w:r>
          </w:p>
          <w:p w14:paraId="4A7DFA49">
            <w:pPr>
              <w:ind w:firstLine="480"/>
            </w:pPr>
            <w:r>
              <w:t>（4）供暖</w:t>
            </w:r>
          </w:p>
          <w:p w14:paraId="67EC4F18">
            <w:pPr>
              <w:ind w:firstLine="480"/>
            </w:pPr>
            <w:r>
              <w:t>本项目冬季采用园区统一供暖。</w:t>
            </w:r>
          </w:p>
          <w:p w14:paraId="6CEF2F1C">
            <w:pPr>
              <w:pStyle w:val="5"/>
              <w:numPr>
                <w:ilvl w:val="0"/>
                <w:numId w:val="1"/>
              </w:numPr>
              <w:spacing w:before="120" w:after="120"/>
              <w:ind w:firstLine="562" w:firstLineChars="200"/>
              <w:rPr>
                <w:sz w:val="28"/>
              </w:rPr>
            </w:pPr>
            <w:r>
              <w:rPr>
                <w:sz w:val="28"/>
              </w:rPr>
              <w:t>平面布置</w:t>
            </w:r>
          </w:p>
          <w:p w14:paraId="5839D4FF">
            <w:pPr>
              <w:pStyle w:val="28"/>
              <w:ind w:firstLine="480"/>
            </w:pPr>
            <w:r>
              <w:t>本项目</w:t>
            </w:r>
            <w:r>
              <w:rPr>
                <w:szCs w:val="24"/>
              </w:rPr>
              <w:t>租用锦鹤门业公司部分厂房</w:t>
            </w:r>
            <w:r>
              <w:t>。</w:t>
            </w:r>
            <w:r>
              <w:rPr>
                <w:szCs w:val="24"/>
              </w:rPr>
              <w:t>以符合规范为前提，考虑防火、防爆要求，正确选用防火、防爆规范；充分利用地形、地势、风向及周边条件；结合场地内外关系，合理选择原料、成品运输进出厂方式；合理进行生产的布局，统筹规划各单元的关系，使之统一协调，物流顺畅。</w:t>
            </w:r>
          </w:p>
          <w:p w14:paraId="2B9D75D5">
            <w:pPr>
              <w:pStyle w:val="28"/>
              <w:ind w:firstLine="480"/>
            </w:pPr>
            <w:r>
              <w:t>该项目总平面布置基本合理。本项目平面布置图见附图2。厂区总平面布置图见附图3。</w:t>
            </w:r>
          </w:p>
          <w:p w14:paraId="0886D540">
            <w:pPr>
              <w:pStyle w:val="5"/>
              <w:numPr>
                <w:ilvl w:val="0"/>
                <w:numId w:val="1"/>
              </w:numPr>
              <w:spacing w:before="120" w:after="120"/>
              <w:ind w:firstLine="562" w:firstLineChars="200"/>
              <w:rPr>
                <w:sz w:val="28"/>
              </w:rPr>
            </w:pPr>
            <w:r>
              <w:rPr>
                <w:sz w:val="28"/>
              </w:rPr>
              <w:t>选址合理性分析</w:t>
            </w:r>
          </w:p>
          <w:p w14:paraId="7005A3FB">
            <w:pPr>
              <w:ind w:firstLine="480"/>
            </w:pPr>
            <w:r>
              <w:t>本项目位于辽宁省盘锦市盘山县辽宁新材料产业经济开发区，地理坐标为121°59'55.030"、北纬：41°14'49.440"，项目评价范围内无文物单位、生活饮用水源保护区、风景名胜区、自然保护区等环境敏感点分布。项目东侧为闲置厂房、南侧为运输公司、西侧为道路、北侧为混合肥生产公司（周边关系图见附图7），距离本项目最近敏感点为西南侧的水岸蓝桥居民小区，距离本项目226m。</w:t>
            </w:r>
          </w:p>
          <w:p w14:paraId="1D645693">
            <w:pPr>
              <w:ind w:firstLine="480"/>
            </w:pPr>
            <w:r>
              <w:t>本项目租用锦鹤门业公司部分厂房，根据土地手续，项目用地性质为工业用地，用地符合国家供地政策和土地管理法律法规的条件，租赁协议见附件4。项目产生的污染量较少，对周围环境敏感点影响小。因此，从环境保护角度分析，本项目选址合理可行。</w:t>
            </w:r>
          </w:p>
        </w:tc>
      </w:tr>
      <w:tr w14:paraId="2DE095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534" w:type="dxa"/>
            <w:vAlign w:val="center"/>
          </w:tcPr>
          <w:p w14:paraId="495DB142">
            <w:pPr>
              <w:pStyle w:val="4"/>
              <w:spacing w:before="120" w:after="120"/>
              <w:rPr>
                <w:szCs w:val="21"/>
              </w:rPr>
            </w:pPr>
            <w:r>
              <w:t>工艺流程和产排污环节</w:t>
            </w:r>
          </w:p>
        </w:tc>
        <w:tc>
          <w:tcPr>
            <w:tcW w:w="7988" w:type="dxa"/>
          </w:tcPr>
          <w:p w14:paraId="2D3F0E39">
            <w:pPr>
              <w:pStyle w:val="5"/>
              <w:spacing w:before="120" w:after="120"/>
              <w:ind w:left="562"/>
              <w:rPr>
                <w:sz w:val="28"/>
              </w:rPr>
            </w:pPr>
            <w:r>
              <w:rPr>
                <w:sz w:val="28"/>
              </w:rPr>
              <w:t>施工期：</w:t>
            </w:r>
          </w:p>
          <w:p w14:paraId="31AFE864">
            <w:pPr>
              <w:ind w:firstLine="480"/>
            </w:pPr>
            <w:r>
              <w:t>本项目厂房为租用现有厂房，土建工程已基本完成。仅涉及项目设备安装，安装设备基本均在厂房内进行，且设备安装产生的噪声随设备安装完成即消失。因此本项目分析主要是对运营期生产情况进行分析。</w:t>
            </w:r>
          </w:p>
          <w:p w14:paraId="11F02C0B">
            <w:pPr>
              <w:pStyle w:val="5"/>
              <w:spacing w:before="120" w:after="120"/>
              <w:ind w:left="562"/>
              <w:rPr>
                <w:sz w:val="28"/>
              </w:rPr>
            </w:pPr>
            <w:r>
              <w:rPr>
                <w:sz w:val="28"/>
              </w:rPr>
              <w:t>运营期：</w:t>
            </w:r>
          </w:p>
          <w:p w14:paraId="06DD08C9">
            <w:pPr>
              <w:ind w:firstLine="482"/>
              <w:rPr>
                <w:b/>
              </w:rPr>
            </w:pPr>
            <w:r>
              <w:rPr>
                <w:b/>
              </w:rPr>
              <w:t>工艺流程简述（图示）：</w:t>
            </w:r>
          </w:p>
          <w:p w14:paraId="2777C881">
            <w:pPr>
              <w:ind w:firstLine="0" w:firstLineChars="0"/>
              <w:jc w:val="center"/>
            </w:pPr>
            <w:r>
              <w:drawing>
                <wp:inline distT="0" distB="0" distL="114300" distR="114300">
                  <wp:extent cx="5002530" cy="4063365"/>
                  <wp:effectExtent l="0" t="0" r="7620" b="1333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6"/>
                          <a:stretch>
                            <a:fillRect/>
                          </a:stretch>
                        </pic:blipFill>
                        <pic:spPr>
                          <a:xfrm>
                            <a:off x="0" y="0"/>
                            <a:ext cx="5002530" cy="4063365"/>
                          </a:xfrm>
                          <a:prstGeom prst="rect">
                            <a:avLst/>
                          </a:prstGeom>
                          <a:noFill/>
                          <a:ln>
                            <a:noFill/>
                          </a:ln>
                        </pic:spPr>
                      </pic:pic>
                    </a:graphicData>
                  </a:graphic>
                </wp:inline>
              </w:drawing>
            </w:r>
          </w:p>
          <w:p w14:paraId="2E99BD2D">
            <w:pPr>
              <w:tabs>
                <w:tab w:val="left" w:pos="4425"/>
              </w:tabs>
              <w:adjustRightInd/>
              <w:snapToGrid/>
              <w:ind w:left="24" w:leftChars="10" w:right="24" w:rightChars="10" w:firstLine="0" w:firstLineChars="0"/>
              <w:jc w:val="center"/>
              <w:rPr>
                <w:b/>
              </w:rPr>
            </w:pPr>
            <w:r>
              <w:rPr>
                <w:b/>
              </w:rPr>
              <w:t>图2  生产工艺流程及产污环节图</w:t>
            </w:r>
          </w:p>
          <w:p w14:paraId="15C42729">
            <w:pPr>
              <w:ind w:firstLine="482"/>
              <w:rPr>
                <w:b/>
              </w:rPr>
            </w:pPr>
            <w:r>
              <w:rPr>
                <w:b/>
              </w:rPr>
              <w:t>工艺流程简述（文字）：</w:t>
            </w:r>
          </w:p>
          <w:p w14:paraId="2B38E064">
            <w:pPr>
              <w:pStyle w:val="10"/>
              <w:ind w:firstLine="480"/>
            </w:pPr>
            <w:r>
              <w:t>项目外购水泥、粉煤灰、聚苯乙烯颗粒，粉煤灰、聚苯乙烯颗粒为袋装，水泥是通过水泥罐车经管道输送至水泥料仓。粉煤灰为吨袋包装，暂存生产车间内。</w:t>
            </w:r>
          </w:p>
          <w:p w14:paraId="15B1CC7B">
            <w:pPr>
              <w:pStyle w:val="52"/>
              <w:snapToGrid/>
              <w:ind w:firstLine="480"/>
              <w:rPr>
                <w:rFonts w:ascii="Times New Roman" w:hAnsi="Times New Roman" w:eastAsia="宋体" w:cs="Times New Roman"/>
                <w:sz w:val="24"/>
              </w:rPr>
            </w:pPr>
            <w:r>
              <w:rPr>
                <w:rFonts w:ascii="Times New Roman" w:hAnsi="Times New Roman" w:eastAsia="宋体" w:cs="Times New Roman"/>
                <w:sz w:val="24"/>
              </w:rPr>
              <w:t>发泡工序：在生产车间进行聚苯乙烯颗粒发泡工序，蒸汽发生器为发泡机提供蒸汽直接加热。在发泡过程中，含有发泡剂的聚苯乙烯颗粒缓缓加热至80℃前，并不发泡，只是发泡剂（戊烷）向外逃逸，此时聚苯乙烯颗粒的体积也不膨胀。当温度升高至80℃以上，最高温度为110℃，聚苯乙烯颗粒开始软化，分布在其内部的发泡剂受热汽化产生压力而使聚苯乙烯颗粒膨胀形成互不连通的泡孔，蒸气也渗透到已膨胀的泡孔中，增加了泡孔内的总压力。由于蒸气不断加入，压力不断增大，聚苯乙烯颗粒的体积也就不断增大，蒸气透入泡孔中的速度超过发泡剂从泡孔中透出的速度，使发泡剂在泡孔中来不及逸出，使聚合物牵伸呈橡胶状态，其强度足以平衡内部的压力。该过程会产生非甲烷总烃。发泡之后，轻质聚苯乙烯颗粒存放于密闭发泡颗粒仓中待用。此工序污染物主要为设备噪声、聚苯乙烯颗粒发泡产生的非甲烷总烃、蒸汽发生器产生的废气、噪声、废水及固废。</w:t>
            </w:r>
          </w:p>
          <w:p w14:paraId="3C8B2D4F">
            <w:pPr>
              <w:pStyle w:val="52"/>
              <w:snapToGrid/>
              <w:ind w:firstLine="480"/>
              <w:rPr>
                <w:rFonts w:ascii="Times New Roman" w:hAnsi="Times New Roman" w:eastAsia="宋体" w:cs="Times New Roman"/>
                <w:sz w:val="24"/>
              </w:rPr>
            </w:pPr>
            <w:r>
              <w:rPr>
                <w:rFonts w:ascii="Times New Roman" w:hAnsi="Times New Roman" w:eastAsia="宋体" w:cs="Times New Roman"/>
                <w:sz w:val="24"/>
              </w:rPr>
              <w:t>投料、搅拌工序：搅拌机上方架设一条管道与发泡颗粒仓连接，利用风机将轻质聚苯乙烯颗粒从发泡颗粒仓输送至搅拌机内。水泥料仓中的水泥经管道输送至搅拌机，吨袋粉煤灰用浆料输送泵经过管道送至搅拌机，输送过程是密闭的，水泥、粉煤灰送至搅拌机（搅拌器为全密闭）中并按量加水，启动搅拌机，使机内各物料混合搅拌均匀。水泥、粉煤灰与轻质聚苯乙烯颗粒混合，将轻质聚苯乙烯颗粒包裹在里面，发泡剂无法从泡孔中散出。此工序污染物主要为设备噪声、粉煤灰投料产生的粉尘、水泥料仓产生的粉尘。</w:t>
            </w:r>
          </w:p>
          <w:p w14:paraId="4A2FB3A9">
            <w:pPr>
              <w:pStyle w:val="52"/>
              <w:snapToGrid/>
              <w:ind w:firstLine="480"/>
              <w:rPr>
                <w:rFonts w:ascii="Times New Roman" w:hAnsi="Times New Roman" w:eastAsia="宋体" w:cs="Times New Roman"/>
                <w:sz w:val="24"/>
              </w:rPr>
            </w:pPr>
            <w:r>
              <w:rPr>
                <w:rFonts w:ascii="Times New Roman" w:hAnsi="Times New Roman" w:eastAsia="宋体" w:cs="Times New Roman"/>
                <w:sz w:val="24"/>
              </w:rPr>
              <w:t>压制工序：搅拌均匀的物料落入下方模箱内，装有物料的模箱进入压缩工位进行压制。此工序污染物主要为设备噪声。</w:t>
            </w:r>
          </w:p>
          <w:p w14:paraId="66C3ADAC">
            <w:pPr>
              <w:pStyle w:val="52"/>
              <w:snapToGrid/>
              <w:ind w:firstLine="480"/>
              <w:rPr>
                <w:rFonts w:ascii="Times New Roman" w:hAnsi="Times New Roman" w:eastAsia="宋体" w:cs="Times New Roman"/>
                <w:sz w:val="24"/>
              </w:rPr>
            </w:pPr>
            <w:r>
              <w:rPr>
                <w:rFonts w:ascii="Times New Roman" w:hAnsi="Times New Roman" w:eastAsia="宋体" w:cs="Times New Roman"/>
                <w:sz w:val="24"/>
              </w:rPr>
              <w:t>熟化工序：压制后的物料在模箱内静置4-6h进行熟化。此工序无污染物产生。</w:t>
            </w:r>
          </w:p>
          <w:p w14:paraId="702A290D">
            <w:pPr>
              <w:adjustRightInd/>
              <w:snapToGrid/>
              <w:ind w:firstLine="480"/>
              <w:rPr>
                <w:rFonts w:hint="eastAsia"/>
              </w:rPr>
            </w:pPr>
            <w:r>
              <w:t>切割工序：熟化后经过脱模机脱模，成尺寸为3040*1230*630（单位：mm）的固体大块，取出后将块状物料通过自动切割机切成客户要求尺寸的板状，即成品。此工序污染物主要为设备噪声、切割粉尘、切割料。</w:t>
            </w:r>
          </w:p>
          <w:p w14:paraId="078CF760">
            <w:pPr>
              <w:pStyle w:val="28"/>
              <w:ind w:firstLine="480"/>
            </w:pPr>
          </w:p>
          <w:p w14:paraId="559AC9E4">
            <w:pPr>
              <w:ind w:firstLine="0" w:firstLineChars="0"/>
              <w:rPr>
                <w:b/>
              </w:rPr>
            </w:pPr>
            <w:r>
              <w:rPr>
                <w:b/>
              </w:rPr>
              <w:t>主要污染工序：</w:t>
            </w:r>
          </w:p>
          <w:p w14:paraId="4D614CCA">
            <w:pPr>
              <w:pStyle w:val="28"/>
              <w:ind w:firstLine="480"/>
            </w:pPr>
            <w:r>
              <w:t>本项目主要污染因子见下表。</w:t>
            </w:r>
          </w:p>
          <w:p w14:paraId="158E2D6B">
            <w:pPr>
              <w:adjustRightInd/>
              <w:snapToGrid/>
              <w:spacing w:line="240" w:lineRule="auto"/>
              <w:ind w:left="24" w:leftChars="10" w:right="24" w:rightChars="10" w:firstLine="0" w:firstLineChars="0"/>
              <w:jc w:val="center"/>
              <w:rPr>
                <w:b/>
              </w:rPr>
            </w:pPr>
            <w:r>
              <w:rPr>
                <w:b/>
              </w:rPr>
              <w:t>表9 项目主要产污节点及产污因子</w:t>
            </w:r>
          </w:p>
          <w:tbl>
            <w:tblPr>
              <w:tblStyle w:val="24"/>
              <w:tblW w:w="5000"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541"/>
              <w:gridCol w:w="2796"/>
              <w:gridCol w:w="2457"/>
            </w:tblGrid>
            <w:tr w14:paraId="16A3645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Align w:val="center"/>
                </w:tcPr>
                <w:p w14:paraId="088253CC">
                  <w:pPr>
                    <w:spacing w:before="4" w:after="4" w:line="240" w:lineRule="auto"/>
                    <w:ind w:firstLine="0" w:firstLineChars="0"/>
                    <w:jc w:val="center"/>
                    <w:rPr>
                      <w:kern w:val="0"/>
                      <w:sz w:val="21"/>
                      <w:szCs w:val="21"/>
                    </w:rPr>
                  </w:pPr>
                  <w:r>
                    <w:rPr>
                      <w:kern w:val="0"/>
                      <w:sz w:val="21"/>
                      <w:szCs w:val="21"/>
                    </w:rPr>
                    <w:t>评价时段</w:t>
                  </w:r>
                </w:p>
              </w:tc>
              <w:tc>
                <w:tcPr>
                  <w:tcW w:w="969" w:type="pct"/>
                  <w:vAlign w:val="center"/>
                </w:tcPr>
                <w:p w14:paraId="692E8FE8">
                  <w:pPr>
                    <w:spacing w:before="4" w:after="4" w:line="240" w:lineRule="auto"/>
                    <w:ind w:firstLine="0" w:firstLineChars="0"/>
                    <w:jc w:val="center"/>
                    <w:rPr>
                      <w:kern w:val="0"/>
                      <w:sz w:val="21"/>
                      <w:szCs w:val="21"/>
                    </w:rPr>
                  </w:pPr>
                  <w:r>
                    <w:rPr>
                      <w:kern w:val="0"/>
                      <w:sz w:val="21"/>
                      <w:szCs w:val="21"/>
                    </w:rPr>
                    <w:t>类别</w:t>
                  </w:r>
                </w:p>
              </w:tc>
              <w:tc>
                <w:tcPr>
                  <w:tcW w:w="1758" w:type="pct"/>
                  <w:vAlign w:val="center"/>
                </w:tcPr>
                <w:p w14:paraId="61A4883C">
                  <w:pPr>
                    <w:spacing w:before="4" w:after="4" w:line="240" w:lineRule="auto"/>
                    <w:ind w:firstLine="0" w:firstLineChars="0"/>
                    <w:jc w:val="center"/>
                    <w:rPr>
                      <w:kern w:val="0"/>
                      <w:sz w:val="21"/>
                      <w:szCs w:val="21"/>
                    </w:rPr>
                  </w:pPr>
                  <w:r>
                    <w:rPr>
                      <w:kern w:val="0"/>
                      <w:sz w:val="21"/>
                      <w:szCs w:val="21"/>
                    </w:rPr>
                    <w:t>产污节点</w:t>
                  </w:r>
                </w:p>
              </w:tc>
              <w:tc>
                <w:tcPr>
                  <w:tcW w:w="1544" w:type="pct"/>
                  <w:vAlign w:val="center"/>
                </w:tcPr>
                <w:p w14:paraId="75E3869E">
                  <w:pPr>
                    <w:spacing w:before="4" w:after="4" w:line="240" w:lineRule="auto"/>
                    <w:ind w:firstLine="0" w:firstLineChars="0"/>
                    <w:jc w:val="center"/>
                    <w:rPr>
                      <w:kern w:val="0"/>
                      <w:sz w:val="21"/>
                      <w:szCs w:val="21"/>
                    </w:rPr>
                  </w:pPr>
                  <w:r>
                    <w:rPr>
                      <w:kern w:val="0"/>
                      <w:sz w:val="21"/>
                      <w:szCs w:val="21"/>
                    </w:rPr>
                    <w:t>主要污染物</w:t>
                  </w:r>
                </w:p>
              </w:tc>
            </w:tr>
            <w:tr w14:paraId="4207F9A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restart"/>
                  <w:vAlign w:val="center"/>
                </w:tcPr>
                <w:p w14:paraId="045E15BA">
                  <w:pPr>
                    <w:spacing w:before="4" w:after="4" w:line="240" w:lineRule="auto"/>
                    <w:ind w:firstLine="0" w:firstLineChars="0"/>
                    <w:jc w:val="center"/>
                    <w:rPr>
                      <w:kern w:val="0"/>
                      <w:sz w:val="21"/>
                      <w:szCs w:val="21"/>
                    </w:rPr>
                  </w:pPr>
                  <w:r>
                    <w:rPr>
                      <w:kern w:val="0"/>
                      <w:sz w:val="21"/>
                      <w:szCs w:val="21"/>
                    </w:rPr>
                    <w:t>运营期</w:t>
                  </w:r>
                </w:p>
              </w:tc>
              <w:tc>
                <w:tcPr>
                  <w:tcW w:w="969" w:type="pct"/>
                  <w:vMerge w:val="restart"/>
                  <w:vAlign w:val="center"/>
                </w:tcPr>
                <w:p w14:paraId="291D103E">
                  <w:pPr>
                    <w:spacing w:before="4" w:after="4" w:line="240" w:lineRule="auto"/>
                    <w:ind w:firstLine="0" w:firstLineChars="0"/>
                    <w:jc w:val="center"/>
                    <w:rPr>
                      <w:kern w:val="0"/>
                      <w:sz w:val="21"/>
                      <w:szCs w:val="21"/>
                    </w:rPr>
                  </w:pPr>
                  <w:r>
                    <w:rPr>
                      <w:kern w:val="0"/>
                      <w:sz w:val="21"/>
                      <w:szCs w:val="21"/>
                    </w:rPr>
                    <w:t>废气</w:t>
                  </w:r>
                </w:p>
              </w:tc>
              <w:tc>
                <w:tcPr>
                  <w:tcW w:w="1758" w:type="pct"/>
                  <w:vAlign w:val="center"/>
                </w:tcPr>
                <w:p w14:paraId="386659E4">
                  <w:pPr>
                    <w:spacing w:before="4" w:after="4" w:line="240" w:lineRule="auto"/>
                    <w:ind w:firstLine="0" w:firstLineChars="0"/>
                    <w:jc w:val="center"/>
                    <w:rPr>
                      <w:kern w:val="0"/>
                      <w:sz w:val="21"/>
                      <w:szCs w:val="21"/>
                    </w:rPr>
                  </w:pPr>
                  <w:r>
                    <w:rPr>
                      <w:kern w:val="0"/>
                      <w:sz w:val="21"/>
                      <w:szCs w:val="21"/>
                    </w:rPr>
                    <w:t>发泡工序</w:t>
                  </w:r>
                </w:p>
              </w:tc>
              <w:tc>
                <w:tcPr>
                  <w:tcW w:w="1544" w:type="pct"/>
                  <w:vAlign w:val="center"/>
                </w:tcPr>
                <w:p w14:paraId="1AFFA5A4">
                  <w:pPr>
                    <w:spacing w:before="4" w:after="4" w:line="240" w:lineRule="auto"/>
                    <w:ind w:firstLine="0" w:firstLineChars="0"/>
                    <w:jc w:val="center"/>
                    <w:rPr>
                      <w:kern w:val="0"/>
                      <w:sz w:val="21"/>
                      <w:szCs w:val="21"/>
                    </w:rPr>
                  </w:pPr>
                  <w:r>
                    <w:rPr>
                      <w:sz w:val="21"/>
                      <w:szCs w:val="21"/>
                    </w:rPr>
                    <w:t>非甲烷总烃</w:t>
                  </w:r>
                </w:p>
              </w:tc>
            </w:tr>
            <w:tr w14:paraId="503EEF8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continue"/>
                  <w:vAlign w:val="center"/>
                </w:tcPr>
                <w:p w14:paraId="524FEDA7">
                  <w:pPr>
                    <w:spacing w:before="4" w:after="4" w:line="240" w:lineRule="auto"/>
                    <w:ind w:firstLine="0" w:firstLineChars="0"/>
                    <w:jc w:val="center"/>
                    <w:rPr>
                      <w:kern w:val="0"/>
                      <w:sz w:val="21"/>
                      <w:szCs w:val="21"/>
                    </w:rPr>
                  </w:pPr>
                </w:p>
              </w:tc>
              <w:tc>
                <w:tcPr>
                  <w:tcW w:w="969" w:type="pct"/>
                  <w:vMerge w:val="continue"/>
                  <w:vAlign w:val="center"/>
                </w:tcPr>
                <w:p w14:paraId="6C1704C5">
                  <w:pPr>
                    <w:spacing w:before="4" w:after="4" w:line="240" w:lineRule="auto"/>
                    <w:ind w:firstLine="0" w:firstLineChars="0"/>
                    <w:jc w:val="center"/>
                    <w:rPr>
                      <w:kern w:val="0"/>
                      <w:sz w:val="21"/>
                      <w:szCs w:val="21"/>
                    </w:rPr>
                  </w:pPr>
                </w:p>
              </w:tc>
              <w:tc>
                <w:tcPr>
                  <w:tcW w:w="1758" w:type="pct"/>
                  <w:vAlign w:val="center"/>
                </w:tcPr>
                <w:p w14:paraId="7E88BC22">
                  <w:pPr>
                    <w:spacing w:before="4" w:after="4" w:line="240" w:lineRule="auto"/>
                    <w:ind w:firstLine="0" w:firstLineChars="0"/>
                    <w:jc w:val="center"/>
                    <w:rPr>
                      <w:kern w:val="0"/>
                      <w:sz w:val="21"/>
                      <w:szCs w:val="21"/>
                    </w:rPr>
                  </w:pPr>
                  <w:r>
                    <w:rPr>
                      <w:kern w:val="0"/>
                      <w:sz w:val="21"/>
                      <w:szCs w:val="21"/>
                    </w:rPr>
                    <w:t>生物质蒸汽发生器</w:t>
                  </w:r>
                </w:p>
              </w:tc>
              <w:tc>
                <w:tcPr>
                  <w:tcW w:w="1544" w:type="pct"/>
                  <w:vAlign w:val="center"/>
                </w:tcPr>
                <w:p w14:paraId="3605D218">
                  <w:pPr>
                    <w:spacing w:before="4" w:after="4" w:line="240" w:lineRule="auto"/>
                    <w:ind w:firstLine="0" w:firstLineChars="0"/>
                    <w:jc w:val="center"/>
                    <w:rPr>
                      <w:sz w:val="21"/>
                      <w:szCs w:val="21"/>
                    </w:rPr>
                  </w:pPr>
                  <w:r>
                    <w:rPr>
                      <w:sz w:val="21"/>
                      <w:szCs w:val="21"/>
                    </w:rPr>
                    <w:t>烟尘、二氧化硫、氮氧化物</w:t>
                  </w:r>
                </w:p>
              </w:tc>
            </w:tr>
            <w:tr w14:paraId="74A2176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continue"/>
                  <w:vAlign w:val="center"/>
                </w:tcPr>
                <w:p w14:paraId="6E0B729A">
                  <w:pPr>
                    <w:spacing w:before="4" w:after="4" w:line="240" w:lineRule="auto"/>
                    <w:ind w:firstLine="0" w:firstLineChars="0"/>
                    <w:jc w:val="center"/>
                    <w:rPr>
                      <w:kern w:val="0"/>
                      <w:sz w:val="21"/>
                      <w:szCs w:val="21"/>
                    </w:rPr>
                  </w:pPr>
                </w:p>
              </w:tc>
              <w:tc>
                <w:tcPr>
                  <w:tcW w:w="969" w:type="pct"/>
                  <w:vMerge w:val="continue"/>
                  <w:vAlign w:val="center"/>
                </w:tcPr>
                <w:p w14:paraId="6239D430">
                  <w:pPr>
                    <w:spacing w:before="4" w:after="4" w:line="240" w:lineRule="auto"/>
                    <w:ind w:firstLine="0" w:firstLineChars="0"/>
                    <w:jc w:val="center"/>
                    <w:rPr>
                      <w:kern w:val="0"/>
                      <w:sz w:val="21"/>
                      <w:szCs w:val="21"/>
                    </w:rPr>
                  </w:pPr>
                </w:p>
              </w:tc>
              <w:tc>
                <w:tcPr>
                  <w:tcW w:w="1758" w:type="pct"/>
                  <w:vAlign w:val="center"/>
                </w:tcPr>
                <w:p w14:paraId="46E3F0AB">
                  <w:pPr>
                    <w:spacing w:before="4" w:after="4" w:line="240" w:lineRule="auto"/>
                    <w:ind w:firstLine="0" w:firstLineChars="0"/>
                    <w:jc w:val="center"/>
                    <w:rPr>
                      <w:kern w:val="0"/>
                      <w:sz w:val="21"/>
                      <w:szCs w:val="21"/>
                    </w:rPr>
                  </w:pPr>
                  <w:r>
                    <w:rPr>
                      <w:kern w:val="0"/>
                      <w:sz w:val="21"/>
                      <w:szCs w:val="21"/>
                    </w:rPr>
                    <w:t>切割工序</w:t>
                  </w:r>
                </w:p>
              </w:tc>
              <w:tc>
                <w:tcPr>
                  <w:tcW w:w="1544" w:type="pct"/>
                  <w:vAlign w:val="center"/>
                </w:tcPr>
                <w:p w14:paraId="7D86FE35">
                  <w:pPr>
                    <w:spacing w:before="4" w:after="4" w:line="240" w:lineRule="auto"/>
                    <w:ind w:firstLine="0" w:firstLineChars="0"/>
                    <w:jc w:val="center"/>
                    <w:rPr>
                      <w:sz w:val="21"/>
                      <w:szCs w:val="21"/>
                    </w:rPr>
                  </w:pPr>
                  <w:r>
                    <w:rPr>
                      <w:sz w:val="21"/>
                      <w:szCs w:val="21"/>
                    </w:rPr>
                    <w:t>粉尘</w:t>
                  </w:r>
                </w:p>
              </w:tc>
            </w:tr>
            <w:tr w14:paraId="64D6824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continue"/>
                  <w:vAlign w:val="center"/>
                </w:tcPr>
                <w:p w14:paraId="6690233B">
                  <w:pPr>
                    <w:spacing w:before="4" w:after="4" w:line="240" w:lineRule="auto"/>
                    <w:ind w:firstLine="0" w:firstLineChars="0"/>
                    <w:jc w:val="center"/>
                    <w:rPr>
                      <w:kern w:val="0"/>
                      <w:sz w:val="21"/>
                      <w:szCs w:val="21"/>
                    </w:rPr>
                  </w:pPr>
                </w:p>
              </w:tc>
              <w:tc>
                <w:tcPr>
                  <w:tcW w:w="969" w:type="pct"/>
                  <w:vMerge w:val="continue"/>
                  <w:vAlign w:val="center"/>
                </w:tcPr>
                <w:p w14:paraId="5EB461C5">
                  <w:pPr>
                    <w:spacing w:before="4" w:after="4" w:line="240" w:lineRule="auto"/>
                    <w:ind w:firstLine="0" w:firstLineChars="0"/>
                    <w:jc w:val="center"/>
                    <w:rPr>
                      <w:kern w:val="0"/>
                      <w:sz w:val="21"/>
                      <w:szCs w:val="21"/>
                    </w:rPr>
                  </w:pPr>
                </w:p>
              </w:tc>
              <w:tc>
                <w:tcPr>
                  <w:tcW w:w="1758" w:type="pct"/>
                  <w:vAlign w:val="center"/>
                </w:tcPr>
                <w:p w14:paraId="338D2A84">
                  <w:pPr>
                    <w:spacing w:before="4" w:after="4" w:line="240" w:lineRule="auto"/>
                    <w:ind w:firstLine="0" w:firstLineChars="0"/>
                    <w:jc w:val="center"/>
                    <w:rPr>
                      <w:kern w:val="0"/>
                      <w:sz w:val="21"/>
                      <w:szCs w:val="21"/>
                    </w:rPr>
                  </w:pPr>
                  <w:r>
                    <w:rPr>
                      <w:kern w:val="0"/>
                      <w:sz w:val="21"/>
                      <w:szCs w:val="21"/>
                    </w:rPr>
                    <w:t>投料工序</w:t>
                  </w:r>
                </w:p>
              </w:tc>
              <w:tc>
                <w:tcPr>
                  <w:tcW w:w="1544" w:type="pct"/>
                  <w:vAlign w:val="center"/>
                </w:tcPr>
                <w:p w14:paraId="5575F0F9">
                  <w:pPr>
                    <w:spacing w:before="4" w:after="4" w:line="240" w:lineRule="auto"/>
                    <w:ind w:firstLine="0" w:firstLineChars="0"/>
                    <w:jc w:val="center"/>
                    <w:rPr>
                      <w:sz w:val="21"/>
                      <w:szCs w:val="21"/>
                    </w:rPr>
                  </w:pPr>
                  <w:r>
                    <w:rPr>
                      <w:sz w:val="21"/>
                      <w:szCs w:val="21"/>
                    </w:rPr>
                    <w:t>粉尘</w:t>
                  </w:r>
                </w:p>
              </w:tc>
            </w:tr>
            <w:tr w14:paraId="0DCD5F0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continue"/>
                  <w:vAlign w:val="center"/>
                </w:tcPr>
                <w:p w14:paraId="0F815021">
                  <w:pPr>
                    <w:spacing w:before="4" w:after="4" w:line="240" w:lineRule="auto"/>
                    <w:ind w:firstLine="0" w:firstLineChars="0"/>
                    <w:jc w:val="center"/>
                    <w:rPr>
                      <w:kern w:val="0"/>
                      <w:sz w:val="21"/>
                      <w:szCs w:val="21"/>
                    </w:rPr>
                  </w:pPr>
                </w:p>
              </w:tc>
              <w:tc>
                <w:tcPr>
                  <w:tcW w:w="969" w:type="pct"/>
                  <w:vMerge w:val="continue"/>
                  <w:vAlign w:val="center"/>
                </w:tcPr>
                <w:p w14:paraId="5D3B3BAF">
                  <w:pPr>
                    <w:spacing w:before="4" w:after="4" w:line="240" w:lineRule="auto"/>
                    <w:ind w:firstLine="0" w:firstLineChars="0"/>
                    <w:jc w:val="center"/>
                    <w:rPr>
                      <w:kern w:val="0"/>
                      <w:sz w:val="21"/>
                      <w:szCs w:val="21"/>
                    </w:rPr>
                  </w:pPr>
                </w:p>
              </w:tc>
              <w:tc>
                <w:tcPr>
                  <w:tcW w:w="1758" w:type="pct"/>
                  <w:vAlign w:val="center"/>
                </w:tcPr>
                <w:p w14:paraId="5AED3392">
                  <w:pPr>
                    <w:spacing w:before="4" w:after="4" w:line="240" w:lineRule="auto"/>
                    <w:ind w:firstLine="0" w:firstLineChars="0"/>
                    <w:jc w:val="center"/>
                    <w:rPr>
                      <w:kern w:val="0"/>
                      <w:sz w:val="21"/>
                      <w:szCs w:val="21"/>
                    </w:rPr>
                  </w:pPr>
                  <w:r>
                    <w:rPr>
                      <w:kern w:val="0"/>
                      <w:sz w:val="21"/>
                      <w:szCs w:val="21"/>
                    </w:rPr>
                    <w:t>水泥料仓</w:t>
                  </w:r>
                </w:p>
              </w:tc>
              <w:tc>
                <w:tcPr>
                  <w:tcW w:w="1544" w:type="pct"/>
                  <w:vAlign w:val="center"/>
                </w:tcPr>
                <w:p w14:paraId="25076AB9">
                  <w:pPr>
                    <w:spacing w:before="4" w:after="4" w:line="240" w:lineRule="auto"/>
                    <w:ind w:firstLine="0" w:firstLineChars="0"/>
                    <w:jc w:val="center"/>
                    <w:rPr>
                      <w:sz w:val="21"/>
                      <w:szCs w:val="21"/>
                    </w:rPr>
                  </w:pPr>
                  <w:r>
                    <w:rPr>
                      <w:sz w:val="21"/>
                      <w:szCs w:val="21"/>
                    </w:rPr>
                    <w:t>粉尘</w:t>
                  </w:r>
                </w:p>
              </w:tc>
            </w:tr>
            <w:tr w14:paraId="02B3E72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7" w:type="pct"/>
                  <w:vMerge w:val="continue"/>
                  <w:vAlign w:val="center"/>
                </w:tcPr>
                <w:p w14:paraId="1649099D">
                  <w:pPr>
                    <w:widowControl/>
                    <w:adjustRightInd/>
                    <w:snapToGrid/>
                    <w:spacing w:before="4" w:after="4" w:line="240" w:lineRule="auto"/>
                    <w:ind w:firstLine="0" w:firstLineChars="0"/>
                    <w:jc w:val="center"/>
                    <w:rPr>
                      <w:kern w:val="0"/>
                      <w:sz w:val="21"/>
                      <w:szCs w:val="21"/>
                    </w:rPr>
                  </w:pPr>
                </w:p>
              </w:tc>
              <w:tc>
                <w:tcPr>
                  <w:tcW w:w="969" w:type="pct"/>
                  <w:vAlign w:val="center"/>
                </w:tcPr>
                <w:p w14:paraId="3D12BA2E">
                  <w:pPr>
                    <w:spacing w:before="4" w:after="4" w:line="240" w:lineRule="auto"/>
                    <w:ind w:firstLine="0" w:firstLineChars="0"/>
                    <w:jc w:val="center"/>
                    <w:rPr>
                      <w:kern w:val="0"/>
                      <w:sz w:val="21"/>
                      <w:szCs w:val="21"/>
                    </w:rPr>
                  </w:pPr>
                  <w:r>
                    <w:rPr>
                      <w:kern w:val="0"/>
                      <w:sz w:val="21"/>
                      <w:szCs w:val="21"/>
                    </w:rPr>
                    <w:t>噪声</w:t>
                  </w:r>
                </w:p>
              </w:tc>
              <w:tc>
                <w:tcPr>
                  <w:tcW w:w="1758" w:type="pct"/>
                  <w:vAlign w:val="center"/>
                </w:tcPr>
                <w:p w14:paraId="54390F9F">
                  <w:pPr>
                    <w:spacing w:before="4" w:after="4" w:line="240" w:lineRule="auto"/>
                    <w:ind w:firstLine="0" w:firstLineChars="0"/>
                    <w:jc w:val="center"/>
                    <w:rPr>
                      <w:kern w:val="0"/>
                      <w:sz w:val="21"/>
                      <w:szCs w:val="21"/>
                    </w:rPr>
                  </w:pPr>
                  <w:r>
                    <w:rPr>
                      <w:kern w:val="0"/>
                      <w:sz w:val="21"/>
                      <w:szCs w:val="21"/>
                    </w:rPr>
                    <w:t>设备运行等噪声</w:t>
                  </w:r>
                </w:p>
              </w:tc>
              <w:tc>
                <w:tcPr>
                  <w:tcW w:w="1544" w:type="pct"/>
                  <w:vAlign w:val="center"/>
                </w:tcPr>
                <w:p w14:paraId="52F5F731">
                  <w:pPr>
                    <w:spacing w:before="4" w:after="4" w:line="240" w:lineRule="auto"/>
                    <w:ind w:firstLine="0" w:firstLineChars="0"/>
                    <w:jc w:val="center"/>
                    <w:rPr>
                      <w:kern w:val="0"/>
                      <w:sz w:val="21"/>
                      <w:szCs w:val="21"/>
                    </w:rPr>
                  </w:pPr>
                  <w:r>
                    <w:rPr>
                      <w:kern w:val="0"/>
                      <w:sz w:val="21"/>
                      <w:szCs w:val="21"/>
                    </w:rPr>
                    <w:t>等效A声级</w:t>
                  </w:r>
                </w:p>
              </w:tc>
            </w:tr>
            <w:tr w14:paraId="09D8176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7" w:type="pct"/>
                  <w:vMerge w:val="continue"/>
                  <w:vAlign w:val="center"/>
                </w:tcPr>
                <w:p w14:paraId="05B5F0C0">
                  <w:pPr>
                    <w:widowControl/>
                    <w:adjustRightInd/>
                    <w:snapToGrid/>
                    <w:spacing w:before="4" w:after="4" w:line="240" w:lineRule="auto"/>
                    <w:ind w:firstLine="0" w:firstLineChars="0"/>
                    <w:jc w:val="center"/>
                    <w:rPr>
                      <w:kern w:val="0"/>
                      <w:sz w:val="21"/>
                      <w:szCs w:val="21"/>
                    </w:rPr>
                  </w:pPr>
                </w:p>
              </w:tc>
              <w:tc>
                <w:tcPr>
                  <w:tcW w:w="969" w:type="pct"/>
                  <w:vMerge w:val="restart"/>
                  <w:vAlign w:val="center"/>
                </w:tcPr>
                <w:p w14:paraId="42089FBB">
                  <w:pPr>
                    <w:widowControl/>
                    <w:adjustRightInd/>
                    <w:snapToGrid/>
                    <w:spacing w:before="4" w:after="4" w:line="240" w:lineRule="auto"/>
                    <w:ind w:firstLine="0" w:firstLineChars="0"/>
                    <w:jc w:val="center"/>
                    <w:rPr>
                      <w:kern w:val="0"/>
                      <w:sz w:val="21"/>
                      <w:szCs w:val="21"/>
                    </w:rPr>
                  </w:pPr>
                  <w:r>
                    <w:rPr>
                      <w:sz w:val="21"/>
                      <w:szCs w:val="21"/>
                    </w:rPr>
                    <w:t>固体废物</w:t>
                  </w:r>
                </w:p>
              </w:tc>
              <w:tc>
                <w:tcPr>
                  <w:tcW w:w="1758" w:type="pct"/>
                  <w:vAlign w:val="center"/>
                </w:tcPr>
                <w:p w14:paraId="06347EFA">
                  <w:pPr>
                    <w:spacing w:before="4" w:after="4" w:line="240" w:lineRule="auto"/>
                    <w:ind w:firstLine="0" w:firstLineChars="0"/>
                    <w:jc w:val="center"/>
                    <w:rPr>
                      <w:kern w:val="0"/>
                      <w:sz w:val="21"/>
                      <w:szCs w:val="21"/>
                    </w:rPr>
                  </w:pPr>
                  <w:r>
                    <w:rPr>
                      <w:kern w:val="0"/>
                      <w:sz w:val="21"/>
                      <w:szCs w:val="21"/>
                    </w:rPr>
                    <w:t>职工生活</w:t>
                  </w:r>
                </w:p>
              </w:tc>
              <w:tc>
                <w:tcPr>
                  <w:tcW w:w="1544" w:type="pct"/>
                  <w:vAlign w:val="center"/>
                </w:tcPr>
                <w:p w14:paraId="7D25FFC5">
                  <w:pPr>
                    <w:spacing w:before="4" w:after="4" w:line="240" w:lineRule="auto"/>
                    <w:ind w:firstLine="0" w:firstLineChars="0"/>
                    <w:jc w:val="center"/>
                    <w:rPr>
                      <w:kern w:val="0"/>
                      <w:sz w:val="21"/>
                      <w:szCs w:val="21"/>
                    </w:rPr>
                  </w:pPr>
                  <w:r>
                    <w:rPr>
                      <w:kern w:val="0"/>
                      <w:sz w:val="21"/>
                      <w:szCs w:val="21"/>
                    </w:rPr>
                    <w:t>生活垃圾</w:t>
                  </w:r>
                </w:p>
              </w:tc>
            </w:tr>
            <w:tr w14:paraId="77D629A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7" w:type="pct"/>
                  <w:vMerge w:val="continue"/>
                  <w:vAlign w:val="center"/>
                </w:tcPr>
                <w:p w14:paraId="32762699">
                  <w:pPr>
                    <w:widowControl/>
                    <w:adjustRightInd/>
                    <w:snapToGrid/>
                    <w:spacing w:before="4" w:after="4" w:line="240" w:lineRule="auto"/>
                    <w:ind w:firstLine="0" w:firstLineChars="0"/>
                    <w:jc w:val="center"/>
                    <w:rPr>
                      <w:kern w:val="0"/>
                      <w:sz w:val="21"/>
                      <w:szCs w:val="21"/>
                    </w:rPr>
                  </w:pPr>
                </w:p>
              </w:tc>
              <w:tc>
                <w:tcPr>
                  <w:tcW w:w="969" w:type="pct"/>
                  <w:vMerge w:val="continue"/>
                  <w:vAlign w:val="center"/>
                </w:tcPr>
                <w:p w14:paraId="0F4210D5">
                  <w:pPr>
                    <w:widowControl/>
                    <w:adjustRightInd/>
                    <w:snapToGrid/>
                    <w:spacing w:before="4" w:after="4" w:line="240" w:lineRule="auto"/>
                    <w:ind w:firstLine="0" w:firstLineChars="0"/>
                    <w:jc w:val="center"/>
                    <w:rPr>
                      <w:sz w:val="21"/>
                      <w:szCs w:val="21"/>
                    </w:rPr>
                  </w:pPr>
                </w:p>
              </w:tc>
              <w:tc>
                <w:tcPr>
                  <w:tcW w:w="1758" w:type="pct"/>
                  <w:vAlign w:val="center"/>
                </w:tcPr>
                <w:p w14:paraId="76572FAA">
                  <w:pPr>
                    <w:spacing w:before="4" w:after="4" w:line="240" w:lineRule="auto"/>
                    <w:ind w:firstLine="0" w:firstLineChars="0"/>
                    <w:jc w:val="center"/>
                    <w:rPr>
                      <w:kern w:val="0"/>
                      <w:sz w:val="21"/>
                      <w:szCs w:val="21"/>
                    </w:rPr>
                  </w:pPr>
                  <w:r>
                    <w:rPr>
                      <w:kern w:val="0"/>
                      <w:sz w:val="21"/>
                      <w:szCs w:val="21"/>
                    </w:rPr>
                    <w:t>切割工序</w:t>
                  </w:r>
                </w:p>
              </w:tc>
              <w:tc>
                <w:tcPr>
                  <w:tcW w:w="1544" w:type="pct"/>
                  <w:vAlign w:val="center"/>
                </w:tcPr>
                <w:p w14:paraId="65B1C870">
                  <w:pPr>
                    <w:spacing w:before="4" w:after="4" w:line="240" w:lineRule="auto"/>
                    <w:ind w:firstLine="0" w:firstLineChars="0"/>
                    <w:jc w:val="center"/>
                    <w:rPr>
                      <w:kern w:val="0"/>
                      <w:sz w:val="21"/>
                      <w:szCs w:val="21"/>
                    </w:rPr>
                  </w:pPr>
                  <w:r>
                    <w:rPr>
                      <w:kern w:val="0"/>
                      <w:sz w:val="21"/>
                      <w:szCs w:val="21"/>
                    </w:rPr>
                    <w:t>切割料</w:t>
                  </w:r>
                </w:p>
              </w:tc>
            </w:tr>
            <w:tr w14:paraId="5A34804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7" w:type="pct"/>
                  <w:vMerge w:val="continue"/>
                  <w:vAlign w:val="center"/>
                </w:tcPr>
                <w:p w14:paraId="4A6F2FAE">
                  <w:pPr>
                    <w:widowControl/>
                    <w:adjustRightInd/>
                    <w:snapToGrid/>
                    <w:spacing w:before="4" w:after="4" w:line="240" w:lineRule="auto"/>
                    <w:ind w:firstLine="0" w:firstLineChars="0"/>
                    <w:jc w:val="center"/>
                    <w:rPr>
                      <w:kern w:val="0"/>
                      <w:sz w:val="21"/>
                      <w:szCs w:val="21"/>
                    </w:rPr>
                  </w:pPr>
                </w:p>
              </w:tc>
              <w:tc>
                <w:tcPr>
                  <w:tcW w:w="969" w:type="pct"/>
                  <w:vMerge w:val="continue"/>
                  <w:vAlign w:val="center"/>
                </w:tcPr>
                <w:p w14:paraId="066C3DF4">
                  <w:pPr>
                    <w:widowControl/>
                    <w:adjustRightInd/>
                    <w:snapToGrid/>
                    <w:spacing w:before="4" w:after="4" w:line="240" w:lineRule="auto"/>
                    <w:ind w:firstLine="0" w:firstLineChars="0"/>
                    <w:jc w:val="center"/>
                    <w:rPr>
                      <w:sz w:val="21"/>
                      <w:szCs w:val="21"/>
                    </w:rPr>
                  </w:pPr>
                </w:p>
              </w:tc>
              <w:tc>
                <w:tcPr>
                  <w:tcW w:w="1758" w:type="pct"/>
                  <w:vAlign w:val="center"/>
                </w:tcPr>
                <w:p w14:paraId="03AEE694">
                  <w:pPr>
                    <w:spacing w:before="4" w:after="4" w:line="240" w:lineRule="auto"/>
                    <w:ind w:firstLine="0" w:firstLineChars="0"/>
                    <w:jc w:val="center"/>
                    <w:rPr>
                      <w:kern w:val="0"/>
                      <w:sz w:val="21"/>
                      <w:szCs w:val="21"/>
                    </w:rPr>
                  </w:pPr>
                  <w:r>
                    <w:rPr>
                      <w:kern w:val="0"/>
                      <w:sz w:val="21"/>
                      <w:szCs w:val="21"/>
                    </w:rPr>
                    <w:t>切割工序除尘设施</w:t>
                  </w:r>
                </w:p>
              </w:tc>
              <w:tc>
                <w:tcPr>
                  <w:tcW w:w="1544" w:type="pct"/>
                  <w:vAlign w:val="center"/>
                </w:tcPr>
                <w:p w14:paraId="07D24166">
                  <w:pPr>
                    <w:spacing w:before="4" w:after="4" w:line="240" w:lineRule="auto"/>
                    <w:ind w:firstLine="0" w:firstLineChars="0"/>
                    <w:jc w:val="center"/>
                    <w:rPr>
                      <w:kern w:val="0"/>
                      <w:sz w:val="21"/>
                      <w:szCs w:val="21"/>
                    </w:rPr>
                  </w:pPr>
                  <w:r>
                    <w:rPr>
                      <w:kern w:val="0"/>
                      <w:sz w:val="21"/>
                      <w:szCs w:val="21"/>
                    </w:rPr>
                    <w:t>粉尘</w:t>
                  </w:r>
                </w:p>
              </w:tc>
            </w:tr>
            <w:tr w14:paraId="1633F86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7" w:type="pct"/>
                  <w:vMerge w:val="continue"/>
                  <w:vAlign w:val="center"/>
                </w:tcPr>
                <w:p w14:paraId="323F8DDE">
                  <w:pPr>
                    <w:widowControl/>
                    <w:adjustRightInd/>
                    <w:snapToGrid/>
                    <w:spacing w:before="4" w:after="4" w:line="240" w:lineRule="auto"/>
                    <w:ind w:firstLine="0" w:firstLineChars="0"/>
                    <w:jc w:val="center"/>
                    <w:rPr>
                      <w:kern w:val="0"/>
                      <w:sz w:val="21"/>
                      <w:szCs w:val="21"/>
                    </w:rPr>
                  </w:pPr>
                </w:p>
              </w:tc>
              <w:tc>
                <w:tcPr>
                  <w:tcW w:w="969" w:type="pct"/>
                  <w:vMerge w:val="continue"/>
                  <w:vAlign w:val="center"/>
                </w:tcPr>
                <w:p w14:paraId="3AC01915">
                  <w:pPr>
                    <w:widowControl/>
                    <w:adjustRightInd/>
                    <w:snapToGrid/>
                    <w:spacing w:before="4" w:after="4" w:line="240" w:lineRule="auto"/>
                    <w:ind w:firstLine="0" w:firstLineChars="0"/>
                    <w:jc w:val="center"/>
                    <w:rPr>
                      <w:sz w:val="21"/>
                      <w:szCs w:val="21"/>
                    </w:rPr>
                  </w:pPr>
                </w:p>
              </w:tc>
              <w:tc>
                <w:tcPr>
                  <w:tcW w:w="1758" w:type="pct"/>
                  <w:vAlign w:val="center"/>
                </w:tcPr>
                <w:p w14:paraId="26CB1ACF">
                  <w:pPr>
                    <w:spacing w:before="4" w:after="4" w:line="240" w:lineRule="auto"/>
                    <w:ind w:firstLine="0" w:firstLineChars="0"/>
                    <w:jc w:val="center"/>
                    <w:rPr>
                      <w:kern w:val="0"/>
                      <w:sz w:val="21"/>
                      <w:szCs w:val="21"/>
                    </w:rPr>
                  </w:pPr>
                  <w:r>
                    <w:rPr>
                      <w:kern w:val="0"/>
                      <w:sz w:val="21"/>
                      <w:szCs w:val="21"/>
                    </w:rPr>
                    <w:t>软水装置</w:t>
                  </w:r>
                </w:p>
              </w:tc>
              <w:tc>
                <w:tcPr>
                  <w:tcW w:w="1544" w:type="pct"/>
                  <w:vAlign w:val="center"/>
                </w:tcPr>
                <w:p w14:paraId="68B83C39">
                  <w:pPr>
                    <w:spacing w:before="4" w:after="4" w:line="240" w:lineRule="auto"/>
                    <w:ind w:firstLine="0" w:firstLineChars="0"/>
                    <w:jc w:val="center"/>
                    <w:rPr>
                      <w:kern w:val="0"/>
                      <w:sz w:val="21"/>
                      <w:szCs w:val="21"/>
                    </w:rPr>
                  </w:pPr>
                  <w:r>
                    <w:rPr>
                      <w:kern w:val="0"/>
                      <w:sz w:val="21"/>
                      <w:szCs w:val="21"/>
                    </w:rPr>
                    <w:t>废离子交换树脂</w:t>
                  </w:r>
                </w:p>
              </w:tc>
            </w:tr>
            <w:tr w14:paraId="42CDB53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27" w:type="pct"/>
                  <w:vMerge w:val="continue"/>
                  <w:vAlign w:val="center"/>
                </w:tcPr>
                <w:p w14:paraId="62E7A735">
                  <w:pPr>
                    <w:widowControl/>
                    <w:adjustRightInd/>
                    <w:snapToGrid/>
                    <w:spacing w:before="4" w:after="4" w:line="240" w:lineRule="auto"/>
                    <w:ind w:firstLine="0" w:firstLineChars="0"/>
                    <w:jc w:val="center"/>
                    <w:rPr>
                      <w:kern w:val="0"/>
                      <w:sz w:val="21"/>
                      <w:szCs w:val="21"/>
                    </w:rPr>
                  </w:pPr>
                </w:p>
              </w:tc>
              <w:tc>
                <w:tcPr>
                  <w:tcW w:w="969" w:type="pct"/>
                  <w:vMerge w:val="continue"/>
                  <w:vAlign w:val="center"/>
                </w:tcPr>
                <w:p w14:paraId="78340EFB">
                  <w:pPr>
                    <w:widowControl/>
                    <w:adjustRightInd/>
                    <w:snapToGrid/>
                    <w:spacing w:before="4" w:after="4" w:line="240" w:lineRule="auto"/>
                    <w:ind w:firstLine="0" w:firstLineChars="0"/>
                    <w:jc w:val="center"/>
                    <w:rPr>
                      <w:sz w:val="21"/>
                      <w:szCs w:val="21"/>
                    </w:rPr>
                  </w:pPr>
                </w:p>
              </w:tc>
              <w:tc>
                <w:tcPr>
                  <w:tcW w:w="1758" w:type="pct"/>
                  <w:vAlign w:val="center"/>
                </w:tcPr>
                <w:p w14:paraId="5067CAAC">
                  <w:pPr>
                    <w:spacing w:before="4" w:after="4" w:line="240" w:lineRule="auto"/>
                    <w:ind w:firstLine="0" w:firstLineChars="0"/>
                    <w:jc w:val="center"/>
                    <w:rPr>
                      <w:kern w:val="0"/>
                      <w:sz w:val="21"/>
                      <w:szCs w:val="21"/>
                    </w:rPr>
                  </w:pPr>
                  <w:r>
                    <w:rPr>
                      <w:kern w:val="0"/>
                      <w:sz w:val="21"/>
                      <w:szCs w:val="21"/>
                    </w:rPr>
                    <w:t>生物质蒸汽发生器</w:t>
                  </w:r>
                </w:p>
              </w:tc>
              <w:tc>
                <w:tcPr>
                  <w:tcW w:w="1544" w:type="pct"/>
                  <w:vAlign w:val="center"/>
                </w:tcPr>
                <w:p w14:paraId="08EC7EF2">
                  <w:pPr>
                    <w:spacing w:before="4" w:after="4" w:line="240" w:lineRule="auto"/>
                    <w:ind w:firstLine="0" w:firstLineChars="0"/>
                    <w:jc w:val="center"/>
                    <w:rPr>
                      <w:kern w:val="0"/>
                      <w:sz w:val="21"/>
                      <w:szCs w:val="21"/>
                    </w:rPr>
                  </w:pPr>
                  <w:r>
                    <w:rPr>
                      <w:kern w:val="0"/>
                      <w:sz w:val="21"/>
                      <w:szCs w:val="21"/>
                    </w:rPr>
                    <w:t>灰渣、灰分</w:t>
                  </w:r>
                </w:p>
              </w:tc>
            </w:tr>
            <w:tr w14:paraId="75DD8B1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continue"/>
                  <w:vAlign w:val="center"/>
                </w:tcPr>
                <w:p w14:paraId="6A05E93B">
                  <w:pPr>
                    <w:widowControl/>
                    <w:adjustRightInd/>
                    <w:snapToGrid/>
                    <w:spacing w:before="4" w:after="4" w:line="240" w:lineRule="auto"/>
                    <w:ind w:firstLine="0" w:firstLineChars="0"/>
                    <w:jc w:val="center"/>
                    <w:rPr>
                      <w:kern w:val="0"/>
                      <w:sz w:val="21"/>
                      <w:szCs w:val="21"/>
                    </w:rPr>
                  </w:pPr>
                </w:p>
              </w:tc>
              <w:tc>
                <w:tcPr>
                  <w:tcW w:w="969" w:type="pct"/>
                  <w:vMerge w:val="restart"/>
                  <w:vAlign w:val="center"/>
                </w:tcPr>
                <w:p w14:paraId="5E858964">
                  <w:pPr>
                    <w:spacing w:before="4" w:after="4" w:line="240" w:lineRule="auto"/>
                    <w:ind w:firstLine="0" w:firstLineChars="0"/>
                    <w:jc w:val="center"/>
                    <w:rPr>
                      <w:kern w:val="0"/>
                      <w:sz w:val="21"/>
                      <w:szCs w:val="21"/>
                    </w:rPr>
                  </w:pPr>
                  <w:r>
                    <w:rPr>
                      <w:kern w:val="0"/>
                      <w:sz w:val="21"/>
                      <w:szCs w:val="21"/>
                    </w:rPr>
                    <w:t>废水</w:t>
                  </w:r>
                </w:p>
              </w:tc>
              <w:tc>
                <w:tcPr>
                  <w:tcW w:w="1758" w:type="pct"/>
                  <w:vAlign w:val="center"/>
                </w:tcPr>
                <w:p w14:paraId="7732E8F5">
                  <w:pPr>
                    <w:spacing w:before="4" w:after="4" w:line="240" w:lineRule="auto"/>
                    <w:ind w:firstLine="0" w:firstLineChars="0"/>
                    <w:jc w:val="center"/>
                    <w:rPr>
                      <w:kern w:val="0"/>
                      <w:sz w:val="21"/>
                      <w:szCs w:val="21"/>
                    </w:rPr>
                  </w:pPr>
                  <w:r>
                    <w:rPr>
                      <w:kern w:val="0"/>
                      <w:sz w:val="21"/>
                      <w:szCs w:val="21"/>
                    </w:rPr>
                    <w:t>职工生活污水</w:t>
                  </w:r>
                </w:p>
              </w:tc>
              <w:tc>
                <w:tcPr>
                  <w:tcW w:w="1544" w:type="pct"/>
                  <w:vAlign w:val="center"/>
                </w:tcPr>
                <w:p w14:paraId="4C020BB5">
                  <w:pPr>
                    <w:spacing w:before="4" w:after="4" w:line="240" w:lineRule="auto"/>
                    <w:ind w:firstLine="0" w:firstLineChars="0"/>
                    <w:jc w:val="center"/>
                    <w:rPr>
                      <w:kern w:val="0"/>
                      <w:sz w:val="21"/>
                      <w:szCs w:val="21"/>
                    </w:rPr>
                  </w:pPr>
                  <w:r>
                    <w:rPr>
                      <w:kern w:val="0"/>
                      <w:sz w:val="21"/>
                      <w:szCs w:val="21"/>
                    </w:rPr>
                    <w:t>COD、氨氮</w:t>
                  </w:r>
                </w:p>
              </w:tc>
            </w:tr>
            <w:tr w14:paraId="73CFE36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continue"/>
                  <w:vAlign w:val="center"/>
                </w:tcPr>
                <w:p w14:paraId="622DE7B2">
                  <w:pPr>
                    <w:widowControl/>
                    <w:adjustRightInd/>
                    <w:snapToGrid/>
                    <w:spacing w:before="4" w:after="4" w:line="240" w:lineRule="auto"/>
                    <w:ind w:firstLine="0" w:firstLineChars="0"/>
                    <w:jc w:val="center"/>
                    <w:rPr>
                      <w:kern w:val="0"/>
                      <w:sz w:val="21"/>
                      <w:szCs w:val="21"/>
                    </w:rPr>
                  </w:pPr>
                </w:p>
              </w:tc>
              <w:tc>
                <w:tcPr>
                  <w:tcW w:w="969" w:type="pct"/>
                  <w:vMerge w:val="continue"/>
                  <w:vAlign w:val="center"/>
                </w:tcPr>
                <w:p w14:paraId="2885E2AE">
                  <w:pPr>
                    <w:spacing w:before="4" w:after="4" w:line="240" w:lineRule="auto"/>
                    <w:ind w:firstLine="0" w:firstLineChars="0"/>
                    <w:jc w:val="center"/>
                    <w:rPr>
                      <w:kern w:val="0"/>
                      <w:sz w:val="21"/>
                      <w:szCs w:val="21"/>
                    </w:rPr>
                  </w:pPr>
                </w:p>
              </w:tc>
              <w:tc>
                <w:tcPr>
                  <w:tcW w:w="1758" w:type="pct"/>
                  <w:vAlign w:val="center"/>
                </w:tcPr>
                <w:p w14:paraId="57DD3C91">
                  <w:pPr>
                    <w:spacing w:before="4" w:after="4" w:line="240" w:lineRule="auto"/>
                    <w:ind w:firstLine="0" w:firstLineChars="0"/>
                    <w:jc w:val="center"/>
                    <w:rPr>
                      <w:kern w:val="0"/>
                      <w:sz w:val="21"/>
                      <w:szCs w:val="21"/>
                    </w:rPr>
                  </w:pPr>
                  <w:r>
                    <w:rPr>
                      <w:kern w:val="0"/>
                      <w:sz w:val="21"/>
                      <w:szCs w:val="21"/>
                    </w:rPr>
                    <w:t>生物质蒸汽发生器、软水装置</w:t>
                  </w:r>
                </w:p>
              </w:tc>
              <w:tc>
                <w:tcPr>
                  <w:tcW w:w="1544" w:type="pct"/>
                  <w:vAlign w:val="center"/>
                </w:tcPr>
                <w:p w14:paraId="1FC2F690">
                  <w:pPr>
                    <w:spacing w:before="4" w:after="4" w:line="240" w:lineRule="auto"/>
                    <w:ind w:firstLine="0" w:firstLineChars="0"/>
                    <w:jc w:val="center"/>
                    <w:rPr>
                      <w:kern w:val="0"/>
                      <w:sz w:val="21"/>
                      <w:szCs w:val="21"/>
                    </w:rPr>
                  </w:pPr>
                  <w:r>
                    <w:rPr>
                      <w:kern w:val="0"/>
                      <w:sz w:val="21"/>
                      <w:szCs w:val="21"/>
                    </w:rPr>
                    <w:t>COD、氨氮、SS</w:t>
                  </w:r>
                </w:p>
              </w:tc>
            </w:tr>
          </w:tbl>
          <w:p w14:paraId="6D745AF5">
            <w:pPr>
              <w:spacing w:line="240" w:lineRule="auto"/>
              <w:ind w:firstLine="480"/>
            </w:pPr>
          </w:p>
        </w:tc>
      </w:tr>
      <w:tr w14:paraId="415262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8" w:hRule="atLeast"/>
          <w:jc w:val="center"/>
        </w:trPr>
        <w:tc>
          <w:tcPr>
            <w:tcW w:w="534" w:type="dxa"/>
            <w:vAlign w:val="center"/>
          </w:tcPr>
          <w:p w14:paraId="25E8186D">
            <w:pPr>
              <w:pStyle w:val="4"/>
              <w:spacing w:before="120" w:after="120"/>
              <w:rPr>
                <w:szCs w:val="21"/>
              </w:rPr>
            </w:pPr>
            <w:r>
              <w:t>与项目有关的原有环境污染问题</w:t>
            </w:r>
          </w:p>
        </w:tc>
        <w:tc>
          <w:tcPr>
            <w:tcW w:w="7988" w:type="dxa"/>
          </w:tcPr>
          <w:p w14:paraId="2B7AB222">
            <w:pPr>
              <w:ind w:firstLine="480"/>
              <w:rPr>
                <w:rFonts w:hint="eastAsia"/>
              </w:rPr>
            </w:pPr>
          </w:p>
          <w:p w14:paraId="2392A742">
            <w:pPr>
              <w:ind w:firstLine="480"/>
              <w:rPr>
                <w:color w:val="FF0000"/>
              </w:rPr>
            </w:pPr>
            <w:r>
              <w:t>本项目为新建项目，项目租用锦鹤门业公司厂区内的部分厂房作为生产车间。</w:t>
            </w:r>
            <w:r>
              <w:rPr>
                <w:color w:val="FF0000"/>
              </w:rPr>
              <w:t>根据</w:t>
            </w:r>
            <w:r>
              <w:rPr>
                <w:rFonts w:hint="eastAsia"/>
                <w:color w:val="FF0000"/>
                <w:lang w:val="en-US" w:eastAsia="zh-CN"/>
              </w:rPr>
              <w:t>调查</w:t>
            </w:r>
            <w:r>
              <w:rPr>
                <w:color w:val="FF0000"/>
              </w:rPr>
              <w:t>，锦鹤门业公司于2001年5月建设的厂房，主要生产门。现锦鹤门业公司厂区北侧的厂房租用给混合肥生产公司，主要生产混合肥；厂区东侧的厂房为闲置状态，存放锦鹤门业公司原有设备等；厂区南侧的厂房租用给粮油公司，主要存放大米、面粉等粮油产品。</w:t>
            </w:r>
          </w:p>
          <w:p w14:paraId="49AA4278">
            <w:pPr>
              <w:ind w:firstLine="480"/>
            </w:pPr>
            <w:r>
              <w:rPr>
                <w:color w:val="FF0000"/>
              </w:rPr>
              <w:t>本项目租用厂区的中部厂房，根据建设单位提供资料，本次租用的厂房是原锦鹤门业公司存放产品的库房，地面硬化完整无损，无遗留的环保问题及对地下水、土壤遗留的污染问题</w:t>
            </w:r>
            <w:r>
              <w:rPr>
                <w:rFonts w:hint="eastAsia"/>
                <w:color w:val="FF0000"/>
              </w:rPr>
              <w:t>，</w:t>
            </w:r>
            <w:r>
              <w:rPr>
                <w:color w:val="FF0000"/>
              </w:rPr>
              <w:t>无与项目有关的原有环境污染问题。</w:t>
            </w:r>
          </w:p>
        </w:tc>
      </w:tr>
    </w:tbl>
    <w:p w14:paraId="32C81A16">
      <w:pPr>
        <w:ind w:firstLine="480"/>
        <w:sectPr>
          <w:footerReference r:id="rId11" w:type="default"/>
          <w:pgSz w:w="11907" w:h="16840"/>
          <w:pgMar w:top="1474" w:right="1701" w:bottom="1474" w:left="1701" w:header="851" w:footer="907" w:gutter="0"/>
          <w:pgNumType w:start="1"/>
          <w:cols w:space="720" w:num="1"/>
          <w:docGrid w:linePitch="312" w:charSpace="0"/>
        </w:sectPr>
      </w:pPr>
    </w:p>
    <w:p w14:paraId="7206B492">
      <w:pPr>
        <w:pStyle w:val="3"/>
        <w:spacing w:before="120"/>
      </w:pPr>
      <w:r>
        <w:t>三、区域环境质量现状、环境保护目标及评价标准</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8120"/>
      </w:tblGrid>
      <w:tr w14:paraId="61B138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717" w:type="dxa"/>
            <w:vAlign w:val="center"/>
          </w:tcPr>
          <w:p w14:paraId="2492D16E">
            <w:pPr>
              <w:pStyle w:val="4"/>
              <w:spacing w:before="120" w:after="120"/>
            </w:pPr>
            <w:r>
              <w:t>区域环境质量现状</w:t>
            </w:r>
          </w:p>
        </w:tc>
        <w:tc>
          <w:tcPr>
            <w:tcW w:w="8273" w:type="dxa"/>
            <w:vAlign w:val="center"/>
          </w:tcPr>
          <w:p w14:paraId="1C6897EE">
            <w:pPr>
              <w:pStyle w:val="5"/>
              <w:spacing w:before="120" w:after="120"/>
              <w:ind w:firstLine="562" w:firstLineChars="200"/>
              <w:rPr>
                <w:sz w:val="28"/>
              </w:rPr>
            </w:pPr>
            <w:r>
              <w:rPr>
                <w:sz w:val="28"/>
              </w:rPr>
              <w:t>一、环境空气质量现状</w:t>
            </w:r>
          </w:p>
          <w:p w14:paraId="753CBCE8">
            <w:pPr>
              <w:pStyle w:val="6"/>
              <w:spacing w:before="120" w:after="120"/>
              <w:ind w:firstLine="482"/>
            </w:pPr>
            <w:r>
              <w:t>1、环境空气质量达标区判定</w:t>
            </w:r>
          </w:p>
          <w:p w14:paraId="2ECF86C5">
            <w:pPr>
              <w:ind w:firstLine="480"/>
            </w:pPr>
            <w:r>
              <w:t>本项目位于辽宁省盘锦市。</w:t>
            </w:r>
          </w:p>
          <w:p w14:paraId="3C7E18F3">
            <w:pPr>
              <w:widowControl/>
              <w:ind w:firstLine="480"/>
            </w:pPr>
            <w:bookmarkStart w:id="5" w:name="OLE_LINK54"/>
            <w:r>
              <w:rPr>
                <w:kern w:val="0"/>
              </w:rPr>
              <w:t>本项目所在区域国家规定的基本项目污染物环境空气质量现状数据收集“2020年盘锦市环境质量公报”中相关数据。</w:t>
            </w:r>
            <w:r>
              <w:t>各基本污染物评价情况见下表：</w:t>
            </w:r>
          </w:p>
          <w:p w14:paraId="571F24E3">
            <w:pPr>
              <w:pStyle w:val="33"/>
              <w:spacing w:before="120"/>
              <w:rPr>
                <w:rFonts w:hint="default"/>
              </w:rPr>
            </w:pPr>
            <w:r>
              <w:rPr>
                <w:rFonts w:hint="default"/>
              </w:rPr>
              <w:t>表10 区域空气质量现状评价表</w:t>
            </w:r>
          </w:p>
          <w:tbl>
            <w:tblPr>
              <w:tblStyle w:val="24"/>
              <w:tblW w:w="5000"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2048"/>
              <w:gridCol w:w="1556"/>
              <w:gridCol w:w="1417"/>
              <w:gridCol w:w="1194"/>
              <w:gridCol w:w="922"/>
            </w:tblGrid>
            <w:tr w14:paraId="3F3928A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85" w:type="pct"/>
                  <w:tcMar>
                    <w:left w:w="0" w:type="dxa"/>
                    <w:right w:w="0" w:type="dxa"/>
                  </w:tcMar>
                  <w:vAlign w:val="center"/>
                </w:tcPr>
                <w:p w14:paraId="562316D4">
                  <w:pPr>
                    <w:adjustRightInd/>
                    <w:snapToGrid/>
                    <w:spacing w:beforeLines="20" w:afterLines="20" w:line="240" w:lineRule="auto"/>
                    <w:ind w:firstLine="0" w:firstLineChars="0"/>
                    <w:jc w:val="center"/>
                    <w:rPr>
                      <w:sz w:val="21"/>
                      <w:szCs w:val="21"/>
                    </w:rPr>
                  </w:pPr>
                  <w:r>
                    <w:rPr>
                      <w:sz w:val="21"/>
                      <w:szCs w:val="21"/>
                    </w:rPr>
                    <w:t>污染物</w:t>
                  </w:r>
                </w:p>
              </w:tc>
              <w:tc>
                <w:tcPr>
                  <w:tcW w:w="1295" w:type="pct"/>
                  <w:tcMar>
                    <w:left w:w="0" w:type="dxa"/>
                    <w:right w:w="0" w:type="dxa"/>
                  </w:tcMar>
                  <w:vAlign w:val="center"/>
                </w:tcPr>
                <w:p w14:paraId="7400F022">
                  <w:pPr>
                    <w:adjustRightInd/>
                    <w:snapToGrid/>
                    <w:spacing w:beforeLines="20" w:afterLines="20" w:line="240" w:lineRule="auto"/>
                    <w:ind w:firstLine="0" w:firstLineChars="0"/>
                    <w:jc w:val="center"/>
                    <w:rPr>
                      <w:sz w:val="21"/>
                      <w:szCs w:val="21"/>
                    </w:rPr>
                  </w:pPr>
                  <w:r>
                    <w:rPr>
                      <w:sz w:val="21"/>
                      <w:szCs w:val="21"/>
                    </w:rPr>
                    <w:t>年评价指标</w:t>
                  </w:r>
                </w:p>
              </w:tc>
              <w:tc>
                <w:tcPr>
                  <w:tcW w:w="984" w:type="pct"/>
                  <w:tcMar>
                    <w:left w:w="0" w:type="dxa"/>
                    <w:right w:w="0" w:type="dxa"/>
                  </w:tcMar>
                  <w:vAlign w:val="center"/>
                </w:tcPr>
                <w:p w14:paraId="785D5CA2">
                  <w:pPr>
                    <w:adjustRightInd/>
                    <w:snapToGrid/>
                    <w:spacing w:beforeLines="20" w:afterLines="20" w:line="240" w:lineRule="auto"/>
                    <w:ind w:firstLine="0" w:firstLineChars="0"/>
                    <w:jc w:val="center"/>
                    <w:rPr>
                      <w:sz w:val="21"/>
                      <w:szCs w:val="21"/>
                    </w:rPr>
                  </w:pPr>
                  <w:r>
                    <w:rPr>
                      <w:sz w:val="21"/>
                      <w:szCs w:val="21"/>
                    </w:rPr>
                    <w:t>现状浓度（μg/m</w:t>
                  </w:r>
                  <w:r>
                    <w:rPr>
                      <w:sz w:val="21"/>
                      <w:szCs w:val="21"/>
                      <w:vertAlign w:val="superscript"/>
                    </w:rPr>
                    <w:t>3</w:t>
                  </w:r>
                  <w:r>
                    <w:rPr>
                      <w:sz w:val="21"/>
                      <w:szCs w:val="21"/>
                    </w:rPr>
                    <w:t>）</w:t>
                  </w:r>
                </w:p>
              </w:tc>
              <w:tc>
                <w:tcPr>
                  <w:tcW w:w="896" w:type="pct"/>
                  <w:tcMar>
                    <w:left w:w="0" w:type="dxa"/>
                    <w:right w:w="0" w:type="dxa"/>
                  </w:tcMar>
                  <w:vAlign w:val="center"/>
                </w:tcPr>
                <w:p w14:paraId="4338E65B">
                  <w:pPr>
                    <w:adjustRightInd/>
                    <w:snapToGrid/>
                    <w:spacing w:beforeLines="20" w:afterLines="20" w:line="240" w:lineRule="auto"/>
                    <w:ind w:firstLine="0" w:firstLineChars="0"/>
                    <w:jc w:val="center"/>
                    <w:rPr>
                      <w:sz w:val="21"/>
                      <w:szCs w:val="21"/>
                    </w:rPr>
                  </w:pPr>
                  <w:r>
                    <w:rPr>
                      <w:sz w:val="21"/>
                      <w:szCs w:val="21"/>
                    </w:rPr>
                    <w:t>标准值（μg/m</w:t>
                  </w:r>
                  <w:r>
                    <w:rPr>
                      <w:sz w:val="21"/>
                      <w:szCs w:val="21"/>
                      <w:vertAlign w:val="superscript"/>
                    </w:rPr>
                    <w:t>3</w:t>
                  </w:r>
                  <w:r>
                    <w:rPr>
                      <w:sz w:val="21"/>
                      <w:szCs w:val="21"/>
                    </w:rPr>
                    <w:t>）</w:t>
                  </w:r>
                </w:p>
              </w:tc>
              <w:tc>
                <w:tcPr>
                  <w:tcW w:w="755" w:type="pct"/>
                  <w:tcMar>
                    <w:left w:w="0" w:type="dxa"/>
                    <w:right w:w="0" w:type="dxa"/>
                  </w:tcMar>
                  <w:vAlign w:val="center"/>
                </w:tcPr>
                <w:p w14:paraId="2A03D1EC">
                  <w:pPr>
                    <w:adjustRightInd/>
                    <w:snapToGrid/>
                    <w:spacing w:beforeLines="20" w:afterLines="20" w:line="240" w:lineRule="auto"/>
                    <w:ind w:firstLine="0" w:firstLineChars="0"/>
                    <w:jc w:val="center"/>
                    <w:rPr>
                      <w:sz w:val="21"/>
                      <w:szCs w:val="21"/>
                    </w:rPr>
                  </w:pPr>
                  <w:r>
                    <w:rPr>
                      <w:sz w:val="21"/>
                      <w:szCs w:val="21"/>
                    </w:rPr>
                    <w:t>占标率（%）</w:t>
                  </w:r>
                </w:p>
              </w:tc>
              <w:tc>
                <w:tcPr>
                  <w:tcW w:w="582" w:type="pct"/>
                  <w:tcMar>
                    <w:left w:w="0" w:type="dxa"/>
                    <w:right w:w="0" w:type="dxa"/>
                  </w:tcMar>
                  <w:vAlign w:val="center"/>
                </w:tcPr>
                <w:p w14:paraId="0E9E3C4E">
                  <w:pPr>
                    <w:adjustRightInd/>
                    <w:snapToGrid/>
                    <w:spacing w:beforeLines="20" w:afterLines="20" w:line="240" w:lineRule="auto"/>
                    <w:ind w:firstLine="0" w:firstLineChars="0"/>
                    <w:jc w:val="center"/>
                    <w:rPr>
                      <w:sz w:val="21"/>
                      <w:szCs w:val="21"/>
                    </w:rPr>
                  </w:pPr>
                  <w:r>
                    <w:rPr>
                      <w:sz w:val="21"/>
                      <w:szCs w:val="21"/>
                    </w:rPr>
                    <w:t>达标情况</w:t>
                  </w:r>
                </w:p>
              </w:tc>
            </w:tr>
            <w:tr w14:paraId="5D9E204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5" w:type="pct"/>
                  <w:tcMar>
                    <w:left w:w="0" w:type="dxa"/>
                    <w:right w:w="0" w:type="dxa"/>
                  </w:tcMar>
                  <w:vAlign w:val="center"/>
                </w:tcPr>
                <w:p w14:paraId="7CA99EA5">
                  <w:pPr>
                    <w:adjustRightInd/>
                    <w:snapToGrid/>
                    <w:spacing w:beforeLines="20" w:afterLines="20" w:line="240" w:lineRule="auto"/>
                    <w:ind w:firstLine="0" w:firstLineChars="0"/>
                    <w:jc w:val="center"/>
                    <w:rPr>
                      <w:sz w:val="21"/>
                      <w:szCs w:val="21"/>
                    </w:rPr>
                  </w:pPr>
                  <w:r>
                    <w:rPr>
                      <w:sz w:val="21"/>
                      <w:szCs w:val="21"/>
                    </w:rPr>
                    <w:t>PM</w:t>
                  </w:r>
                  <w:r>
                    <w:rPr>
                      <w:sz w:val="21"/>
                      <w:szCs w:val="21"/>
                      <w:vertAlign w:val="subscript"/>
                    </w:rPr>
                    <w:t>2.5</w:t>
                  </w:r>
                </w:p>
              </w:tc>
              <w:tc>
                <w:tcPr>
                  <w:tcW w:w="1295" w:type="pct"/>
                  <w:tcMar>
                    <w:left w:w="0" w:type="dxa"/>
                    <w:right w:w="0" w:type="dxa"/>
                  </w:tcMar>
                  <w:vAlign w:val="center"/>
                </w:tcPr>
                <w:p w14:paraId="543AD241">
                  <w:pPr>
                    <w:adjustRightInd/>
                    <w:snapToGrid/>
                    <w:spacing w:beforeLines="20" w:afterLines="20" w:line="240" w:lineRule="auto"/>
                    <w:ind w:firstLine="0" w:firstLineChars="0"/>
                    <w:jc w:val="center"/>
                    <w:rPr>
                      <w:sz w:val="21"/>
                      <w:szCs w:val="21"/>
                    </w:rPr>
                  </w:pPr>
                  <w:r>
                    <w:rPr>
                      <w:sz w:val="21"/>
                      <w:szCs w:val="21"/>
                    </w:rPr>
                    <w:t>年平均质量浓度</w:t>
                  </w:r>
                </w:p>
              </w:tc>
              <w:tc>
                <w:tcPr>
                  <w:tcW w:w="984" w:type="pct"/>
                  <w:tcMar>
                    <w:left w:w="0" w:type="dxa"/>
                    <w:right w:w="0" w:type="dxa"/>
                  </w:tcMar>
                  <w:vAlign w:val="center"/>
                </w:tcPr>
                <w:p w14:paraId="6C0E0C5F">
                  <w:pPr>
                    <w:adjustRightInd/>
                    <w:snapToGrid/>
                    <w:spacing w:beforeLines="20" w:afterLines="20" w:line="240" w:lineRule="auto"/>
                    <w:ind w:firstLine="0" w:firstLineChars="0"/>
                    <w:jc w:val="center"/>
                    <w:rPr>
                      <w:sz w:val="21"/>
                      <w:szCs w:val="21"/>
                    </w:rPr>
                  </w:pPr>
                  <w:r>
                    <w:rPr>
                      <w:sz w:val="21"/>
                      <w:szCs w:val="21"/>
                    </w:rPr>
                    <w:t>35</w:t>
                  </w:r>
                </w:p>
              </w:tc>
              <w:tc>
                <w:tcPr>
                  <w:tcW w:w="896" w:type="pct"/>
                  <w:tcMar>
                    <w:left w:w="0" w:type="dxa"/>
                    <w:right w:w="0" w:type="dxa"/>
                  </w:tcMar>
                  <w:vAlign w:val="center"/>
                </w:tcPr>
                <w:p w14:paraId="61CDD7AF">
                  <w:pPr>
                    <w:adjustRightInd/>
                    <w:snapToGrid/>
                    <w:spacing w:beforeLines="20" w:afterLines="20" w:line="240" w:lineRule="auto"/>
                    <w:ind w:firstLine="0" w:firstLineChars="0"/>
                    <w:jc w:val="center"/>
                    <w:rPr>
                      <w:sz w:val="21"/>
                      <w:szCs w:val="21"/>
                    </w:rPr>
                  </w:pPr>
                  <w:r>
                    <w:rPr>
                      <w:sz w:val="21"/>
                      <w:szCs w:val="21"/>
                    </w:rPr>
                    <w:t>35</w:t>
                  </w:r>
                </w:p>
              </w:tc>
              <w:tc>
                <w:tcPr>
                  <w:tcW w:w="755" w:type="pct"/>
                  <w:tcMar>
                    <w:left w:w="0" w:type="dxa"/>
                    <w:right w:w="0" w:type="dxa"/>
                  </w:tcMar>
                  <w:vAlign w:val="center"/>
                </w:tcPr>
                <w:p w14:paraId="4EB1F78D">
                  <w:pPr>
                    <w:adjustRightInd/>
                    <w:snapToGrid/>
                    <w:spacing w:beforeLines="20" w:afterLines="20" w:line="240" w:lineRule="auto"/>
                    <w:ind w:firstLine="0" w:firstLineChars="0"/>
                    <w:jc w:val="center"/>
                    <w:rPr>
                      <w:sz w:val="21"/>
                      <w:szCs w:val="21"/>
                    </w:rPr>
                  </w:pPr>
                  <w:r>
                    <w:rPr>
                      <w:sz w:val="21"/>
                      <w:szCs w:val="21"/>
                    </w:rPr>
                    <w:t>100.00</w:t>
                  </w:r>
                </w:p>
              </w:tc>
              <w:tc>
                <w:tcPr>
                  <w:tcW w:w="582" w:type="pct"/>
                  <w:tcMar>
                    <w:left w:w="0" w:type="dxa"/>
                    <w:right w:w="0" w:type="dxa"/>
                  </w:tcMar>
                  <w:vAlign w:val="center"/>
                </w:tcPr>
                <w:p w14:paraId="0F9F180F">
                  <w:pPr>
                    <w:adjustRightInd/>
                    <w:snapToGrid/>
                    <w:spacing w:beforeLines="20" w:afterLines="20" w:line="240" w:lineRule="auto"/>
                    <w:ind w:firstLine="0" w:firstLineChars="0"/>
                    <w:jc w:val="center"/>
                    <w:rPr>
                      <w:sz w:val="21"/>
                      <w:szCs w:val="21"/>
                    </w:rPr>
                  </w:pPr>
                  <w:r>
                    <w:rPr>
                      <w:sz w:val="21"/>
                      <w:szCs w:val="21"/>
                    </w:rPr>
                    <w:t>达标</w:t>
                  </w:r>
                </w:p>
              </w:tc>
            </w:tr>
            <w:tr w14:paraId="3B1285E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5" w:type="pct"/>
                  <w:tcMar>
                    <w:left w:w="0" w:type="dxa"/>
                    <w:right w:w="0" w:type="dxa"/>
                  </w:tcMar>
                  <w:vAlign w:val="center"/>
                </w:tcPr>
                <w:p w14:paraId="7A4CE933">
                  <w:pPr>
                    <w:adjustRightInd/>
                    <w:snapToGrid/>
                    <w:spacing w:beforeLines="20" w:afterLines="20" w:line="240" w:lineRule="auto"/>
                    <w:ind w:firstLine="0" w:firstLineChars="0"/>
                    <w:jc w:val="center"/>
                    <w:rPr>
                      <w:sz w:val="21"/>
                      <w:szCs w:val="21"/>
                    </w:rPr>
                  </w:pPr>
                  <w:r>
                    <w:rPr>
                      <w:sz w:val="21"/>
                      <w:szCs w:val="21"/>
                    </w:rPr>
                    <w:t>PM</w:t>
                  </w:r>
                  <w:r>
                    <w:rPr>
                      <w:sz w:val="21"/>
                      <w:szCs w:val="21"/>
                      <w:vertAlign w:val="subscript"/>
                    </w:rPr>
                    <w:t>10</w:t>
                  </w:r>
                </w:p>
              </w:tc>
              <w:tc>
                <w:tcPr>
                  <w:tcW w:w="1295" w:type="pct"/>
                  <w:tcMar>
                    <w:left w:w="0" w:type="dxa"/>
                    <w:right w:w="0" w:type="dxa"/>
                  </w:tcMar>
                  <w:vAlign w:val="center"/>
                </w:tcPr>
                <w:p w14:paraId="69753F3A">
                  <w:pPr>
                    <w:adjustRightInd/>
                    <w:snapToGrid/>
                    <w:spacing w:beforeLines="20" w:afterLines="20" w:line="240" w:lineRule="auto"/>
                    <w:ind w:firstLine="0" w:firstLineChars="0"/>
                    <w:jc w:val="center"/>
                    <w:rPr>
                      <w:sz w:val="21"/>
                      <w:szCs w:val="21"/>
                    </w:rPr>
                  </w:pPr>
                  <w:r>
                    <w:rPr>
                      <w:sz w:val="21"/>
                      <w:szCs w:val="21"/>
                    </w:rPr>
                    <w:t>年平均质量浓度</w:t>
                  </w:r>
                </w:p>
              </w:tc>
              <w:tc>
                <w:tcPr>
                  <w:tcW w:w="984" w:type="pct"/>
                  <w:tcMar>
                    <w:left w:w="0" w:type="dxa"/>
                    <w:right w:w="0" w:type="dxa"/>
                  </w:tcMar>
                  <w:vAlign w:val="center"/>
                </w:tcPr>
                <w:p w14:paraId="4C31941E">
                  <w:pPr>
                    <w:adjustRightInd/>
                    <w:snapToGrid/>
                    <w:spacing w:beforeLines="20" w:afterLines="20" w:line="240" w:lineRule="auto"/>
                    <w:ind w:firstLine="0" w:firstLineChars="0"/>
                    <w:jc w:val="center"/>
                    <w:rPr>
                      <w:sz w:val="21"/>
                      <w:szCs w:val="21"/>
                    </w:rPr>
                  </w:pPr>
                  <w:r>
                    <w:rPr>
                      <w:sz w:val="21"/>
                      <w:szCs w:val="21"/>
                    </w:rPr>
                    <w:t>48</w:t>
                  </w:r>
                </w:p>
              </w:tc>
              <w:tc>
                <w:tcPr>
                  <w:tcW w:w="896" w:type="pct"/>
                  <w:tcMar>
                    <w:left w:w="0" w:type="dxa"/>
                    <w:right w:w="0" w:type="dxa"/>
                  </w:tcMar>
                  <w:vAlign w:val="center"/>
                </w:tcPr>
                <w:p w14:paraId="5C91BB3C">
                  <w:pPr>
                    <w:adjustRightInd/>
                    <w:snapToGrid/>
                    <w:spacing w:beforeLines="20" w:afterLines="20" w:line="240" w:lineRule="auto"/>
                    <w:ind w:firstLine="0" w:firstLineChars="0"/>
                    <w:jc w:val="center"/>
                    <w:rPr>
                      <w:sz w:val="21"/>
                      <w:szCs w:val="21"/>
                    </w:rPr>
                  </w:pPr>
                  <w:r>
                    <w:rPr>
                      <w:sz w:val="21"/>
                      <w:szCs w:val="21"/>
                    </w:rPr>
                    <w:t>70</w:t>
                  </w:r>
                </w:p>
              </w:tc>
              <w:tc>
                <w:tcPr>
                  <w:tcW w:w="755" w:type="pct"/>
                  <w:tcMar>
                    <w:left w:w="0" w:type="dxa"/>
                    <w:right w:w="0" w:type="dxa"/>
                  </w:tcMar>
                  <w:vAlign w:val="center"/>
                </w:tcPr>
                <w:p w14:paraId="15FE45B9">
                  <w:pPr>
                    <w:adjustRightInd/>
                    <w:snapToGrid/>
                    <w:spacing w:beforeLines="20" w:afterLines="20" w:line="240" w:lineRule="auto"/>
                    <w:ind w:firstLine="0" w:firstLineChars="0"/>
                    <w:jc w:val="center"/>
                    <w:rPr>
                      <w:sz w:val="21"/>
                      <w:szCs w:val="21"/>
                    </w:rPr>
                  </w:pPr>
                  <w:r>
                    <w:rPr>
                      <w:sz w:val="21"/>
                      <w:szCs w:val="21"/>
                    </w:rPr>
                    <w:t>68.57</w:t>
                  </w:r>
                </w:p>
              </w:tc>
              <w:tc>
                <w:tcPr>
                  <w:tcW w:w="582" w:type="pct"/>
                  <w:tcMar>
                    <w:left w:w="0" w:type="dxa"/>
                    <w:right w:w="0" w:type="dxa"/>
                  </w:tcMar>
                  <w:vAlign w:val="center"/>
                </w:tcPr>
                <w:p w14:paraId="61BBA23F">
                  <w:pPr>
                    <w:adjustRightInd/>
                    <w:snapToGrid/>
                    <w:spacing w:beforeLines="20" w:afterLines="20" w:line="240" w:lineRule="auto"/>
                    <w:ind w:firstLine="0" w:firstLineChars="0"/>
                    <w:jc w:val="center"/>
                    <w:rPr>
                      <w:sz w:val="21"/>
                      <w:szCs w:val="21"/>
                    </w:rPr>
                  </w:pPr>
                  <w:r>
                    <w:rPr>
                      <w:sz w:val="21"/>
                      <w:szCs w:val="21"/>
                    </w:rPr>
                    <w:t>达标</w:t>
                  </w:r>
                </w:p>
              </w:tc>
            </w:tr>
            <w:tr w14:paraId="21EFB0E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5" w:type="pct"/>
                  <w:tcMar>
                    <w:left w:w="0" w:type="dxa"/>
                    <w:right w:w="0" w:type="dxa"/>
                  </w:tcMar>
                  <w:vAlign w:val="center"/>
                </w:tcPr>
                <w:p w14:paraId="51D490CD">
                  <w:pPr>
                    <w:adjustRightInd/>
                    <w:snapToGrid/>
                    <w:spacing w:beforeLines="20" w:afterLines="20" w:line="240" w:lineRule="auto"/>
                    <w:ind w:firstLine="0" w:firstLineChars="0"/>
                    <w:jc w:val="center"/>
                    <w:rPr>
                      <w:sz w:val="21"/>
                      <w:szCs w:val="21"/>
                    </w:rPr>
                  </w:pPr>
                  <w:r>
                    <w:rPr>
                      <w:sz w:val="21"/>
                      <w:szCs w:val="21"/>
                    </w:rPr>
                    <w:t>SO</w:t>
                  </w:r>
                  <w:r>
                    <w:rPr>
                      <w:sz w:val="21"/>
                      <w:szCs w:val="21"/>
                      <w:vertAlign w:val="subscript"/>
                    </w:rPr>
                    <w:t>2</w:t>
                  </w:r>
                </w:p>
              </w:tc>
              <w:tc>
                <w:tcPr>
                  <w:tcW w:w="1295" w:type="pct"/>
                  <w:tcMar>
                    <w:left w:w="0" w:type="dxa"/>
                    <w:right w:w="0" w:type="dxa"/>
                  </w:tcMar>
                  <w:vAlign w:val="center"/>
                </w:tcPr>
                <w:p w14:paraId="3AF69CA2">
                  <w:pPr>
                    <w:adjustRightInd/>
                    <w:snapToGrid/>
                    <w:spacing w:beforeLines="20" w:afterLines="20" w:line="240" w:lineRule="auto"/>
                    <w:ind w:firstLine="0" w:firstLineChars="0"/>
                    <w:jc w:val="center"/>
                    <w:rPr>
                      <w:sz w:val="21"/>
                      <w:szCs w:val="21"/>
                    </w:rPr>
                  </w:pPr>
                  <w:r>
                    <w:rPr>
                      <w:sz w:val="21"/>
                      <w:szCs w:val="21"/>
                    </w:rPr>
                    <w:t>年平均质量浓度</w:t>
                  </w:r>
                </w:p>
              </w:tc>
              <w:tc>
                <w:tcPr>
                  <w:tcW w:w="984" w:type="pct"/>
                  <w:tcMar>
                    <w:left w:w="0" w:type="dxa"/>
                    <w:right w:w="0" w:type="dxa"/>
                  </w:tcMar>
                  <w:vAlign w:val="center"/>
                </w:tcPr>
                <w:p w14:paraId="405BE526">
                  <w:pPr>
                    <w:adjustRightInd/>
                    <w:snapToGrid/>
                    <w:spacing w:beforeLines="20" w:afterLines="20" w:line="240" w:lineRule="auto"/>
                    <w:ind w:firstLine="0" w:firstLineChars="0"/>
                    <w:jc w:val="center"/>
                    <w:rPr>
                      <w:sz w:val="21"/>
                      <w:szCs w:val="21"/>
                    </w:rPr>
                  </w:pPr>
                  <w:r>
                    <w:rPr>
                      <w:sz w:val="21"/>
                      <w:szCs w:val="21"/>
                    </w:rPr>
                    <w:t>15</w:t>
                  </w:r>
                </w:p>
              </w:tc>
              <w:tc>
                <w:tcPr>
                  <w:tcW w:w="896" w:type="pct"/>
                  <w:tcMar>
                    <w:left w:w="0" w:type="dxa"/>
                    <w:right w:w="0" w:type="dxa"/>
                  </w:tcMar>
                  <w:vAlign w:val="center"/>
                </w:tcPr>
                <w:p w14:paraId="3A91B596">
                  <w:pPr>
                    <w:adjustRightInd/>
                    <w:snapToGrid/>
                    <w:spacing w:beforeLines="20" w:afterLines="20" w:line="240" w:lineRule="auto"/>
                    <w:ind w:firstLine="0" w:firstLineChars="0"/>
                    <w:jc w:val="center"/>
                    <w:rPr>
                      <w:sz w:val="21"/>
                      <w:szCs w:val="21"/>
                    </w:rPr>
                  </w:pPr>
                  <w:r>
                    <w:rPr>
                      <w:sz w:val="21"/>
                      <w:szCs w:val="21"/>
                    </w:rPr>
                    <w:t>60</w:t>
                  </w:r>
                </w:p>
              </w:tc>
              <w:tc>
                <w:tcPr>
                  <w:tcW w:w="755" w:type="pct"/>
                  <w:tcMar>
                    <w:left w:w="0" w:type="dxa"/>
                    <w:right w:w="0" w:type="dxa"/>
                  </w:tcMar>
                  <w:vAlign w:val="center"/>
                </w:tcPr>
                <w:p w14:paraId="393733DD">
                  <w:pPr>
                    <w:adjustRightInd/>
                    <w:snapToGrid/>
                    <w:spacing w:beforeLines="20" w:afterLines="20" w:line="240" w:lineRule="auto"/>
                    <w:ind w:firstLine="0" w:firstLineChars="0"/>
                    <w:jc w:val="center"/>
                    <w:rPr>
                      <w:sz w:val="21"/>
                      <w:szCs w:val="21"/>
                    </w:rPr>
                  </w:pPr>
                  <w:r>
                    <w:rPr>
                      <w:sz w:val="21"/>
                      <w:szCs w:val="21"/>
                    </w:rPr>
                    <w:t>25.00</w:t>
                  </w:r>
                </w:p>
              </w:tc>
              <w:tc>
                <w:tcPr>
                  <w:tcW w:w="582" w:type="pct"/>
                  <w:tcMar>
                    <w:left w:w="0" w:type="dxa"/>
                    <w:right w:w="0" w:type="dxa"/>
                  </w:tcMar>
                  <w:vAlign w:val="center"/>
                </w:tcPr>
                <w:p w14:paraId="6248C2EE">
                  <w:pPr>
                    <w:adjustRightInd/>
                    <w:snapToGrid/>
                    <w:spacing w:beforeLines="20" w:afterLines="20" w:line="240" w:lineRule="auto"/>
                    <w:ind w:firstLine="0" w:firstLineChars="0"/>
                    <w:jc w:val="center"/>
                    <w:rPr>
                      <w:sz w:val="21"/>
                      <w:szCs w:val="21"/>
                    </w:rPr>
                  </w:pPr>
                  <w:r>
                    <w:rPr>
                      <w:sz w:val="21"/>
                      <w:szCs w:val="21"/>
                    </w:rPr>
                    <w:t>达标</w:t>
                  </w:r>
                </w:p>
              </w:tc>
            </w:tr>
            <w:tr w14:paraId="70262FF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5" w:type="pct"/>
                  <w:tcMar>
                    <w:left w:w="0" w:type="dxa"/>
                    <w:right w:w="0" w:type="dxa"/>
                  </w:tcMar>
                  <w:vAlign w:val="center"/>
                </w:tcPr>
                <w:p w14:paraId="5F9206EE">
                  <w:pPr>
                    <w:adjustRightInd/>
                    <w:snapToGrid/>
                    <w:spacing w:beforeLines="20" w:afterLines="20" w:line="240" w:lineRule="auto"/>
                    <w:ind w:firstLine="0" w:firstLineChars="0"/>
                    <w:jc w:val="center"/>
                    <w:rPr>
                      <w:sz w:val="21"/>
                      <w:szCs w:val="21"/>
                    </w:rPr>
                  </w:pPr>
                  <w:r>
                    <w:rPr>
                      <w:sz w:val="21"/>
                      <w:szCs w:val="21"/>
                    </w:rPr>
                    <w:t>NO</w:t>
                  </w:r>
                  <w:r>
                    <w:rPr>
                      <w:sz w:val="21"/>
                      <w:szCs w:val="21"/>
                      <w:vertAlign w:val="subscript"/>
                    </w:rPr>
                    <w:t>2</w:t>
                  </w:r>
                </w:p>
              </w:tc>
              <w:tc>
                <w:tcPr>
                  <w:tcW w:w="1295" w:type="pct"/>
                  <w:tcMar>
                    <w:left w:w="0" w:type="dxa"/>
                    <w:right w:w="0" w:type="dxa"/>
                  </w:tcMar>
                  <w:vAlign w:val="center"/>
                </w:tcPr>
                <w:p w14:paraId="7BF04F52">
                  <w:pPr>
                    <w:adjustRightInd/>
                    <w:snapToGrid/>
                    <w:spacing w:beforeLines="20" w:afterLines="20" w:line="240" w:lineRule="auto"/>
                    <w:ind w:firstLine="0" w:firstLineChars="0"/>
                    <w:jc w:val="center"/>
                    <w:rPr>
                      <w:sz w:val="21"/>
                      <w:szCs w:val="21"/>
                    </w:rPr>
                  </w:pPr>
                  <w:r>
                    <w:rPr>
                      <w:sz w:val="21"/>
                      <w:szCs w:val="21"/>
                    </w:rPr>
                    <w:t>年平均质量浓度</w:t>
                  </w:r>
                </w:p>
              </w:tc>
              <w:tc>
                <w:tcPr>
                  <w:tcW w:w="984" w:type="pct"/>
                  <w:tcMar>
                    <w:left w:w="0" w:type="dxa"/>
                    <w:right w:w="0" w:type="dxa"/>
                  </w:tcMar>
                  <w:vAlign w:val="center"/>
                </w:tcPr>
                <w:p w14:paraId="40DCD88F">
                  <w:pPr>
                    <w:adjustRightInd/>
                    <w:snapToGrid/>
                    <w:spacing w:beforeLines="20" w:afterLines="20" w:line="240" w:lineRule="auto"/>
                    <w:ind w:firstLine="0" w:firstLineChars="0"/>
                    <w:jc w:val="center"/>
                    <w:rPr>
                      <w:sz w:val="21"/>
                      <w:szCs w:val="21"/>
                    </w:rPr>
                  </w:pPr>
                  <w:r>
                    <w:rPr>
                      <w:sz w:val="21"/>
                      <w:szCs w:val="21"/>
                    </w:rPr>
                    <w:t>30</w:t>
                  </w:r>
                </w:p>
              </w:tc>
              <w:tc>
                <w:tcPr>
                  <w:tcW w:w="896" w:type="pct"/>
                  <w:tcMar>
                    <w:left w:w="0" w:type="dxa"/>
                    <w:right w:w="0" w:type="dxa"/>
                  </w:tcMar>
                  <w:vAlign w:val="center"/>
                </w:tcPr>
                <w:p w14:paraId="4CFFE575">
                  <w:pPr>
                    <w:adjustRightInd/>
                    <w:snapToGrid/>
                    <w:spacing w:beforeLines="20" w:afterLines="20" w:line="240" w:lineRule="auto"/>
                    <w:ind w:firstLine="0" w:firstLineChars="0"/>
                    <w:jc w:val="center"/>
                    <w:rPr>
                      <w:sz w:val="21"/>
                      <w:szCs w:val="21"/>
                    </w:rPr>
                  </w:pPr>
                  <w:r>
                    <w:rPr>
                      <w:sz w:val="21"/>
                      <w:szCs w:val="21"/>
                    </w:rPr>
                    <w:t>40</w:t>
                  </w:r>
                </w:p>
              </w:tc>
              <w:tc>
                <w:tcPr>
                  <w:tcW w:w="755" w:type="pct"/>
                  <w:tcMar>
                    <w:left w:w="0" w:type="dxa"/>
                    <w:right w:w="0" w:type="dxa"/>
                  </w:tcMar>
                  <w:vAlign w:val="center"/>
                </w:tcPr>
                <w:p w14:paraId="286E9CBC">
                  <w:pPr>
                    <w:adjustRightInd/>
                    <w:snapToGrid/>
                    <w:spacing w:beforeLines="20" w:afterLines="20" w:line="240" w:lineRule="auto"/>
                    <w:ind w:firstLine="0" w:firstLineChars="0"/>
                    <w:jc w:val="center"/>
                    <w:rPr>
                      <w:sz w:val="21"/>
                      <w:szCs w:val="21"/>
                    </w:rPr>
                  </w:pPr>
                  <w:r>
                    <w:rPr>
                      <w:sz w:val="21"/>
                      <w:szCs w:val="21"/>
                    </w:rPr>
                    <w:t>75.00</w:t>
                  </w:r>
                </w:p>
              </w:tc>
              <w:tc>
                <w:tcPr>
                  <w:tcW w:w="582" w:type="pct"/>
                  <w:tcMar>
                    <w:left w:w="0" w:type="dxa"/>
                    <w:right w:w="0" w:type="dxa"/>
                  </w:tcMar>
                  <w:vAlign w:val="center"/>
                </w:tcPr>
                <w:p w14:paraId="7D8A8025">
                  <w:pPr>
                    <w:adjustRightInd/>
                    <w:snapToGrid/>
                    <w:spacing w:beforeLines="20" w:afterLines="20" w:line="240" w:lineRule="auto"/>
                    <w:ind w:firstLine="0" w:firstLineChars="0"/>
                    <w:jc w:val="center"/>
                    <w:rPr>
                      <w:sz w:val="21"/>
                      <w:szCs w:val="21"/>
                    </w:rPr>
                  </w:pPr>
                  <w:r>
                    <w:rPr>
                      <w:sz w:val="21"/>
                      <w:szCs w:val="21"/>
                    </w:rPr>
                    <w:t>达标</w:t>
                  </w:r>
                </w:p>
              </w:tc>
            </w:tr>
            <w:tr w14:paraId="765D84E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5" w:type="pct"/>
                  <w:tcMar>
                    <w:left w:w="0" w:type="dxa"/>
                    <w:right w:w="0" w:type="dxa"/>
                  </w:tcMar>
                  <w:vAlign w:val="center"/>
                </w:tcPr>
                <w:p w14:paraId="481F23CC">
                  <w:pPr>
                    <w:adjustRightInd/>
                    <w:snapToGrid/>
                    <w:spacing w:beforeLines="20" w:afterLines="20" w:line="240" w:lineRule="auto"/>
                    <w:ind w:firstLine="0" w:firstLineChars="0"/>
                    <w:jc w:val="center"/>
                    <w:rPr>
                      <w:sz w:val="21"/>
                      <w:szCs w:val="21"/>
                    </w:rPr>
                  </w:pPr>
                  <w:r>
                    <w:rPr>
                      <w:sz w:val="21"/>
                      <w:szCs w:val="21"/>
                    </w:rPr>
                    <w:t>CO（24均值）</w:t>
                  </w:r>
                </w:p>
              </w:tc>
              <w:tc>
                <w:tcPr>
                  <w:tcW w:w="1295" w:type="pct"/>
                  <w:tcMar>
                    <w:left w:w="0" w:type="dxa"/>
                    <w:right w:w="0" w:type="dxa"/>
                  </w:tcMar>
                  <w:vAlign w:val="center"/>
                </w:tcPr>
                <w:p w14:paraId="12AA35C9">
                  <w:pPr>
                    <w:adjustRightInd/>
                    <w:snapToGrid/>
                    <w:spacing w:beforeLines="20" w:afterLines="20" w:line="240" w:lineRule="auto"/>
                    <w:ind w:firstLine="0" w:firstLineChars="0"/>
                    <w:jc w:val="center"/>
                    <w:rPr>
                      <w:sz w:val="21"/>
                      <w:szCs w:val="21"/>
                    </w:rPr>
                  </w:pPr>
                  <w:r>
                    <w:rPr>
                      <w:sz w:val="21"/>
                      <w:szCs w:val="21"/>
                    </w:rPr>
                    <w:t>日平均第95百分位数质量浓度</w:t>
                  </w:r>
                </w:p>
              </w:tc>
              <w:tc>
                <w:tcPr>
                  <w:tcW w:w="984" w:type="pct"/>
                  <w:tcMar>
                    <w:left w:w="0" w:type="dxa"/>
                    <w:right w:w="0" w:type="dxa"/>
                  </w:tcMar>
                  <w:vAlign w:val="center"/>
                </w:tcPr>
                <w:p w14:paraId="261B4424">
                  <w:pPr>
                    <w:adjustRightInd/>
                    <w:snapToGrid/>
                    <w:spacing w:beforeLines="20" w:afterLines="20" w:line="240" w:lineRule="auto"/>
                    <w:ind w:firstLine="0" w:firstLineChars="0"/>
                    <w:jc w:val="center"/>
                    <w:rPr>
                      <w:sz w:val="21"/>
                      <w:szCs w:val="21"/>
                    </w:rPr>
                  </w:pPr>
                  <w:r>
                    <w:rPr>
                      <w:sz w:val="21"/>
                      <w:szCs w:val="21"/>
                    </w:rPr>
                    <w:t>1.5mg /m</w:t>
                  </w:r>
                  <w:r>
                    <w:rPr>
                      <w:sz w:val="21"/>
                      <w:szCs w:val="21"/>
                      <w:vertAlign w:val="superscript"/>
                    </w:rPr>
                    <w:t>3</w:t>
                  </w:r>
                </w:p>
              </w:tc>
              <w:tc>
                <w:tcPr>
                  <w:tcW w:w="896" w:type="pct"/>
                  <w:tcMar>
                    <w:left w:w="0" w:type="dxa"/>
                    <w:right w:w="0" w:type="dxa"/>
                  </w:tcMar>
                  <w:vAlign w:val="center"/>
                </w:tcPr>
                <w:p w14:paraId="59E23FA5">
                  <w:pPr>
                    <w:adjustRightInd/>
                    <w:snapToGrid/>
                    <w:spacing w:beforeLines="20" w:afterLines="20" w:line="240" w:lineRule="auto"/>
                    <w:ind w:firstLine="0" w:firstLineChars="0"/>
                    <w:jc w:val="center"/>
                    <w:rPr>
                      <w:sz w:val="21"/>
                      <w:szCs w:val="21"/>
                    </w:rPr>
                  </w:pPr>
                  <w:r>
                    <w:rPr>
                      <w:sz w:val="21"/>
                      <w:szCs w:val="21"/>
                    </w:rPr>
                    <w:t>4mg/m</w:t>
                  </w:r>
                  <w:r>
                    <w:rPr>
                      <w:sz w:val="21"/>
                      <w:szCs w:val="21"/>
                      <w:vertAlign w:val="superscript"/>
                    </w:rPr>
                    <w:t>3</w:t>
                  </w:r>
                </w:p>
              </w:tc>
              <w:tc>
                <w:tcPr>
                  <w:tcW w:w="755" w:type="pct"/>
                  <w:tcMar>
                    <w:left w:w="0" w:type="dxa"/>
                    <w:right w:w="0" w:type="dxa"/>
                  </w:tcMar>
                  <w:vAlign w:val="center"/>
                </w:tcPr>
                <w:p w14:paraId="31FA60D1">
                  <w:pPr>
                    <w:adjustRightInd/>
                    <w:snapToGrid/>
                    <w:spacing w:beforeLines="20" w:afterLines="20" w:line="240" w:lineRule="auto"/>
                    <w:ind w:firstLine="0" w:firstLineChars="0"/>
                    <w:jc w:val="center"/>
                    <w:rPr>
                      <w:sz w:val="21"/>
                      <w:szCs w:val="21"/>
                    </w:rPr>
                  </w:pPr>
                  <w:r>
                    <w:rPr>
                      <w:sz w:val="21"/>
                      <w:szCs w:val="21"/>
                    </w:rPr>
                    <w:t>37.50</w:t>
                  </w:r>
                </w:p>
              </w:tc>
              <w:tc>
                <w:tcPr>
                  <w:tcW w:w="582" w:type="pct"/>
                  <w:tcMar>
                    <w:left w:w="0" w:type="dxa"/>
                    <w:right w:w="0" w:type="dxa"/>
                  </w:tcMar>
                  <w:vAlign w:val="center"/>
                </w:tcPr>
                <w:p w14:paraId="5D77F6FD">
                  <w:pPr>
                    <w:adjustRightInd/>
                    <w:snapToGrid/>
                    <w:spacing w:beforeLines="20" w:afterLines="20" w:line="240" w:lineRule="auto"/>
                    <w:ind w:firstLine="0" w:firstLineChars="0"/>
                    <w:jc w:val="center"/>
                    <w:rPr>
                      <w:sz w:val="21"/>
                      <w:szCs w:val="21"/>
                    </w:rPr>
                  </w:pPr>
                  <w:r>
                    <w:rPr>
                      <w:sz w:val="21"/>
                      <w:szCs w:val="21"/>
                    </w:rPr>
                    <w:t>达标</w:t>
                  </w:r>
                </w:p>
              </w:tc>
            </w:tr>
            <w:tr w14:paraId="3082D0F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5" w:type="pct"/>
                  <w:tcMar>
                    <w:left w:w="0" w:type="dxa"/>
                    <w:right w:w="0" w:type="dxa"/>
                  </w:tcMar>
                  <w:vAlign w:val="center"/>
                </w:tcPr>
                <w:p w14:paraId="2636CD00">
                  <w:pPr>
                    <w:adjustRightInd/>
                    <w:snapToGrid/>
                    <w:spacing w:beforeLines="20" w:afterLines="20" w:line="240" w:lineRule="auto"/>
                    <w:ind w:firstLine="0" w:firstLineChars="0"/>
                    <w:jc w:val="center"/>
                    <w:rPr>
                      <w:sz w:val="21"/>
                      <w:szCs w:val="21"/>
                    </w:rPr>
                  </w:pPr>
                  <w:r>
                    <w:rPr>
                      <w:sz w:val="21"/>
                      <w:szCs w:val="21"/>
                    </w:rPr>
                    <w:t>O</w:t>
                  </w:r>
                  <w:r>
                    <w:rPr>
                      <w:sz w:val="21"/>
                      <w:szCs w:val="21"/>
                      <w:vertAlign w:val="subscript"/>
                    </w:rPr>
                    <w:t>3</w:t>
                  </w:r>
                  <w:r>
                    <w:rPr>
                      <w:sz w:val="21"/>
                      <w:szCs w:val="21"/>
                    </w:rPr>
                    <w:t>-8h</w:t>
                  </w:r>
                </w:p>
              </w:tc>
              <w:tc>
                <w:tcPr>
                  <w:tcW w:w="1295" w:type="pct"/>
                  <w:tcMar>
                    <w:left w:w="0" w:type="dxa"/>
                    <w:right w:w="0" w:type="dxa"/>
                  </w:tcMar>
                  <w:vAlign w:val="center"/>
                </w:tcPr>
                <w:p w14:paraId="0280F7AB">
                  <w:pPr>
                    <w:adjustRightInd/>
                    <w:snapToGrid/>
                    <w:spacing w:beforeLines="20" w:afterLines="20" w:line="240" w:lineRule="auto"/>
                    <w:ind w:firstLine="0" w:firstLineChars="0"/>
                    <w:jc w:val="center"/>
                    <w:rPr>
                      <w:sz w:val="21"/>
                      <w:szCs w:val="21"/>
                    </w:rPr>
                  </w:pPr>
                  <w:r>
                    <w:rPr>
                      <w:sz w:val="21"/>
                      <w:szCs w:val="21"/>
                    </w:rPr>
                    <w:t>8h平均第90百分位数质量浓度</w:t>
                  </w:r>
                </w:p>
              </w:tc>
              <w:tc>
                <w:tcPr>
                  <w:tcW w:w="984" w:type="pct"/>
                  <w:tcMar>
                    <w:left w:w="0" w:type="dxa"/>
                    <w:right w:w="0" w:type="dxa"/>
                  </w:tcMar>
                  <w:vAlign w:val="center"/>
                </w:tcPr>
                <w:p w14:paraId="06D444A2">
                  <w:pPr>
                    <w:adjustRightInd/>
                    <w:snapToGrid/>
                    <w:spacing w:beforeLines="20" w:afterLines="20" w:line="240" w:lineRule="auto"/>
                    <w:ind w:firstLine="0" w:firstLineChars="0"/>
                    <w:jc w:val="center"/>
                    <w:rPr>
                      <w:sz w:val="21"/>
                      <w:szCs w:val="21"/>
                    </w:rPr>
                  </w:pPr>
                  <w:r>
                    <w:rPr>
                      <w:sz w:val="21"/>
                      <w:szCs w:val="21"/>
                    </w:rPr>
                    <w:t>153</w:t>
                  </w:r>
                </w:p>
              </w:tc>
              <w:tc>
                <w:tcPr>
                  <w:tcW w:w="896" w:type="pct"/>
                  <w:tcMar>
                    <w:left w:w="0" w:type="dxa"/>
                    <w:right w:w="0" w:type="dxa"/>
                  </w:tcMar>
                  <w:vAlign w:val="center"/>
                </w:tcPr>
                <w:p w14:paraId="58B563ED">
                  <w:pPr>
                    <w:adjustRightInd/>
                    <w:snapToGrid/>
                    <w:spacing w:beforeLines="20" w:afterLines="20" w:line="240" w:lineRule="auto"/>
                    <w:ind w:firstLine="0" w:firstLineChars="0"/>
                    <w:jc w:val="center"/>
                    <w:rPr>
                      <w:sz w:val="21"/>
                      <w:szCs w:val="21"/>
                    </w:rPr>
                  </w:pPr>
                  <w:r>
                    <w:rPr>
                      <w:sz w:val="21"/>
                      <w:szCs w:val="21"/>
                    </w:rPr>
                    <w:t>160</w:t>
                  </w:r>
                </w:p>
              </w:tc>
              <w:tc>
                <w:tcPr>
                  <w:tcW w:w="755" w:type="pct"/>
                  <w:tcMar>
                    <w:left w:w="0" w:type="dxa"/>
                    <w:right w:w="0" w:type="dxa"/>
                  </w:tcMar>
                  <w:vAlign w:val="center"/>
                </w:tcPr>
                <w:p w14:paraId="2C5A3C4D">
                  <w:pPr>
                    <w:adjustRightInd/>
                    <w:snapToGrid/>
                    <w:spacing w:beforeLines="20" w:afterLines="20" w:line="240" w:lineRule="auto"/>
                    <w:ind w:firstLine="0" w:firstLineChars="0"/>
                    <w:jc w:val="center"/>
                    <w:rPr>
                      <w:sz w:val="21"/>
                      <w:szCs w:val="21"/>
                    </w:rPr>
                  </w:pPr>
                  <w:r>
                    <w:rPr>
                      <w:sz w:val="21"/>
                      <w:szCs w:val="21"/>
                    </w:rPr>
                    <w:t>95.63</w:t>
                  </w:r>
                </w:p>
              </w:tc>
              <w:tc>
                <w:tcPr>
                  <w:tcW w:w="582" w:type="pct"/>
                  <w:tcMar>
                    <w:left w:w="0" w:type="dxa"/>
                    <w:right w:w="0" w:type="dxa"/>
                  </w:tcMar>
                  <w:vAlign w:val="center"/>
                </w:tcPr>
                <w:p w14:paraId="304F5F1A">
                  <w:pPr>
                    <w:adjustRightInd/>
                    <w:snapToGrid/>
                    <w:spacing w:beforeLines="20" w:afterLines="20" w:line="240" w:lineRule="auto"/>
                    <w:ind w:firstLine="0" w:firstLineChars="0"/>
                    <w:jc w:val="center"/>
                    <w:rPr>
                      <w:sz w:val="21"/>
                      <w:szCs w:val="21"/>
                    </w:rPr>
                  </w:pPr>
                  <w:r>
                    <w:rPr>
                      <w:sz w:val="21"/>
                      <w:szCs w:val="21"/>
                    </w:rPr>
                    <w:t>达标</w:t>
                  </w:r>
                </w:p>
              </w:tc>
            </w:tr>
          </w:tbl>
          <w:p w14:paraId="1117C9AC">
            <w:pPr>
              <w:ind w:firstLine="480"/>
            </w:pPr>
            <w:r>
              <w:t>由上表可以看出，项目所在地SO</w:t>
            </w:r>
            <w:r>
              <w:rPr>
                <w:vertAlign w:val="subscript"/>
              </w:rPr>
              <w:t>2</w:t>
            </w:r>
            <w:r>
              <w:t>、NO</w:t>
            </w:r>
            <w:r>
              <w:rPr>
                <w:vertAlign w:val="subscript"/>
              </w:rPr>
              <w:t xml:space="preserve">2 </w:t>
            </w:r>
            <w:r>
              <w:t>、PM</w:t>
            </w:r>
            <w:r>
              <w:rPr>
                <w:vertAlign w:val="subscript"/>
              </w:rPr>
              <w:t>10</w:t>
            </w:r>
            <w:r>
              <w:t>、CO、O</w:t>
            </w:r>
            <w:r>
              <w:rPr>
                <w:vertAlign w:val="subscript"/>
              </w:rPr>
              <w:t>3</w:t>
            </w:r>
            <w:r>
              <w:t>、PM</w:t>
            </w:r>
            <w:r>
              <w:rPr>
                <w:vertAlign w:val="subscript"/>
              </w:rPr>
              <w:t>2.5</w:t>
            </w:r>
            <w:r>
              <w:t>年评价指标环境质量浓度满足《环境空气质量标准》（GB3095-2012）及修改单中的二级标准要求，盘锦市属于环境空气达标区。</w:t>
            </w:r>
          </w:p>
          <w:bookmarkEnd w:id="5"/>
          <w:p w14:paraId="7D133434">
            <w:pPr>
              <w:pStyle w:val="6"/>
              <w:spacing w:before="120" w:after="120"/>
              <w:ind w:firstLine="482"/>
            </w:pPr>
            <w:r>
              <w:t>2、环境空气补充监测结果</w:t>
            </w:r>
          </w:p>
          <w:p w14:paraId="4762BB51">
            <w:pPr>
              <w:ind w:firstLine="480"/>
            </w:pPr>
            <w:r>
              <w:t>辽宁兴邦环境检测有限公司于2022年2月24日-2月26日对项目区TSP、</w:t>
            </w:r>
            <w:r>
              <w:rPr>
                <w:color w:val="FF0000"/>
              </w:rPr>
              <w:t>非甲烷总烃</w:t>
            </w:r>
            <w:r>
              <w:t>进行了补充监测。</w:t>
            </w:r>
          </w:p>
          <w:p w14:paraId="1D4312AE">
            <w:pPr>
              <w:pStyle w:val="28"/>
              <w:ind w:firstLine="480"/>
              <w:rPr>
                <w:color w:val="FF0000"/>
              </w:rPr>
            </w:pPr>
            <w:r>
              <w:rPr>
                <w:color w:val="FF0000"/>
              </w:rPr>
              <w:t>根据《建设项目环境影响报告表编制技术指南（污染影响类）》（试行），选择当季主导风向下风向1个点位补充不少于3天的监测数据。</w:t>
            </w:r>
          </w:p>
          <w:p w14:paraId="03E374CB">
            <w:pPr>
              <w:ind w:firstLine="480"/>
            </w:pPr>
            <w:r>
              <w:t>（1）监测点位：</w:t>
            </w:r>
          </w:p>
          <w:p w14:paraId="4CBA30E4">
            <w:pPr>
              <w:ind w:firstLine="480"/>
              <w:rPr>
                <w:color w:val="FF0000"/>
              </w:rPr>
            </w:pPr>
            <w:bookmarkStart w:id="6" w:name="OLE_LINK40"/>
            <w:r>
              <w:rPr>
                <w:color w:val="FF0000"/>
              </w:rPr>
              <w:t>1#项目当季主导风向下风向500米处（项目东北方向，东经：122.003264°；北纬：41.250356°）</w:t>
            </w:r>
          </w:p>
          <w:p w14:paraId="48EEB98D">
            <w:pPr>
              <w:ind w:firstLine="480"/>
            </w:pPr>
            <w:r>
              <w:t>（2）检测项目：</w:t>
            </w:r>
          </w:p>
          <w:bookmarkEnd w:id="6"/>
          <w:p w14:paraId="26C65015">
            <w:pPr>
              <w:ind w:firstLine="480"/>
            </w:pPr>
            <w:r>
              <w:t>TSP、</w:t>
            </w:r>
            <w:r>
              <w:rPr>
                <w:color w:val="FF0000"/>
              </w:rPr>
              <w:t>非甲烷总烃</w:t>
            </w:r>
            <w:r>
              <w:t>。</w:t>
            </w:r>
          </w:p>
          <w:p w14:paraId="01B0FDFC">
            <w:pPr>
              <w:ind w:firstLine="480"/>
            </w:pPr>
            <w:r>
              <w:t>（3）监测频率：</w:t>
            </w:r>
          </w:p>
          <w:p w14:paraId="36596A02">
            <w:pPr>
              <w:ind w:firstLine="480"/>
            </w:pPr>
            <w:r>
              <w:rPr>
                <w:szCs w:val="22"/>
              </w:rPr>
              <w:t>连续监测3天。</w:t>
            </w:r>
            <w:r>
              <w:rPr>
                <w:color w:val="000000"/>
              </w:rPr>
              <w:t>TSP监测日均值，</w:t>
            </w:r>
            <w:r>
              <w:t>非甲烷总烃一次值。采样</w:t>
            </w:r>
            <w:r>
              <w:rPr>
                <w:color w:val="000000"/>
              </w:rPr>
              <w:t>时观测并记录当时的风向、风速、气温和气压以及天气条件状况等条件</w:t>
            </w:r>
            <w:r>
              <w:t>。</w:t>
            </w:r>
          </w:p>
          <w:p w14:paraId="28E8C058">
            <w:pPr>
              <w:ind w:firstLine="480"/>
            </w:pPr>
            <w:r>
              <w:t>（4）评价方法</w:t>
            </w:r>
          </w:p>
          <w:p w14:paraId="4DE693C9">
            <w:pPr>
              <w:adjustRightInd/>
              <w:snapToGrid/>
              <w:spacing w:line="440" w:lineRule="exact"/>
              <w:ind w:firstLine="480"/>
              <w:rPr>
                <w:rFonts w:eastAsia="Times New Roman"/>
                <w:szCs w:val="21"/>
                <w:lang w:val="zh-CN"/>
              </w:rPr>
            </w:pPr>
            <w:r>
              <w:rPr>
                <w:szCs w:val="21"/>
                <w:lang w:val="zh-CN"/>
              </w:rPr>
              <w:t>评价方法采用单因子评价指数法，计算公式如下：</w:t>
            </w:r>
            <w:r>
              <w:rPr>
                <w:rFonts w:eastAsia="Times New Roman"/>
                <w:szCs w:val="21"/>
                <w:lang w:val="zh-CN"/>
              </w:rPr>
              <w:t xml:space="preserve"> </w:t>
            </w:r>
          </w:p>
          <w:p w14:paraId="66805C95">
            <w:pPr>
              <w:adjustRightInd/>
              <w:snapToGrid/>
              <w:spacing w:line="440" w:lineRule="exact"/>
              <w:ind w:left="3760" w:firstLine="0" w:firstLineChars="0"/>
              <w:jc w:val="left"/>
              <w:rPr>
                <w:rFonts w:eastAsia="Times New Roman"/>
                <w:lang w:val="zh-CN"/>
              </w:rPr>
            </w:pPr>
            <w:r>
              <w:rPr>
                <w:rFonts w:eastAsia="Times New Roman"/>
                <w:lang w:val="zh-CN"/>
              </w:rPr>
              <w:t>I</w:t>
            </w:r>
            <w:r>
              <w:rPr>
                <w:rFonts w:eastAsia="Times New Roman"/>
                <w:vertAlign w:val="subscript"/>
                <w:lang w:val="zh-CN"/>
              </w:rPr>
              <w:t>i</w:t>
            </w:r>
            <w:r>
              <w:rPr>
                <w:rFonts w:eastAsia="Times New Roman"/>
                <w:lang w:val="zh-CN"/>
              </w:rPr>
              <w:t>=C</w:t>
            </w:r>
            <w:r>
              <w:rPr>
                <w:rFonts w:eastAsia="Times New Roman"/>
                <w:vertAlign w:val="subscript"/>
                <w:lang w:val="zh-CN"/>
              </w:rPr>
              <w:t>i</w:t>
            </w:r>
            <w:r>
              <w:rPr>
                <w:rFonts w:eastAsia="Times New Roman"/>
                <w:lang w:val="zh-CN"/>
              </w:rPr>
              <w:t>/C</w:t>
            </w:r>
            <w:r>
              <w:rPr>
                <w:rFonts w:eastAsia="Times New Roman"/>
                <w:vertAlign w:val="subscript"/>
                <w:lang w:val="zh-CN"/>
              </w:rPr>
              <w:t>oi</w:t>
            </w:r>
          </w:p>
          <w:p w14:paraId="6A2F0CD1">
            <w:pPr>
              <w:adjustRightInd/>
              <w:snapToGrid/>
              <w:spacing w:line="440" w:lineRule="exact"/>
              <w:ind w:firstLine="480"/>
              <w:jc w:val="left"/>
              <w:rPr>
                <w:rFonts w:eastAsia="Times New Roman"/>
                <w:lang w:val="zh-CN"/>
              </w:rPr>
            </w:pPr>
            <w:r>
              <w:rPr>
                <w:lang w:val="zh-CN"/>
              </w:rPr>
              <w:t>式中：</w:t>
            </w:r>
          </w:p>
          <w:p w14:paraId="51114E3B">
            <w:pPr>
              <w:adjustRightInd/>
              <w:snapToGrid/>
              <w:spacing w:line="440" w:lineRule="exact"/>
              <w:ind w:left="720" w:firstLine="0" w:firstLineChars="0"/>
              <w:jc w:val="left"/>
              <w:rPr>
                <w:rFonts w:eastAsia="Times New Roman"/>
                <w:lang w:val="zh-CN"/>
              </w:rPr>
            </w:pPr>
            <w:r>
              <w:rPr>
                <w:rFonts w:eastAsia="Times New Roman"/>
                <w:lang w:val="zh-CN"/>
              </w:rPr>
              <w:t>I</w:t>
            </w:r>
            <w:r>
              <w:rPr>
                <w:rFonts w:eastAsia="Times New Roman"/>
                <w:vertAlign w:val="subscript"/>
                <w:lang w:val="zh-CN"/>
              </w:rPr>
              <w:t>i</w:t>
            </w:r>
            <w:r>
              <w:rPr>
                <w:rFonts w:eastAsia="Times New Roman"/>
                <w:lang w:val="zh-CN"/>
              </w:rPr>
              <w:t>—i</w:t>
            </w:r>
            <w:r>
              <w:rPr>
                <w:lang w:val="zh-CN"/>
              </w:rPr>
              <w:t>种污染物的评价指数，无量纲，</w:t>
            </w:r>
            <w:r>
              <w:rPr>
                <w:rFonts w:eastAsia="Times New Roman"/>
                <w:lang w:val="zh-CN"/>
              </w:rPr>
              <w:t>I</w:t>
            </w:r>
            <w:r>
              <w:rPr>
                <w:rFonts w:eastAsia="Times New Roman"/>
                <w:vertAlign w:val="subscript"/>
                <w:lang w:val="zh-CN"/>
              </w:rPr>
              <w:t>i</w:t>
            </w:r>
            <w:r>
              <w:rPr>
                <w:rFonts w:eastAsia="Times New Roman"/>
                <w:lang w:val="zh-CN"/>
              </w:rPr>
              <w:t>≥1</w:t>
            </w:r>
            <w:r>
              <w:rPr>
                <w:lang w:val="zh-CN"/>
              </w:rPr>
              <w:t>为超标，</w:t>
            </w:r>
            <w:r>
              <w:rPr>
                <w:rFonts w:eastAsia="Times New Roman"/>
                <w:lang w:val="zh-CN"/>
              </w:rPr>
              <w:t>I</w:t>
            </w:r>
            <w:r>
              <w:rPr>
                <w:rFonts w:eastAsia="Times New Roman"/>
                <w:vertAlign w:val="subscript"/>
                <w:lang w:val="zh-CN"/>
              </w:rPr>
              <w:t>i</w:t>
            </w:r>
            <w:r>
              <w:rPr>
                <w:lang w:val="zh-CN"/>
              </w:rPr>
              <w:t>＜</w:t>
            </w:r>
            <w:r>
              <w:rPr>
                <w:rFonts w:eastAsia="Times New Roman"/>
                <w:lang w:val="zh-CN"/>
              </w:rPr>
              <w:t>1</w:t>
            </w:r>
            <w:r>
              <w:rPr>
                <w:lang w:val="zh-CN"/>
              </w:rPr>
              <w:t>为未超标；</w:t>
            </w:r>
          </w:p>
          <w:p w14:paraId="48D2C697">
            <w:pPr>
              <w:adjustRightInd/>
              <w:snapToGrid/>
              <w:spacing w:line="440" w:lineRule="exact"/>
              <w:ind w:left="720" w:firstLine="0" w:firstLineChars="0"/>
              <w:jc w:val="left"/>
              <w:rPr>
                <w:rFonts w:eastAsia="Times New Roman"/>
                <w:lang w:val="zh-CN"/>
              </w:rPr>
            </w:pPr>
            <w:r>
              <w:rPr>
                <w:rFonts w:eastAsia="Times New Roman"/>
                <w:lang w:val="zh-CN"/>
              </w:rPr>
              <w:t>C</w:t>
            </w:r>
            <w:r>
              <w:rPr>
                <w:rFonts w:eastAsia="Times New Roman"/>
                <w:vertAlign w:val="subscript"/>
                <w:lang w:val="zh-CN"/>
              </w:rPr>
              <w:t>i</w:t>
            </w:r>
            <w:r>
              <w:rPr>
                <w:rFonts w:eastAsia="Times New Roman"/>
                <w:lang w:val="zh-CN"/>
              </w:rPr>
              <w:t>—i</w:t>
            </w:r>
            <w:r>
              <w:rPr>
                <w:lang w:val="zh-CN"/>
              </w:rPr>
              <w:t>种污染物不同取样时间的浓度值（</w:t>
            </w:r>
            <w:r>
              <w:rPr>
                <w:rFonts w:eastAsia="Times New Roman"/>
                <w:lang w:val="zh-CN"/>
              </w:rPr>
              <w:t>mg/m</w:t>
            </w:r>
            <w:r>
              <w:rPr>
                <w:rFonts w:eastAsia="Times New Roman"/>
                <w:vertAlign w:val="superscript"/>
              </w:rPr>
              <w:t>3</w:t>
            </w:r>
            <w:r>
              <w:rPr>
                <w:lang w:val="zh-CN"/>
              </w:rPr>
              <w:t>）；</w:t>
            </w:r>
          </w:p>
          <w:p w14:paraId="396CA13C">
            <w:pPr>
              <w:adjustRightInd/>
              <w:snapToGrid/>
              <w:spacing w:line="440" w:lineRule="exact"/>
              <w:ind w:left="720" w:firstLine="0" w:firstLineChars="0"/>
              <w:jc w:val="left"/>
              <w:rPr>
                <w:rFonts w:eastAsia="Times New Roman"/>
                <w:lang w:val="zh-CN"/>
              </w:rPr>
            </w:pPr>
            <w:r>
              <w:rPr>
                <w:rFonts w:eastAsia="Times New Roman"/>
                <w:lang w:val="zh-CN"/>
              </w:rPr>
              <w:t>C</w:t>
            </w:r>
            <w:r>
              <w:rPr>
                <w:rFonts w:eastAsia="Times New Roman"/>
                <w:vertAlign w:val="subscript"/>
                <w:lang w:val="zh-CN"/>
              </w:rPr>
              <w:t>oi</w:t>
            </w:r>
            <w:r>
              <w:rPr>
                <w:rFonts w:eastAsia="Times New Roman"/>
                <w:lang w:val="zh-CN"/>
              </w:rPr>
              <w:t>—</w:t>
            </w:r>
            <w:r>
              <w:rPr>
                <w:lang w:val="zh-CN"/>
              </w:rPr>
              <w:t>污染因子的大气环境质量标准（</w:t>
            </w:r>
            <w:r>
              <w:rPr>
                <w:rFonts w:eastAsia="Times New Roman"/>
                <w:lang w:val="zh-CN"/>
              </w:rPr>
              <w:t>mg/m</w:t>
            </w:r>
            <w:r>
              <w:rPr>
                <w:rFonts w:eastAsia="Times New Roman"/>
                <w:vertAlign w:val="superscript"/>
              </w:rPr>
              <w:t>3</w:t>
            </w:r>
            <w:r>
              <w:rPr>
                <w:lang w:val="zh-CN"/>
              </w:rPr>
              <w:t>）。</w:t>
            </w:r>
          </w:p>
          <w:p w14:paraId="47DE1393">
            <w:pPr>
              <w:adjustRightInd/>
              <w:snapToGrid/>
              <w:spacing w:line="440" w:lineRule="exact"/>
              <w:ind w:firstLine="480"/>
              <w:rPr>
                <w:szCs w:val="22"/>
              </w:rPr>
            </w:pPr>
            <w:r>
              <w:rPr>
                <w:szCs w:val="22"/>
              </w:rPr>
              <w:t>（5）监测结果及评价</w:t>
            </w:r>
          </w:p>
          <w:p w14:paraId="77618CD2">
            <w:pPr>
              <w:adjustRightInd/>
              <w:snapToGrid/>
              <w:spacing w:line="440" w:lineRule="exact"/>
              <w:ind w:left="24" w:leftChars="10" w:right="24" w:rightChars="10" w:firstLine="480"/>
              <w:rPr>
                <w:szCs w:val="21"/>
              </w:rPr>
            </w:pPr>
            <w:r>
              <w:fldChar w:fldCharType="begin"/>
            </w:r>
            <w:r>
              <w:instrText xml:space="preserve"> = 1 \* GB3 \* MERGEFORMAT </w:instrText>
            </w:r>
            <w:r>
              <w:fldChar w:fldCharType="separate"/>
            </w:r>
            <w:r>
              <w:t>①</w:t>
            </w:r>
            <w:r>
              <w:fldChar w:fldCharType="end"/>
            </w:r>
            <w:r>
              <w:t>评价方法</w:t>
            </w:r>
          </w:p>
          <w:p w14:paraId="76B63F3F">
            <w:pPr>
              <w:adjustRightInd/>
              <w:snapToGrid/>
              <w:spacing w:line="440" w:lineRule="exact"/>
              <w:ind w:left="24" w:leftChars="10" w:right="24" w:rightChars="10" w:firstLine="480"/>
            </w:pPr>
            <w:r>
              <w:t>最大浓度占标率公式：I</w:t>
            </w:r>
            <w:r>
              <w:rPr>
                <w:vertAlign w:val="subscript"/>
              </w:rPr>
              <w:t>maxi</w:t>
            </w:r>
            <w:r>
              <w:t>=C</w:t>
            </w:r>
            <w:r>
              <w:rPr>
                <w:vertAlign w:val="subscript"/>
              </w:rPr>
              <w:t>maxi</w:t>
            </w:r>
            <w:r>
              <w:t>/C</w:t>
            </w:r>
            <w:r>
              <w:rPr>
                <w:vertAlign w:val="subscript"/>
              </w:rPr>
              <w:t>oi</w:t>
            </w:r>
          </w:p>
          <w:p w14:paraId="2460A9DD">
            <w:pPr>
              <w:adjustRightInd/>
              <w:snapToGrid/>
              <w:spacing w:line="440" w:lineRule="exact"/>
              <w:ind w:left="24" w:leftChars="10" w:right="24" w:rightChars="10" w:firstLine="960" w:firstLineChars="400"/>
            </w:pPr>
            <w:r>
              <w:t>式中：I</w:t>
            </w:r>
            <w:r>
              <w:rPr>
                <w:vertAlign w:val="subscript"/>
              </w:rPr>
              <w:t>maxi</w:t>
            </w:r>
            <w:r>
              <w:t>—i种污染物的最大浓度占标率；</w:t>
            </w:r>
          </w:p>
          <w:p w14:paraId="1C30996F">
            <w:pPr>
              <w:adjustRightInd/>
              <w:snapToGrid/>
              <w:spacing w:line="440" w:lineRule="exact"/>
              <w:ind w:left="24" w:leftChars="10" w:right="24" w:rightChars="10" w:firstLine="960" w:firstLineChars="400"/>
            </w:pPr>
            <w:r>
              <w:t xml:space="preserve">      C</w:t>
            </w:r>
            <w:r>
              <w:rPr>
                <w:vertAlign w:val="subscript"/>
              </w:rPr>
              <w:t>maxi</w:t>
            </w:r>
            <w:r>
              <w:t>—i种污染物的最大浓度值，mg/m</w:t>
            </w:r>
            <w:r>
              <w:rPr>
                <w:vertAlign w:val="superscript"/>
              </w:rPr>
              <w:t>3</w:t>
            </w:r>
            <w:r>
              <w:t>；</w:t>
            </w:r>
          </w:p>
          <w:p w14:paraId="673EB5B9">
            <w:pPr>
              <w:adjustRightInd/>
              <w:snapToGrid/>
              <w:spacing w:line="440" w:lineRule="exact"/>
              <w:ind w:left="24" w:leftChars="10" w:right="24" w:rightChars="10" w:firstLine="960" w:firstLineChars="400"/>
            </w:pPr>
            <w:r>
              <w:t xml:space="preserve">      C</w:t>
            </w:r>
            <w:r>
              <w:rPr>
                <w:vertAlign w:val="subscript"/>
              </w:rPr>
              <w:t>oi</w:t>
            </w:r>
            <w:r>
              <w:t>—i种污染物的评价标准，mg/m</w:t>
            </w:r>
            <w:r>
              <w:rPr>
                <w:vertAlign w:val="superscript"/>
              </w:rPr>
              <w:t>3</w:t>
            </w:r>
            <w:r>
              <w:t>。</w:t>
            </w:r>
          </w:p>
          <w:p w14:paraId="232FB996">
            <w:pPr>
              <w:adjustRightInd/>
              <w:snapToGrid/>
              <w:spacing w:line="440" w:lineRule="exact"/>
              <w:ind w:left="24" w:leftChars="10" w:right="24" w:rightChars="10" w:firstLine="480"/>
            </w:pPr>
            <w:r>
              <w:t>超标率公式：</w:t>
            </w:r>
          </w:p>
          <w:p w14:paraId="22679439">
            <w:pPr>
              <w:adjustRightInd/>
              <w:snapToGrid/>
              <w:ind w:firstLine="0" w:firstLineChars="0"/>
              <w:jc w:val="center"/>
              <w:rPr>
                <w:sz w:val="21"/>
              </w:rPr>
            </w:pPr>
            <w:r>
              <w:rPr>
                <w:rFonts w:eastAsia="Times New Roman"/>
                <w:position w:val="-26"/>
              </w:rPr>
              <w:object>
                <v:shape id="_x0000_i1025" o:spt="75" type="#_x0000_t75" style="height:33.25pt;width:170.6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p>
          <w:p w14:paraId="576084FE">
            <w:pPr>
              <w:adjustRightInd/>
              <w:snapToGrid/>
              <w:spacing w:line="440" w:lineRule="exact"/>
              <w:ind w:firstLine="480"/>
              <w:jc w:val="left"/>
              <w:rPr>
                <w:sz w:val="21"/>
              </w:rPr>
            </w:pPr>
            <w:r>
              <w:fldChar w:fldCharType="begin"/>
            </w:r>
            <w:r>
              <w:instrText xml:space="preserve"> = 2 \* GB3 \* MERGEFORMAT </w:instrText>
            </w:r>
            <w:r>
              <w:fldChar w:fldCharType="separate"/>
            </w:r>
            <w:r>
              <w:t>②</w:t>
            </w:r>
            <w:r>
              <w:fldChar w:fldCharType="end"/>
            </w:r>
            <w:r>
              <w:t>评价结果</w:t>
            </w:r>
          </w:p>
          <w:p w14:paraId="150F1F56">
            <w:pPr>
              <w:adjustRightInd/>
              <w:snapToGrid/>
              <w:spacing w:line="440" w:lineRule="exact"/>
              <w:ind w:firstLine="480"/>
              <w:rPr>
                <w:szCs w:val="22"/>
              </w:rPr>
            </w:pPr>
            <w:r>
              <w:rPr>
                <w:szCs w:val="22"/>
              </w:rPr>
              <w:t>环境空气质量监测结果及评价见下表。</w:t>
            </w:r>
          </w:p>
          <w:p w14:paraId="6C382A7F">
            <w:pPr>
              <w:pStyle w:val="33"/>
              <w:spacing w:before="120"/>
              <w:rPr>
                <w:rFonts w:hint="default"/>
              </w:rPr>
            </w:pPr>
            <w:bookmarkStart w:id="7" w:name="_Toc18623_WPSOffice_Level3"/>
            <w:r>
              <w:rPr>
                <w:rFonts w:hint="default"/>
              </w:rPr>
              <w:t>表11  监测与评价结果</w:t>
            </w:r>
            <w:bookmarkEnd w:id="7"/>
          </w:p>
          <w:tbl>
            <w:tblPr>
              <w:tblStyle w:val="24"/>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2610"/>
              <w:gridCol w:w="2052"/>
              <w:gridCol w:w="2052"/>
            </w:tblGrid>
            <w:tr w14:paraId="5426813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51" w:type="pct"/>
                  <w:tcMar>
                    <w:top w:w="0" w:type="dxa"/>
                    <w:left w:w="0" w:type="dxa"/>
                    <w:bottom w:w="0" w:type="dxa"/>
                    <w:right w:w="0" w:type="dxa"/>
                  </w:tcMar>
                  <w:vAlign w:val="center"/>
                </w:tcPr>
                <w:p w14:paraId="78969A7D">
                  <w:pPr>
                    <w:spacing w:line="240" w:lineRule="auto"/>
                    <w:ind w:firstLine="0" w:firstLineChars="0"/>
                    <w:jc w:val="center"/>
                    <w:rPr>
                      <w:bCs/>
                      <w:sz w:val="21"/>
                      <w:szCs w:val="21"/>
                    </w:rPr>
                  </w:pPr>
                  <w:r>
                    <w:rPr>
                      <w:bCs/>
                      <w:sz w:val="21"/>
                      <w:szCs w:val="21"/>
                    </w:rPr>
                    <w:t>监测点位</w:t>
                  </w:r>
                </w:p>
              </w:tc>
              <w:tc>
                <w:tcPr>
                  <w:tcW w:w="1651" w:type="pct"/>
                  <w:tcMar>
                    <w:top w:w="0" w:type="dxa"/>
                    <w:left w:w="0" w:type="dxa"/>
                    <w:bottom w:w="0" w:type="dxa"/>
                    <w:right w:w="0" w:type="dxa"/>
                  </w:tcMar>
                  <w:vAlign w:val="center"/>
                </w:tcPr>
                <w:p w14:paraId="62BDF64F">
                  <w:pPr>
                    <w:spacing w:line="240" w:lineRule="auto"/>
                    <w:ind w:firstLine="0" w:firstLineChars="0"/>
                    <w:jc w:val="center"/>
                    <w:rPr>
                      <w:bCs/>
                      <w:sz w:val="21"/>
                      <w:szCs w:val="21"/>
                    </w:rPr>
                  </w:pPr>
                  <w:r>
                    <w:rPr>
                      <w:bCs/>
                      <w:sz w:val="21"/>
                      <w:szCs w:val="21"/>
                    </w:rPr>
                    <w:t>项目</w:t>
                  </w:r>
                </w:p>
              </w:tc>
              <w:tc>
                <w:tcPr>
                  <w:tcW w:w="1298" w:type="pct"/>
                  <w:vAlign w:val="center"/>
                </w:tcPr>
                <w:p w14:paraId="1CE292A3">
                  <w:pPr>
                    <w:spacing w:line="240" w:lineRule="auto"/>
                    <w:ind w:firstLine="0" w:firstLineChars="0"/>
                    <w:jc w:val="center"/>
                    <w:rPr>
                      <w:bCs/>
                      <w:sz w:val="21"/>
                      <w:szCs w:val="21"/>
                    </w:rPr>
                  </w:pPr>
                  <w:r>
                    <w:rPr>
                      <w:bCs/>
                      <w:sz w:val="21"/>
                      <w:szCs w:val="21"/>
                    </w:rPr>
                    <w:t>TSP</w:t>
                  </w:r>
                </w:p>
              </w:tc>
              <w:tc>
                <w:tcPr>
                  <w:tcW w:w="1298" w:type="pct"/>
                  <w:vAlign w:val="center"/>
                </w:tcPr>
                <w:p w14:paraId="33CD3E2A">
                  <w:pPr>
                    <w:spacing w:line="240" w:lineRule="auto"/>
                    <w:ind w:firstLine="0" w:firstLineChars="0"/>
                    <w:jc w:val="center"/>
                    <w:rPr>
                      <w:bCs/>
                      <w:color w:val="FF0000"/>
                      <w:sz w:val="21"/>
                      <w:szCs w:val="21"/>
                    </w:rPr>
                  </w:pPr>
                  <w:r>
                    <w:rPr>
                      <w:bCs/>
                      <w:color w:val="FF0000"/>
                      <w:sz w:val="21"/>
                      <w:szCs w:val="21"/>
                    </w:rPr>
                    <w:t>非甲烷总烃</w:t>
                  </w:r>
                </w:p>
              </w:tc>
            </w:tr>
            <w:tr w14:paraId="0FFDB8A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pct"/>
                  <w:vMerge w:val="restart"/>
                  <w:tcMar>
                    <w:top w:w="0" w:type="dxa"/>
                    <w:left w:w="0" w:type="dxa"/>
                    <w:bottom w:w="0" w:type="dxa"/>
                    <w:right w:w="0" w:type="dxa"/>
                  </w:tcMar>
                  <w:vAlign w:val="center"/>
                </w:tcPr>
                <w:p w14:paraId="7C86E064">
                  <w:pPr>
                    <w:spacing w:line="240" w:lineRule="auto"/>
                    <w:ind w:firstLine="0" w:firstLineChars="0"/>
                    <w:jc w:val="center"/>
                    <w:rPr>
                      <w:bCs/>
                      <w:sz w:val="21"/>
                      <w:szCs w:val="21"/>
                    </w:rPr>
                  </w:pPr>
                  <w:r>
                    <w:rPr>
                      <w:sz w:val="21"/>
                      <w:szCs w:val="21"/>
                    </w:rPr>
                    <w:t>1#</w:t>
                  </w:r>
                  <w:r>
                    <w:rPr>
                      <w:bCs/>
                      <w:sz w:val="21"/>
                      <w:szCs w:val="21"/>
                    </w:rPr>
                    <w:t xml:space="preserve"> </w:t>
                  </w:r>
                </w:p>
              </w:tc>
              <w:tc>
                <w:tcPr>
                  <w:tcW w:w="1651" w:type="pct"/>
                  <w:tcMar>
                    <w:top w:w="0" w:type="dxa"/>
                    <w:left w:w="0" w:type="dxa"/>
                    <w:bottom w:w="0" w:type="dxa"/>
                    <w:right w:w="0" w:type="dxa"/>
                  </w:tcMar>
                  <w:vAlign w:val="center"/>
                </w:tcPr>
                <w:p w14:paraId="177249C6">
                  <w:pPr>
                    <w:spacing w:line="240" w:lineRule="auto"/>
                    <w:ind w:firstLine="0" w:firstLineChars="0"/>
                    <w:jc w:val="center"/>
                    <w:rPr>
                      <w:bCs/>
                      <w:sz w:val="21"/>
                      <w:szCs w:val="21"/>
                    </w:rPr>
                  </w:pPr>
                  <w:r>
                    <w:rPr>
                      <w:bCs/>
                      <w:sz w:val="21"/>
                      <w:szCs w:val="21"/>
                    </w:rPr>
                    <w:t>C</w:t>
                  </w:r>
                  <w:r>
                    <w:rPr>
                      <w:bCs/>
                      <w:sz w:val="21"/>
                      <w:szCs w:val="21"/>
                      <w:vertAlign w:val="subscript"/>
                    </w:rPr>
                    <w:t>i</w:t>
                  </w:r>
                </w:p>
              </w:tc>
              <w:tc>
                <w:tcPr>
                  <w:tcW w:w="1298" w:type="pct"/>
                  <w:vAlign w:val="center"/>
                </w:tcPr>
                <w:p w14:paraId="44F93D6B">
                  <w:pPr>
                    <w:spacing w:line="240" w:lineRule="auto"/>
                    <w:ind w:firstLine="0" w:firstLineChars="0"/>
                    <w:jc w:val="center"/>
                    <w:rPr>
                      <w:bCs/>
                      <w:sz w:val="21"/>
                      <w:szCs w:val="21"/>
                    </w:rPr>
                  </w:pPr>
                  <w:r>
                    <w:rPr>
                      <w:sz w:val="21"/>
                      <w:szCs w:val="21"/>
                    </w:rPr>
                    <w:t>195-205μg/m</w:t>
                  </w:r>
                  <w:r>
                    <w:rPr>
                      <w:sz w:val="21"/>
                      <w:szCs w:val="21"/>
                      <w:vertAlign w:val="superscript"/>
                    </w:rPr>
                    <w:t>3</w:t>
                  </w:r>
                </w:p>
              </w:tc>
              <w:tc>
                <w:tcPr>
                  <w:tcW w:w="1298" w:type="pct"/>
                  <w:vAlign w:val="center"/>
                </w:tcPr>
                <w:p w14:paraId="38EF229C">
                  <w:pPr>
                    <w:spacing w:line="240" w:lineRule="auto"/>
                    <w:ind w:firstLine="0" w:firstLineChars="0"/>
                    <w:jc w:val="center"/>
                    <w:rPr>
                      <w:color w:val="FF0000"/>
                      <w:sz w:val="21"/>
                      <w:szCs w:val="21"/>
                    </w:rPr>
                  </w:pPr>
                  <w:r>
                    <w:rPr>
                      <w:color w:val="FF0000"/>
                      <w:sz w:val="21"/>
                      <w:szCs w:val="21"/>
                    </w:rPr>
                    <w:t>1.37-1.48mg/m</w:t>
                  </w:r>
                  <w:r>
                    <w:rPr>
                      <w:color w:val="FF0000"/>
                      <w:sz w:val="21"/>
                      <w:szCs w:val="21"/>
                      <w:vertAlign w:val="superscript"/>
                    </w:rPr>
                    <w:t>3</w:t>
                  </w:r>
                </w:p>
              </w:tc>
            </w:tr>
            <w:tr w14:paraId="4D13D4E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pct"/>
                  <w:vMerge w:val="continue"/>
                  <w:vAlign w:val="center"/>
                </w:tcPr>
                <w:p w14:paraId="271911F0">
                  <w:pPr>
                    <w:widowControl/>
                    <w:adjustRightInd/>
                    <w:snapToGrid/>
                    <w:spacing w:line="240" w:lineRule="auto"/>
                    <w:ind w:firstLine="0" w:firstLineChars="0"/>
                    <w:jc w:val="left"/>
                    <w:rPr>
                      <w:bCs/>
                      <w:sz w:val="21"/>
                      <w:szCs w:val="21"/>
                    </w:rPr>
                  </w:pPr>
                </w:p>
              </w:tc>
              <w:tc>
                <w:tcPr>
                  <w:tcW w:w="1651" w:type="pct"/>
                  <w:tcMar>
                    <w:top w:w="0" w:type="dxa"/>
                    <w:left w:w="0" w:type="dxa"/>
                    <w:bottom w:w="0" w:type="dxa"/>
                    <w:right w:w="0" w:type="dxa"/>
                  </w:tcMar>
                  <w:vAlign w:val="center"/>
                </w:tcPr>
                <w:p w14:paraId="27A640F1">
                  <w:pPr>
                    <w:spacing w:line="240" w:lineRule="auto"/>
                    <w:ind w:firstLine="0" w:firstLineChars="0"/>
                    <w:jc w:val="center"/>
                    <w:rPr>
                      <w:bCs/>
                      <w:sz w:val="21"/>
                      <w:szCs w:val="21"/>
                    </w:rPr>
                  </w:pPr>
                  <w:r>
                    <w:rPr>
                      <w:bCs/>
                      <w:sz w:val="21"/>
                      <w:szCs w:val="21"/>
                    </w:rPr>
                    <w:t>I</w:t>
                  </w:r>
                  <w:r>
                    <w:rPr>
                      <w:vertAlign w:val="subscript"/>
                    </w:rPr>
                    <w:t>maxi</w:t>
                  </w:r>
                </w:p>
              </w:tc>
              <w:tc>
                <w:tcPr>
                  <w:tcW w:w="1298" w:type="pct"/>
                  <w:vAlign w:val="center"/>
                </w:tcPr>
                <w:p w14:paraId="76940E90">
                  <w:pPr>
                    <w:spacing w:line="240" w:lineRule="auto"/>
                    <w:ind w:firstLine="0" w:firstLineChars="0"/>
                    <w:jc w:val="center"/>
                    <w:rPr>
                      <w:bCs/>
                      <w:sz w:val="21"/>
                      <w:szCs w:val="21"/>
                    </w:rPr>
                  </w:pPr>
                  <w:r>
                    <w:rPr>
                      <w:bCs/>
                      <w:sz w:val="21"/>
                      <w:szCs w:val="21"/>
                    </w:rPr>
                    <w:t>0.68</w:t>
                  </w:r>
                </w:p>
              </w:tc>
              <w:tc>
                <w:tcPr>
                  <w:tcW w:w="1298" w:type="pct"/>
                  <w:vAlign w:val="center"/>
                </w:tcPr>
                <w:p w14:paraId="3F3B91A4">
                  <w:pPr>
                    <w:spacing w:line="240" w:lineRule="auto"/>
                    <w:ind w:firstLine="0" w:firstLineChars="0"/>
                    <w:jc w:val="center"/>
                    <w:rPr>
                      <w:bCs/>
                      <w:color w:val="FF0000"/>
                      <w:sz w:val="21"/>
                      <w:szCs w:val="21"/>
                    </w:rPr>
                  </w:pPr>
                  <w:r>
                    <w:rPr>
                      <w:bCs/>
                      <w:color w:val="FF0000"/>
                      <w:sz w:val="21"/>
                      <w:szCs w:val="21"/>
                    </w:rPr>
                    <w:t>0.74</w:t>
                  </w:r>
                </w:p>
              </w:tc>
            </w:tr>
            <w:tr w14:paraId="28D944D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pct"/>
                  <w:vMerge w:val="continue"/>
                  <w:vAlign w:val="center"/>
                </w:tcPr>
                <w:p w14:paraId="03F8DCD3">
                  <w:pPr>
                    <w:widowControl/>
                    <w:adjustRightInd/>
                    <w:snapToGrid/>
                    <w:spacing w:line="240" w:lineRule="auto"/>
                    <w:ind w:firstLine="0" w:firstLineChars="0"/>
                    <w:jc w:val="left"/>
                    <w:rPr>
                      <w:bCs/>
                      <w:sz w:val="21"/>
                      <w:szCs w:val="21"/>
                    </w:rPr>
                  </w:pPr>
                </w:p>
              </w:tc>
              <w:tc>
                <w:tcPr>
                  <w:tcW w:w="1651" w:type="pct"/>
                  <w:tcMar>
                    <w:top w:w="0" w:type="dxa"/>
                    <w:left w:w="0" w:type="dxa"/>
                    <w:bottom w:w="0" w:type="dxa"/>
                    <w:right w:w="0" w:type="dxa"/>
                  </w:tcMar>
                  <w:vAlign w:val="center"/>
                </w:tcPr>
                <w:p w14:paraId="57D05D4A">
                  <w:pPr>
                    <w:spacing w:line="240" w:lineRule="auto"/>
                    <w:ind w:firstLine="0" w:firstLineChars="0"/>
                    <w:jc w:val="center"/>
                    <w:rPr>
                      <w:bCs/>
                      <w:sz w:val="21"/>
                      <w:szCs w:val="21"/>
                    </w:rPr>
                  </w:pPr>
                  <w:r>
                    <w:rPr>
                      <w:bCs/>
                      <w:sz w:val="21"/>
                      <w:szCs w:val="21"/>
                    </w:rPr>
                    <w:t>超标率（%）</w:t>
                  </w:r>
                </w:p>
              </w:tc>
              <w:tc>
                <w:tcPr>
                  <w:tcW w:w="1298" w:type="pct"/>
                  <w:vAlign w:val="center"/>
                </w:tcPr>
                <w:p w14:paraId="3C1845D9">
                  <w:pPr>
                    <w:spacing w:line="240" w:lineRule="auto"/>
                    <w:ind w:firstLine="0" w:firstLineChars="0"/>
                    <w:jc w:val="center"/>
                    <w:rPr>
                      <w:bCs/>
                      <w:sz w:val="21"/>
                      <w:szCs w:val="21"/>
                    </w:rPr>
                  </w:pPr>
                  <w:r>
                    <w:rPr>
                      <w:bCs/>
                      <w:sz w:val="21"/>
                      <w:szCs w:val="21"/>
                    </w:rPr>
                    <w:t>0</w:t>
                  </w:r>
                </w:p>
              </w:tc>
              <w:tc>
                <w:tcPr>
                  <w:tcW w:w="1298" w:type="pct"/>
                  <w:vAlign w:val="center"/>
                </w:tcPr>
                <w:p w14:paraId="2E47A1C5">
                  <w:pPr>
                    <w:spacing w:line="240" w:lineRule="auto"/>
                    <w:ind w:firstLine="0" w:firstLineChars="0"/>
                    <w:jc w:val="center"/>
                    <w:rPr>
                      <w:bCs/>
                      <w:color w:val="FF0000"/>
                      <w:sz w:val="21"/>
                      <w:szCs w:val="21"/>
                    </w:rPr>
                  </w:pPr>
                  <w:r>
                    <w:rPr>
                      <w:bCs/>
                      <w:color w:val="FF0000"/>
                      <w:sz w:val="21"/>
                      <w:szCs w:val="21"/>
                    </w:rPr>
                    <w:t>0</w:t>
                  </w:r>
                </w:p>
              </w:tc>
            </w:tr>
            <w:tr w14:paraId="7817367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pct"/>
                  <w:vMerge w:val="continue"/>
                  <w:vAlign w:val="center"/>
                </w:tcPr>
                <w:p w14:paraId="2FF1500B">
                  <w:pPr>
                    <w:widowControl/>
                    <w:adjustRightInd/>
                    <w:snapToGrid/>
                    <w:spacing w:line="240" w:lineRule="auto"/>
                    <w:ind w:firstLine="0" w:firstLineChars="0"/>
                    <w:jc w:val="left"/>
                    <w:rPr>
                      <w:bCs/>
                      <w:sz w:val="21"/>
                      <w:szCs w:val="21"/>
                    </w:rPr>
                  </w:pPr>
                </w:p>
              </w:tc>
              <w:tc>
                <w:tcPr>
                  <w:tcW w:w="1651" w:type="pct"/>
                  <w:tcMar>
                    <w:top w:w="0" w:type="dxa"/>
                    <w:left w:w="0" w:type="dxa"/>
                    <w:bottom w:w="0" w:type="dxa"/>
                    <w:right w:w="0" w:type="dxa"/>
                  </w:tcMar>
                  <w:vAlign w:val="center"/>
                </w:tcPr>
                <w:p w14:paraId="5416AB27">
                  <w:pPr>
                    <w:spacing w:line="240" w:lineRule="auto"/>
                    <w:ind w:firstLine="0" w:firstLineChars="0"/>
                    <w:jc w:val="center"/>
                    <w:rPr>
                      <w:bCs/>
                      <w:sz w:val="21"/>
                      <w:szCs w:val="21"/>
                    </w:rPr>
                  </w:pPr>
                  <w:r>
                    <w:rPr>
                      <w:bCs/>
                      <w:sz w:val="21"/>
                      <w:szCs w:val="21"/>
                    </w:rPr>
                    <w:t>最大超标倍数</w:t>
                  </w:r>
                </w:p>
              </w:tc>
              <w:tc>
                <w:tcPr>
                  <w:tcW w:w="1298" w:type="pct"/>
                  <w:vAlign w:val="center"/>
                </w:tcPr>
                <w:p w14:paraId="17E457E9">
                  <w:pPr>
                    <w:spacing w:line="240" w:lineRule="auto"/>
                    <w:ind w:firstLine="0" w:firstLineChars="0"/>
                    <w:jc w:val="center"/>
                    <w:rPr>
                      <w:bCs/>
                      <w:sz w:val="21"/>
                      <w:szCs w:val="21"/>
                    </w:rPr>
                  </w:pPr>
                  <w:r>
                    <w:rPr>
                      <w:bCs/>
                      <w:sz w:val="21"/>
                      <w:szCs w:val="21"/>
                    </w:rPr>
                    <w:t>—</w:t>
                  </w:r>
                </w:p>
              </w:tc>
              <w:tc>
                <w:tcPr>
                  <w:tcW w:w="1298" w:type="pct"/>
                  <w:vAlign w:val="center"/>
                </w:tcPr>
                <w:p w14:paraId="11513BF6">
                  <w:pPr>
                    <w:spacing w:line="240" w:lineRule="auto"/>
                    <w:ind w:firstLine="0" w:firstLineChars="0"/>
                    <w:jc w:val="center"/>
                    <w:rPr>
                      <w:bCs/>
                      <w:color w:val="FF0000"/>
                      <w:sz w:val="21"/>
                      <w:szCs w:val="21"/>
                    </w:rPr>
                  </w:pPr>
                  <w:r>
                    <w:rPr>
                      <w:bCs/>
                      <w:color w:val="FF0000"/>
                      <w:sz w:val="21"/>
                      <w:szCs w:val="21"/>
                    </w:rPr>
                    <w:t>—</w:t>
                  </w:r>
                </w:p>
              </w:tc>
            </w:tr>
            <w:tr w14:paraId="718BDA2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02" w:type="pct"/>
                  <w:gridSpan w:val="2"/>
                  <w:vAlign w:val="center"/>
                </w:tcPr>
                <w:p w14:paraId="76A2EBE5">
                  <w:pPr>
                    <w:spacing w:line="240" w:lineRule="auto"/>
                    <w:ind w:firstLine="0" w:firstLineChars="0"/>
                    <w:jc w:val="center"/>
                    <w:rPr>
                      <w:bCs/>
                      <w:sz w:val="21"/>
                      <w:szCs w:val="21"/>
                    </w:rPr>
                  </w:pPr>
                  <w:r>
                    <w:rPr>
                      <w:bCs/>
                      <w:sz w:val="21"/>
                      <w:szCs w:val="21"/>
                    </w:rPr>
                    <w:t>标准</w:t>
                  </w:r>
                </w:p>
              </w:tc>
              <w:tc>
                <w:tcPr>
                  <w:tcW w:w="1298" w:type="pct"/>
                  <w:vAlign w:val="center"/>
                </w:tcPr>
                <w:p w14:paraId="6C158E21">
                  <w:pPr>
                    <w:spacing w:line="240" w:lineRule="auto"/>
                    <w:ind w:firstLine="0" w:firstLineChars="0"/>
                    <w:jc w:val="center"/>
                    <w:rPr>
                      <w:bCs/>
                      <w:sz w:val="21"/>
                      <w:szCs w:val="21"/>
                    </w:rPr>
                  </w:pPr>
                  <w:r>
                    <w:rPr>
                      <w:bCs/>
                      <w:sz w:val="21"/>
                      <w:szCs w:val="21"/>
                    </w:rPr>
                    <w:t>300</w:t>
                  </w:r>
                  <w:r>
                    <w:rPr>
                      <w:sz w:val="21"/>
                      <w:szCs w:val="21"/>
                    </w:rPr>
                    <w:t>μg/m</w:t>
                  </w:r>
                  <w:r>
                    <w:rPr>
                      <w:sz w:val="21"/>
                      <w:szCs w:val="21"/>
                      <w:vertAlign w:val="superscript"/>
                    </w:rPr>
                    <w:t>3</w:t>
                  </w:r>
                </w:p>
              </w:tc>
              <w:tc>
                <w:tcPr>
                  <w:tcW w:w="1298" w:type="pct"/>
                  <w:vAlign w:val="center"/>
                </w:tcPr>
                <w:p w14:paraId="4ADD1FC7">
                  <w:pPr>
                    <w:spacing w:line="240" w:lineRule="auto"/>
                    <w:ind w:firstLine="0" w:firstLineChars="0"/>
                    <w:jc w:val="center"/>
                    <w:rPr>
                      <w:bCs/>
                      <w:color w:val="FF0000"/>
                      <w:sz w:val="21"/>
                      <w:szCs w:val="21"/>
                    </w:rPr>
                  </w:pPr>
                  <w:r>
                    <w:rPr>
                      <w:color w:val="FF0000"/>
                      <w:sz w:val="21"/>
                      <w:szCs w:val="21"/>
                    </w:rPr>
                    <w:t>2.0mg/m</w:t>
                  </w:r>
                  <w:r>
                    <w:rPr>
                      <w:color w:val="FF0000"/>
                      <w:sz w:val="21"/>
                      <w:szCs w:val="21"/>
                      <w:vertAlign w:val="superscript"/>
                    </w:rPr>
                    <w:t>3</w:t>
                  </w:r>
                </w:p>
              </w:tc>
            </w:tr>
          </w:tbl>
          <w:p w14:paraId="0014FAB6">
            <w:pPr>
              <w:ind w:firstLine="480"/>
              <w:rPr>
                <w:color w:val="FF0000"/>
              </w:rPr>
            </w:pPr>
            <w:r>
              <w:rPr>
                <w:szCs w:val="22"/>
              </w:rPr>
              <w:t>由监测统计结果可以看出，TSP满足</w:t>
            </w:r>
            <w:r>
              <w:t>《环境空气质量标准》（GB3095-2012）及修改单中的二级标准</w:t>
            </w:r>
            <w:r>
              <w:rPr>
                <w:szCs w:val="22"/>
              </w:rPr>
              <w:t>中相关要求，</w:t>
            </w:r>
            <w:r>
              <w:rPr>
                <w:color w:val="FF0000"/>
                <w:szCs w:val="22"/>
              </w:rPr>
              <w:t>非甲烷总烃满足</w:t>
            </w:r>
            <w:r>
              <w:rPr>
                <w:color w:val="FF0000"/>
              </w:rPr>
              <w:t>《大污染物综合排放标准详解》中相关标准</w:t>
            </w:r>
            <w:r>
              <w:rPr>
                <w:color w:val="FF0000"/>
                <w:szCs w:val="22"/>
              </w:rPr>
              <w:t>。</w:t>
            </w:r>
          </w:p>
          <w:p w14:paraId="619CAB00">
            <w:pPr>
              <w:pStyle w:val="5"/>
              <w:spacing w:before="120" w:after="120"/>
              <w:ind w:firstLine="562" w:firstLineChars="200"/>
              <w:rPr>
                <w:sz w:val="28"/>
              </w:rPr>
            </w:pPr>
            <w:r>
              <w:rPr>
                <w:sz w:val="28"/>
              </w:rPr>
              <w:t>二、声环境质量现状</w:t>
            </w:r>
          </w:p>
          <w:p w14:paraId="58282DE3">
            <w:pPr>
              <w:ind w:firstLine="480"/>
            </w:pPr>
            <w:r>
              <w:t>项目所在地为声环境3类功能区，辽宁兴邦环境检测有限公司于2022年2月24日对本项目所在地声环境现状进行了现状检测。监测点位图见附图4，监测报告见附件5。</w:t>
            </w:r>
          </w:p>
          <w:p w14:paraId="634D1EDB">
            <w:pPr>
              <w:ind w:firstLine="480"/>
            </w:pPr>
            <w:r>
              <w:t>1、监测点位：1#厂界东、2#厂界南、3#厂界西、4#厂界北。</w:t>
            </w:r>
          </w:p>
          <w:p w14:paraId="1F780AD4">
            <w:pPr>
              <w:ind w:firstLine="480"/>
            </w:pPr>
            <w:r>
              <w:t>2、监测项目：连续等效A声级[Leq 单位：dB（A）]。</w:t>
            </w:r>
          </w:p>
          <w:p w14:paraId="74EB6584">
            <w:pPr>
              <w:ind w:firstLine="480"/>
            </w:pPr>
            <w:r>
              <w:t>3、监测频率：2022年2月24日进行现场监测，昼、夜间各1次。</w:t>
            </w:r>
          </w:p>
          <w:p w14:paraId="4356051F">
            <w:pPr>
              <w:ind w:firstLine="480"/>
            </w:pPr>
            <w:r>
              <w:t>4、监测方法：《声环境质量标准》（GB3096-2008）。</w:t>
            </w:r>
          </w:p>
          <w:p w14:paraId="5CFDF185">
            <w:pPr>
              <w:ind w:firstLine="480"/>
            </w:pPr>
            <w:r>
              <w:t>5、监测结果见下表。</w:t>
            </w:r>
          </w:p>
          <w:p w14:paraId="0A74A626">
            <w:pPr>
              <w:pStyle w:val="33"/>
              <w:spacing w:before="120"/>
              <w:rPr>
                <w:rFonts w:hint="default"/>
              </w:rPr>
            </w:pPr>
            <w:r>
              <w:rPr>
                <w:rFonts w:hint="default"/>
              </w:rPr>
              <w:t>表12   环境噪声监测结果   单位：dB（A）</w:t>
            </w:r>
          </w:p>
          <w:tbl>
            <w:tblPr>
              <w:tblStyle w:val="24"/>
              <w:tblW w:w="5000"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016"/>
              <w:gridCol w:w="740"/>
              <w:gridCol w:w="1731"/>
              <w:gridCol w:w="1726"/>
              <w:gridCol w:w="1637"/>
            </w:tblGrid>
            <w:tr w14:paraId="0E217B3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67" w:type="pct"/>
                  <w:tcBorders>
                    <w:tl2br w:val="nil"/>
                    <w:tr2bl w:val="nil"/>
                  </w:tcBorders>
                  <w:vAlign w:val="center"/>
                </w:tcPr>
                <w:p w14:paraId="05BB18D4">
                  <w:pPr>
                    <w:pStyle w:val="32"/>
                    <w:adjustRightInd w:val="0"/>
                    <w:snapToGrid w:val="0"/>
                    <w:spacing w:beforeLines="0" w:afterLines="0"/>
                    <w:rPr>
                      <w:szCs w:val="21"/>
                    </w:rPr>
                  </w:pPr>
                  <w:bookmarkStart w:id="8" w:name="OLE_LINK28" w:colFirst="2" w:colLast="2"/>
                  <w:bookmarkStart w:id="9" w:name="OLE_LINK13" w:colFirst="2" w:colLast="2"/>
                  <w:r>
                    <w:rPr>
                      <w:szCs w:val="21"/>
                    </w:rPr>
                    <w:t>点位</w:t>
                  </w:r>
                </w:p>
              </w:tc>
              <w:tc>
                <w:tcPr>
                  <w:tcW w:w="1111" w:type="pct"/>
                  <w:gridSpan w:val="2"/>
                  <w:tcBorders>
                    <w:tl2br w:val="nil"/>
                    <w:tr2bl w:val="nil"/>
                  </w:tcBorders>
                  <w:vAlign w:val="center"/>
                </w:tcPr>
                <w:p w14:paraId="1A2E8412">
                  <w:pPr>
                    <w:pStyle w:val="32"/>
                    <w:adjustRightInd w:val="0"/>
                    <w:snapToGrid w:val="0"/>
                    <w:spacing w:beforeLines="0" w:afterLines="0"/>
                    <w:rPr>
                      <w:szCs w:val="21"/>
                    </w:rPr>
                  </w:pPr>
                  <w:r>
                    <w:rPr>
                      <w:szCs w:val="21"/>
                    </w:rPr>
                    <w:t>检测时间和时段</w:t>
                  </w:r>
                </w:p>
              </w:tc>
              <w:tc>
                <w:tcPr>
                  <w:tcW w:w="1095" w:type="pct"/>
                  <w:tcBorders>
                    <w:tl2br w:val="nil"/>
                    <w:tr2bl w:val="nil"/>
                  </w:tcBorders>
                  <w:vAlign w:val="center"/>
                </w:tcPr>
                <w:p w14:paraId="2AB1C597">
                  <w:pPr>
                    <w:pStyle w:val="32"/>
                    <w:adjustRightInd w:val="0"/>
                    <w:snapToGrid w:val="0"/>
                    <w:spacing w:beforeLines="0" w:afterLines="0"/>
                    <w:rPr>
                      <w:szCs w:val="21"/>
                    </w:rPr>
                  </w:pPr>
                  <w:r>
                    <w:rPr>
                      <w:szCs w:val="21"/>
                    </w:rPr>
                    <w:t>测量结果[dB(A)]</w:t>
                  </w:r>
                </w:p>
              </w:tc>
              <w:tc>
                <w:tcPr>
                  <w:tcW w:w="1092" w:type="pct"/>
                  <w:tcBorders>
                    <w:tl2br w:val="nil"/>
                    <w:tr2bl w:val="nil"/>
                  </w:tcBorders>
                  <w:vAlign w:val="center"/>
                </w:tcPr>
                <w:p w14:paraId="231CF7CE">
                  <w:pPr>
                    <w:pStyle w:val="32"/>
                    <w:adjustRightInd w:val="0"/>
                    <w:snapToGrid w:val="0"/>
                    <w:spacing w:beforeLines="0" w:afterLines="0"/>
                    <w:rPr>
                      <w:szCs w:val="21"/>
                    </w:rPr>
                  </w:pPr>
                  <w:r>
                    <w:rPr>
                      <w:szCs w:val="21"/>
                    </w:rPr>
                    <w:t>标准值[dB(A)]</w:t>
                  </w:r>
                </w:p>
              </w:tc>
              <w:tc>
                <w:tcPr>
                  <w:tcW w:w="1035" w:type="pct"/>
                  <w:tcBorders>
                    <w:tl2br w:val="nil"/>
                    <w:tr2bl w:val="nil"/>
                  </w:tcBorders>
                  <w:vAlign w:val="center"/>
                </w:tcPr>
                <w:p w14:paraId="5C4B8B8B">
                  <w:pPr>
                    <w:pStyle w:val="32"/>
                    <w:adjustRightInd w:val="0"/>
                    <w:snapToGrid w:val="0"/>
                    <w:spacing w:beforeLines="0" w:afterLines="0"/>
                    <w:rPr>
                      <w:szCs w:val="21"/>
                    </w:rPr>
                  </w:pPr>
                  <w:r>
                    <w:rPr>
                      <w:szCs w:val="21"/>
                    </w:rPr>
                    <w:t>达标情况</w:t>
                  </w:r>
                </w:p>
              </w:tc>
            </w:tr>
            <w:bookmarkEnd w:id="8"/>
            <w:bookmarkEnd w:id="9"/>
            <w:tr w14:paraId="0E0BFBE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pct"/>
                  <w:vMerge w:val="restart"/>
                  <w:tcBorders>
                    <w:tl2br w:val="nil"/>
                    <w:tr2bl w:val="nil"/>
                  </w:tcBorders>
                  <w:vAlign w:val="center"/>
                </w:tcPr>
                <w:p w14:paraId="2AF09D61">
                  <w:pPr>
                    <w:pStyle w:val="32"/>
                    <w:adjustRightInd w:val="0"/>
                    <w:snapToGrid w:val="0"/>
                    <w:spacing w:beforeLines="0" w:afterLines="0"/>
                    <w:rPr>
                      <w:szCs w:val="21"/>
                    </w:rPr>
                  </w:pPr>
                  <w:r>
                    <w:rPr>
                      <w:szCs w:val="21"/>
                    </w:rPr>
                    <w:t>1#厂界东</w:t>
                  </w:r>
                </w:p>
              </w:tc>
              <w:tc>
                <w:tcPr>
                  <w:tcW w:w="643" w:type="pct"/>
                  <w:vMerge w:val="restart"/>
                  <w:tcBorders>
                    <w:tl2br w:val="nil"/>
                    <w:tr2bl w:val="nil"/>
                  </w:tcBorders>
                  <w:vAlign w:val="center"/>
                </w:tcPr>
                <w:p w14:paraId="0B97D507">
                  <w:pPr>
                    <w:spacing w:line="240" w:lineRule="auto"/>
                    <w:ind w:firstLine="0" w:firstLineChars="0"/>
                    <w:jc w:val="center"/>
                    <w:rPr>
                      <w:bCs/>
                      <w:sz w:val="21"/>
                      <w:szCs w:val="21"/>
                      <w:highlight w:val="yellow"/>
                    </w:rPr>
                  </w:pPr>
                  <w:r>
                    <w:rPr>
                      <w:sz w:val="21"/>
                      <w:szCs w:val="21"/>
                    </w:rPr>
                    <w:t>2月24日</w:t>
                  </w:r>
                </w:p>
              </w:tc>
              <w:tc>
                <w:tcPr>
                  <w:tcW w:w="756" w:type="dxa"/>
                  <w:tcBorders>
                    <w:tl2br w:val="nil"/>
                    <w:tr2bl w:val="nil"/>
                  </w:tcBorders>
                  <w:vAlign w:val="center"/>
                </w:tcPr>
                <w:p w14:paraId="28A77FB5">
                  <w:pPr>
                    <w:spacing w:line="240" w:lineRule="auto"/>
                    <w:ind w:firstLine="0" w:firstLineChars="0"/>
                    <w:jc w:val="center"/>
                    <w:rPr>
                      <w:bCs/>
                      <w:sz w:val="21"/>
                      <w:szCs w:val="21"/>
                    </w:rPr>
                  </w:pPr>
                  <w:r>
                    <w:rPr>
                      <w:rFonts w:eastAsiaTheme="minorEastAsia"/>
                      <w:bCs/>
                      <w:sz w:val="21"/>
                      <w:szCs w:val="21"/>
                    </w:rPr>
                    <w:t>1</w:t>
                  </w:r>
                  <w:r>
                    <w:rPr>
                      <w:bCs/>
                      <w:sz w:val="21"/>
                      <w:szCs w:val="21"/>
                    </w:rPr>
                    <w:t>0</w:t>
                  </w:r>
                  <w:r>
                    <w:rPr>
                      <w:rFonts w:eastAsiaTheme="minorEastAsia"/>
                      <w:bCs/>
                      <w:sz w:val="21"/>
                      <w:szCs w:val="21"/>
                    </w:rPr>
                    <w:t>:</w:t>
                  </w:r>
                  <w:r>
                    <w:rPr>
                      <w:bCs/>
                      <w:sz w:val="21"/>
                      <w:szCs w:val="21"/>
                    </w:rPr>
                    <w:t>01</w:t>
                  </w:r>
                </w:p>
              </w:tc>
              <w:tc>
                <w:tcPr>
                  <w:tcW w:w="1764" w:type="dxa"/>
                  <w:tcBorders>
                    <w:tl2br w:val="nil"/>
                    <w:tr2bl w:val="nil"/>
                  </w:tcBorders>
                  <w:vAlign w:val="center"/>
                </w:tcPr>
                <w:p w14:paraId="5BF0C063">
                  <w:pPr>
                    <w:widowControl/>
                    <w:spacing w:line="240" w:lineRule="auto"/>
                    <w:ind w:firstLine="0" w:firstLineChars="0"/>
                    <w:jc w:val="center"/>
                    <w:rPr>
                      <w:kern w:val="0"/>
                      <w:sz w:val="21"/>
                      <w:szCs w:val="21"/>
                    </w:rPr>
                  </w:pPr>
                  <w:r>
                    <w:rPr>
                      <w:kern w:val="0"/>
                      <w:sz w:val="21"/>
                      <w:szCs w:val="21"/>
                    </w:rPr>
                    <w:t>60</w:t>
                  </w:r>
                </w:p>
              </w:tc>
              <w:tc>
                <w:tcPr>
                  <w:tcW w:w="1092" w:type="pct"/>
                  <w:tcBorders>
                    <w:tl2br w:val="nil"/>
                    <w:tr2bl w:val="nil"/>
                  </w:tcBorders>
                  <w:vAlign w:val="center"/>
                </w:tcPr>
                <w:p w14:paraId="0CEB9180">
                  <w:pPr>
                    <w:pStyle w:val="32"/>
                    <w:adjustRightInd w:val="0"/>
                    <w:snapToGrid w:val="0"/>
                    <w:spacing w:beforeLines="0" w:afterLines="0"/>
                    <w:rPr>
                      <w:szCs w:val="21"/>
                    </w:rPr>
                  </w:pPr>
                  <w:r>
                    <w:rPr>
                      <w:szCs w:val="21"/>
                    </w:rPr>
                    <w:t>65</w:t>
                  </w:r>
                </w:p>
              </w:tc>
              <w:tc>
                <w:tcPr>
                  <w:tcW w:w="1035" w:type="pct"/>
                  <w:tcBorders>
                    <w:tl2br w:val="nil"/>
                    <w:tr2bl w:val="nil"/>
                  </w:tcBorders>
                  <w:vAlign w:val="center"/>
                </w:tcPr>
                <w:p w14:paraId="61920CCE">
                  <w:pPr>
                    <w:pStyle w:val="32"/>
                    <w:adjustRightInd w:val="0"/>
                    <w:snapToGrid w:val="0"/>
                    <w:spacing w:beforeLines="0" w:afterLines="0"/>
                    <w:rPr>
                      <w:szCs w:val="21"/>
                    </w:rPr>
                  </w:pPr>
                  <w:r>
                    <w:rPr>
                      <w:szCs w:val="21"/>
                    </w:rPr>
                    <w:t>达标</w:t>
                  </w:r>
                </w:p>
              </w:tc>
            </w:tr>
            <w:tr w14:paraId="1CE0A90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pct"/>
                  <w:vMerge w:val="continue"/>
                  <w:tcBorders>
                    <w:tl2br w:val="nil"/>
                    <w:tr2bl w:val="nil"/>
                  </w:tcBorders>
                  <w:vAlign w:val="center"/>
                </w:tcPr>
                <w:p w14:paraId="4049FD56">
                  <w:pPr>
                    <w:pStyle w:val="32"/>
                    <w:adjustRightInd w:val="0"/>
                    <w:snapToGrid w:val="0"/>
                    <w:spacing w:beforeLines="0" w:afterLines="0"/>
                    <w:rPr>
                      <w:szCs w:val="21"/>
                    </w:rPr>
                  </w:pPr>
                </w:p>
              </w:tc>
              <w:tc>
                <w:tcPr>
                  <w:tcW w:w="643" w:type="pct"/>
                  <w:vMerge w:val="continue"/>
                  <w:tcBorders>
                    <w:tl2br w:val="nil"/>
                    <w:tr2bl w:val="nil"/>
                  </w:tcBorders>
                  <w:vAlign w:val="center"/>
                </w:tcPr>
                <w:p w14:paraId="0E5B355C">
                  <w:pPr>
                    <w:pStyle w:val="32"/>
                    <w:adjustRightInd w:val="0"/>
                    <w:snapToGrid w:val="0"/>
                    <w:spacing w:beforeLines="0" w:afterLines="0"/>
                    <w:rPr>
                      <w:szCs w:val="21"/>
                    </w:rPr>
                  </w:pPr>
                </w:p>
              </w:tc>
              <w:tc>
                <w:tcPr>
                  <w:tcW w:w="756" w:type="dxa"/>
                  <w:tcBorders>
                    <w:tl2br w:val="nil"/>
                    <w:tr2bl w:val="nil"/>
                  </w:tcBorders>
                  <w:vAlign w:val="center"/>
                </w:tcPr>
                <w:p w14:paraId="28EFCDD7">
                  <w:pPr>
                    <w:spacing w:line="240" w:lineRule="auto"/>
                    <w:ind w:firstLine="0" w:firstLineChars="0"/>
                    <w:jc w:val="center"/>
                    <w:rPr>
                      <w:bCs/>
                      <w:sz w:val="21"/>
                      <w:szCs w:val="21"/>
                    </w:rPr>
                  </w:pPr>
                  <w:r>
                    <w:rPr>
                      <w:bCs/>
                      <w:sz w:val="21"/>
                      <w:szCs w:val="21"/>
                    </w:rPr>
                    <w:t>22:00</w:t>
                  </w:r>
                </w:p>
              </w:tc>
              <w:tc>
                <w:tcPr>
                  <w:tcW w:w="1764" w:type="dxa"/>
                  <w:tcBorders>
                    <w:tl2br w:val="nil"/>
                    <w:tr2bl w:val="nil"/>
                  </w:tcBorders>
                  <w:vAlign w:val="center"/>
                </w:tcPr>
                <w:p w14:paraId="511563A4">
                  <w:pPr>
                    <w:widowControl/>
                    <w:spacing w:line="240" w:lineRule="auto"/>
                    <w:ind w:firstLine="0" w:firstLineChars="0"/>
                    <w:jc w:val="center"/>
                    <w:rPr>
                      <w:kern w:val="0"/>
                      <w:sz w:val="21"/>
                      <w:szCs w:val="21"/>
                    </w:rPr>
                  </w:pPr>
                  <w:r>
                    <w:rPr>
                      <w:kern w:val="0"/>
                      <w:sz w:val="21"/>
                      <w:szCs w:val="21"/>
                    </w:rPr>
                    <w:t>48</w:t>
                  </w:r>
                </w:p>
              </w:tc>
              <w:tc>
                <w:tcPr>
                  <w:tcW w:w="1092" w:type="pct"/>
                  <w:tcBorders>
                    <w:tl2br w:val="nil"/>
                    <w:tr2bl w:val="nil"/>
                  </w:tcBorders>
                  <w:vAlign w:val="center"/>
                </w:tcPr>
                <w:p w14:paraId="271818F0">
                  <w:pPr>
                    <w:pStyle w:val="32"/>
                    <w:adjustRightInd w:val="0"/>
                    <w:snapToGrid w:val="0"/>
                    <w:spacing w:beforeLines="0" w:afterLines="0"/>
                    <w:rPr>
                      <w:szCs w:val="21"/>
                    </w:rPr>
                  </w:pPr>
                  <w:r>
                    <w:rPr>
                      <w:szCs w:val="21"/>
                    </w:rPr>
                    <w:t>55</w:t>
                  </w:r>
                </w:p>
              </w:tc>
              <w:tc>
                <w:tcPr>
                  <w:tcW w:w="1035" w:type="pct"/>
                  <w:tcBorders>
                    <w:tl2br w:val="nil"/>
                    <w:tr2bl w:val="nil"/>
                  </w:tcBorders>
                  <w:vAlign w:val="center"/>
                </w:tcPr>
                <w:p w14:paraId="70403190">
                  <w:pPr>
                    <w:pStyle w:val="32"/>
                    <w:adjustRightInd w:val="0"/>
                    <w:snapToGrid w:val="0"/>
                    <w:spacing w:beforeLines="0" w:afterLines="0"/>
                    <w:rPr>
                      <w:szCs w:val="21"/>
                    </w:rPr>
                  </w:pPr>
                  <w:r>
                    <w:rPr>
                      <w:szCs w:val="21"/>
                    </w:rPr>
                    <w:t>达标</w:t>
                  </w:r>
                </w:p>
              </w:tc>
            </w:tr>
            <w:tr w14:paraId="3B3F25E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pct"/>
                  <w:vMerge w:val="restart"/>
                  <w:tcBorders>
                    <w:tl2br w:val="nil"/>
                    <w:tr2bl w:val="nil"/>
                  </w:tcBorders>
                  <w:vAlign w:val="center"/>
                </w:tcPr>
                <w:p w14:paraId="1C2ADD7F">
                  <w:pPr>
                    <w:pStyle w:val="32"/>
                    <w:adjustRightInd w:val="0"/>
                    <w:snapToGrid w:val="0"/>
                    <w:spacing w:beforeLines="0" w:afterLines="0"/>
                    <w:rPr>
                      <w:szCs w:val="21"/>
                    </w:rPr>
                  </w:pPr>
                  <w:r>
                    <w:rPr>
                      <w:szCs w:val="21"/>
                    </w:rPr>
                    <w:t>2#厂界南</w:t>
                  </w:r>
                </w:p>
              </w:tc>
              <w:tc>
                <w:tcPr>
                  <w:tcW w:w="643" w:type="pct"/>
                  <w:vMerge w:val="restart"/>
                  <w:tcBorders>
                    <w:tl2br w:val="nil"/>
                    <w:tr2bl w:val="nil"/>
                  </w:tcBorders>
                  <w:vAlign w:val="center"/>
                </w:tcPr>
                <w:p w14:paraId="25611CEC">
                  <w:pPr>
                    <w:spacing w:line="240" w:lineRule="auto"/>
                    <w:ind w:firstLine="0" w:firstLineChars="0"/>
                    <w:jc w:val="center"/>
                    <w:rPr>
                      <w:bCs/>
                      <w:sz w:val="21"/>
                      <w:szCs w:val="21"/>
                      <w:highlight w:val="yellow"/>
                    </w:rPr>
                  </w:pPr>
                  <w:r>
                    <w:rPr>
                      <w:sz w:val="21"/>
                      <w:szCs w:val="21"/>
                    </w:rPr>
                    <w:t>2月24日</w:t>
                  </w:r>
                </w:p>
              </w:tc>
              <w:tc>
                <w:tcPr>
                  <w:tcW w:w="756" w:type="dxa"/>
                  <w:tcBorders>
                    <w:tl2br w:val="nil"/>
                    <w:tr2bl w:val="nil"/>
                  </w:tcBorders>
                  <w:vAlign w:val="center"/>
                </w:tcPr>
                <w:p w14:paraId="2177F4B0">
                  <w:pPr>
                    <w:spacing w:line="240" w:lineRule="auto"/>
                    <w:ind w:firstLine="0" w:firstLineChars="0"/>
                    <w:jc w:val="center"/>
                    <w:rPr>
                      <w:bCs/>
                      <w:sz w:val="21"/>
                      <w:szCs w:val="21"/>
                    </w:rPr>
                  </w:pPr>
                  <w:r>
                    <w:rPr>
                      <w:rFonts w:eastAsiaTheme="minorEastAsia"/>
                      <w:bCs/>
                      <w:sz w:val="21"/>
                      <w:szCs w:val="21"/>
                    </w:rPr>
                    <w:t>1</w:t>
                  </w:r>
                  <w:r>
                    <w:rPr>
                      <w:bCs/>
                      <w:sz w:val="21"/>
                      <w:szCs w:val="21"/>
                    </w:rPr>
                    <w:t>0</w:t>
                  </w:r>
                  <w:r>
                    <w:rPr>
                      <w:rFonts w:eastAsiaTheme="minorEastAsia"/>
                      <w:bCs/>
                      <w:sz w:val="21"/>
                      <w:szCs w:val="21"/>
                    </w:rPr>
                    <w:t>:</w:t>
                  </w:r>
                  <w:r>
                    <w:rPr>
                      <w:bCs/>
                      <w:sz w:val="21"/>
                      <w:szCs w:val="21"/>
                    </w:rPr>
                    <w:t>21</w:t>
                  </w:r>
                </w:p>
              </w:tc>
              <w:tc>
                <w:tcPr>
                  <w:tcW w:w="1764" w:type="dxa"/>
                  <w:tcBorders>
                    <w:tl2br w:val="nil"/>
                    <w:tr2bl w:val="nil"/>
                  </w:tcBorders>
                  <w:vAlign w:val="center"/>
                </w:tcPr>
                <w:p w14:paraId="443C324A">
                  <w:pPr>
                    <w:widowControl/>
                    <w:spacing w:line="240" w:lineRule="auto"/>
                    <w:ind w:firstLine="0" w:firstLineChars="0"/>
                    <w:jc w:val="center"/>
                    <w:rPr>
                      <w:kern w:val="0"/>
                      <w:sz w:val="21"/>
                      <w:szCs w:val="21"/>
                    </w:rPr>
                  </w:pPr>
                  <w:r>
                    <w:rPr>
                      <w:kern w:val="0"/>
                      <w:sz w:val="21"/>
                      <w:szCs w:val="21"/>
                    </w:rPr>
                    <w:t>61</w:t>
                  </w:r>
                </w:p>
              </w:tc>
              <w:tc>
                <w:tcPr>
                  <w:tcW w:w="1092" w:type="pct"/>
                  <w:tcBorders>
                    <w:tl2br w:val="nil"/>
                    <w:tr2bl w:val="nil"/>
                  </w:tcBorders>
                  <w:vAlign w:val="center"/>
                </w:tcPr>
                <w:p w14:paraId="668DD7C8">
                  <w:pPr>
                    <w:pStyle w:val="32"/>
                    <w:adjustRightInd w:val="0"/>
                    <w:snapToGrid w:val="0"/>
                    <w:spacing w:beforeLines="0" w:afterLines="0"/>
                    <w:rPr>
                      <w:szCs w:val="21"/>
                    </w:rPr>
                  </w:pPr>
                  <w:r>
                    <w:rPr>
                      <w:szCs w:val="21"/>
                    </w:rPr>
                    <w:t>65</w:t>
                  </w:r>
                </w:p>
              </w:tc>
              <w:tc>
                <w:tcPr>
                  <w:tcW w:w="1035" w:type="pct"/>
                  <w:tcBorders>
                    <w:tl2br w:val="nil"/>
                    <w:tr2bl w:val="nil"/>
                  </w:tcBorders>
                  <w:vAlign w:val="center"/>
                </w:tcPr>
                <w:p w14:paraId="586896F8">
                  <w:pPr>
                    <w:pStyle w:val="32"/>
                    <w:adjustRightInd w:val="0"/>
                    <w:snapToGrid w:val="0"/>
                    <w:spacing w:beforeLines="0" w:afterLines="0"/>
                    <w:rPr>
                      <w:szCs w:val="21"/>
                    </w:rPr>
                  </w:pPr>
                  <w:r>
                    <w:rPr>
                      <w:szCs w:val="21"/>
                    </w:rPr>
                    <w:t>达标</w:t>
                  </w:r>
                </w:p>
              </w:tc>
            </w:tr>
            <w:tr w14:paraId="27346F5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pct"/>
                  <w:vMerge w:val="continue"/>
                  <w:tcBorders>
                    <w:tl2br w:val="nil"/>
                    <w:tr2bl w:val="nil"/>
                  </w:tcBorders>
                  <w:vAlign w:val="center"/>
                </w:tcPr>
                <w:p w14:paraId="12D8744C">
                  <w:pPr>
                    <w:pStyle w:val="32"/>
                    <w:adjustRightInd w:val="0"/>
                    <w:snapToGrid w:val="0"/>
                    <w:spacing w:beforeLines="0" w:afterLines="0"/>
                    <w:rPr>
                      <w:szCs w:val="21"/>
                    </w:rPr>
                  </w:pPr>
                </w:p>
              </w:tc>
              <w:tc>
                <w:tcPr>
                  <w:tcW w:w="643" w:type="pct"/>
                  <w:vMerge w:val="continue"/>
                  <w:tcBorders>
                    <w:tl2br w:val="nil"/>
                    <w:tr2bl w:val="nil"/>
                  </w:tcBorders>
                  <w:vAlign w:val="center"/>
                </w:tcPr>
                <w:p w14:paraId="1C3DC3ED">
                  <w:pPr>
                    <w:pStyle w:val="32"/>
                    <w:adjustRightInd w:val="0"/>
                    <w:snapToGrid w:val="0"/>
                    <w:spacing w:beforeLines="0" w:afterLines="0"/>
                    <w:rPr>
                      <w:szCs w:val="21"/>
                    </w:rPr>
                  </w:pPr>
                </w:p>
              </w:tc>
              <w:tc>
                <w:tcPr>
                  <w:tcW w:w="756" w:type="dxa"/>
                  <w:tcBorders>
                    <w:tl2br w:val="nil"/>
                    <w:tr2bl w:val="nil"/>
                  </w:tcBorders>
                  <w:vAlign w:val="center"/>
                </w:tcPr>
                <w:p w14:paraId="6D6428DE">
                  <w:pPr>
                    <w:spacing w:line="240" w:lineRule="auto"/>
                    <w:ind w:firstLine="0" w:firstLineChars="0"/>
                    <w:jc w:val="center"/>
                    <w:rPr>
                      <w:bCs/>
                      <w:sz w:val="21"/>
                      <w:szCs w:val="21"/>
                    </w:rPr>
                  </w:pPr>
                  <w:r>
                    <w:rPr>
                      <w:bCs/>
                      <w:sz w:val="21"/>
                      <w:szCs w:val="21"/>
                    </w:rPr>
                    <w:t>22:18</w:t>
                  </w:r>
                </w:p>
              </w:tc>
              <w:tc>
                <w:tcPr>
                  <w:tcW w:w="1764" w:type="dxa"/>
                  <w:tcBorders>
                    <w:tl2br w:val="nil"/>
                    <w:tr2bl w:val="nil"/>
                  </w:tcBorders>
                  <w:vAlign w:val="center"/>
                </w:tcPr>
                <w:p w14:paraId="3960EB8E">
                  <w:pPr>
                    <w:widowControl/>
                    <w:spacing w:line="240" w:lineRule="auto"/>
                    <w:ind w:firstLine="0" w:firstLineChars="0"/>
                    <w:jc w:val="center"/>
                    <w:rPr>
                      <w:kern w:val="0"/>
                      <w:sz w:val="21"/>
                      <w:szCs w:val="21"/>
                    </w:rPr>
                  </w:pPr>
                  <w:r>
                    <w:rPr>
                      <w:kern w:val="0"/>
                      <w:sz w:val="21"/>
                      <w:szCs w:val="21"/>
                    </w:rPr>
                    <w:t>47</w:t>
                  </w:r>
                </w:p>
              </w:tc>
              <w:tc>
                <w:tcPr>
                  <w:tcW w:w="1092" w:type="pct"/>
                  <w:tcBorders>
                    <w:tl2br w:val="nil"/>
                    <w:tr2bl w:val="nil"/>
                  </w:tcBorders>
                  <w:vAlign w:val="center"/>
                </w:tcPr>
                <w:p w14:paraId="1DA36F65">
                  <w:pPr>
                    <w:pStyle w:val="32"/>
                    <w:adjustRightInd w:val="0"/>
                    <w:snapToGrid w:val="0"/>
                    <w:spacing w:beforeLines="0" w:afterLines="0"/>
                    <w:rPr>
                      <w:szCs w:val="21"/>
                    </w:rPr>
                  </w:pPr>
                  <w:r>
                    <w:rPr>
                      <w:szCs w:val="21"/>
                    </w:rPr>
                    <w:t>55</w:t>
                  </w:r>
                </w:p>
              </w:tc>
              <w:tc>
                <w:tcPr>
                  <w:tcW w:w="1035" w:type="pct"/>
                  <w:tcBorders>
                    <w:tl2br w:val="nil"/>
                    <w:tr2bl w:val="nil"/>
                  </w:tcBorders>
                  <w:vAlign w:val="center"/>
                </w:tcPr>
                <w:p w14:paraId="03CF032A">
                  <w:pPr>
                    <w:pStyle w:val="32"/>
                    <w:adjustRightInd w:val="0"/>
                    <w:snapToGrid w:val="0"/>
                    <w:spacing w:beforeLines="0" w:afterLines="0"/>
                    <w:rPr>
                      <w:szCs w:val="21"/>
                    </w:rPr>
                  </w:pPr>
                  <w:r>
                    <w:rPr>
                      <w:szCs w:val="21"/>
                    </w:rPr>
                    <w:t>达标</w:t>
                  </w:r>
                </w:p>
              </w:tc>
            </w:tr>
            <w:tr w14:paraId="5DB70A9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pct"/>
                  <w:vMerge w:val="restart"/>
                  <w:tcBorders>
                    <w:tl2br w:val="nil"/>
                    <w:tr2bl w:val="nil"/>
                  </w:tcBorders>
                  <w:vAlign w:val="center"/>
                </w:tcPr>
                <w:p w14:paraId="0CF46026">
                  <w:pPr>
                    <w:pStyle w:val="32"/>
                    <w:adjustRightInd w:val="0"/>
                    <w:snapToGrid w:val="0"/>
                    <w:spacing w:beforeLines="0" w:afterLines="0"/>
                    <w:rPr>
                      <w:szCs w:val="21"/>
                    </w:rPr>
                  </w:pPr>
                  <w:r>
                    <w:rPr>
                      <w:szCs w:val="21"/>
                    </w:rPr>
                    <w:t>3#厂界西</w:t>
                  </w:r>
                </w:p>
              </w:tc>
              <w:tc>
                <w:tcPr>
                  <w:tcW w:w="643" w:type="pct"/>
                  <w:vMerge w:val="restart"/>
                  <w:tcBorders>
                    <w:tl2br w:val="nil"/>
                    <w:tr2bl w:val="nil"/>
                  </w:tcBorders>
                  <w:vAlign w:val="center"/>
                </w:tcPr>
                <w:p w14:paraId="7EE4E053">
                  <w:pPr>
                    <w:spacing w:line="240" w:lineRule="auto"/>
                    <w:ind w:firstLine="0" w:firstLineChars="0"/>
                    <w:jc w:val="center"/>
                    <w:rPr>
                      <w:bCs/>
                      <w:sz w:val="21"/>
                      <w:szCs w:val="21"/>
                      <w:highlight w:val="yellow"/>
                    </w:rPr>
                  </w:pPr>
                  <w:r>
                    <w:rPr>
                      <w:sz w:val="21"/>
                      <w:szCs w:val="21"/>
                    </w:rPr>
                    <w:t>2月24日</w:t>
                  </w:r>
                </w:p>
              </w:tc>
              <w:tc>
                <w:tcPr>
                  <w:tcW w:w="756" w:type="dxa"/>
                  <w:tcBorders>
                    <w:tl2br w:val="nil"/>
                    <w:tr2bl w:val="nil"/>
                  </w:tcBorders>
                  <w:vAlign w:val="center"/>
                </w:tcPr>
                <w:p w14:paraId="3B018C8D">
                  <w:pPr>
                    <w:spacing w:line="240" w:lineRule="auto"/>
                    <w:ind w:firstLine="0" w:firstLineChars="0"/>
                    <w:jc w:val="center"/>
                    <w:rPr>
                      <w:bCs/>
                      <w:sz w:val="21"/>
                      <w:szCs w:val="21"/>
                    </w:rPr>
                  </w:pPr>
                  <w:r>
                    <w:rPr>
                      <w:rFonts w:eastAsiaTheme="minorEastAsia"/>
                      <w:bCs/>
                      <w:sz w:val="21"/>
                      <w:szCs w:val="21"/>
                    </w:rPr>
                    <w:t>1</w:t>
                  </w:r>
                  <w:r>
                    <w:rPr>
                      <w:bCs/>
                      <w:sz w:val="21"/>
                      <w:szCs w:val="21"/>
                    </w:rPr>
                    <w:t>0</w:t>
                  </w:r>
                  <w:r>
                    <w:rPr>
                      <w:rFonts w:eastAsiaTheme="minorEastAsia"/>
                      <w:bCs/>
                      <w:sz w:val="21"/>
                      <w:szCs w:val="21"/>
                    </w:rPr>
                    <w:t>:</w:t>
                  </w:r>
                  <w:r>
                    <w:rPr>
                      <w:bCs/>
                      <w:sz w:val="21"/>
                      <w:szCs w:val="21"/>
                    </w:rPr>
                    <w:t>40</w:t>
                  </w:r>
                </w:p>
              </w:tc>
              <w:tc>
                <w:tcPr>
                  <w:tcW w:w="1764" w:type="dxa"/>
                  <w:tcBorders>
                    <w:tl2br w:val="nil"/>
                    <w:tr2bl w:val="nil"/>
                  </w:tcBorders>
                  <w:vAlign w:val="center"/>
                </w:tcPr>
                <w:p w14:paraId="36953F49">
                  <w:pPr>
                    <w:widowControl/>
                    <w:spacing w:line="240" w:lineRule="auto"/>
                    <w:ind w:firstLine="0" w:firstLineChars="0"/>
                    <w:jc w:val="center"/>
                    <w:rPr>
                      <w:kern w:val="0"/>
                      <w:sz w:val="21"/>
                      <w:szCs w:val="21"/>
                    </w:rPr>
                  </w:pPr>
                  <w:r>
                    <w:rPr>
                      <w:kern w:val="0"/>
                      <w:sz w:val="21"/>
                      <w:szCs w:val="21"/>
                    </w:rPr>
                    <w:t>59</w:t>
                  </w:r>
                </w:p>
              </w:tc>
              <w:tc>
                <w:tcPr>
                  <w:tcW w:w="1092" w:type="pct"/>
                  <w:tcBorders>
                    <w:tl2br w:val="nil"/>
                    <w:tr2bl w:val="nil"/>
                  </w:tcBorders>
                  <w:vAlign w:val="center"/>
                </w:tcPr>
                <w:p w14:paraId="2DF9E1E7">
                  <w:pPr>
                    <w:pStyle w:val="32"/>
                    <w:adjustRightInd w:val="0"/>
                    <w:snapToGrid w:val="0"/>
                    <w:spacing w:beforeLines="0" w:afterLines="0"/>
                    <w:rPr>
                      <w:szCs w:val="21"/>
                    </w:rPr>
                  </w:pPr>
                  <w:r>
                    <w:rPr>
                      <w:szCs w:val="21"/>
                    </w:rPr>
                    <w:t>65</w:t>
                  </w:r>
                </w:p>
              </w:tc>
              <w:tc>
                <w:tcPr>
                  <w:tcW w:w="1035" w:type="pct"/>
                  <w:tcBorders>
                    <w:tl2br w:val="nil"/>
                    <w:tr2bl w:val="nil"/>
                  </w:tcBorders>
                  <w:vAlign w:val="center"/>
                </w:tcPr>
                <w:p w14:paraId="6749E21B">
                  <w:pPr>
                    <w:pStyle w:val="32"/>
                    <w:adjustRightInd w:val="0"/>
                    <w:snapToGrid w:val="0"/>
                    <w:spacing w:beforeLines="0" w:afterLines="0"/>
                    <w:rPr>
                      <w:szCs w:val="21"/>
                    </w:rPr>
                  </w:pPr>
                  <w:r>
                    <w:rPr>
                      <w:szCs w:val="21"/>
                    </w:rPr>
                    <w:t>达标</w:t>
                  </w:r>
                </w:p>
              </w:tc>
            </w:tr>
            <w:tr w14:paraId="25F6350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pct"/>
                  <w:vMerge w:val="continue"/>
                  <w:tcBorders>
                    <w:tl2br w:val="nil"/>
                    <w:tr2bl w:val="nil"/>
                  </w:tcBorders>
                  <w:vAlign w:val="center"/>
                </w:tcPr>
                <w:p w14:paraId="2C864400">
                  <w:pPr>
                    <w:pStyle w:val="32"/>
                    <w:adjustRightInd w:val="0"/>
                    <w:snapToGrid w:val="0"/>
                    <w:spacing w:beforeLines="0" w:afterLines="0"/>
                    <w:rPr>
                      <w:szCs w:val="21"/>
                    </w:rPr>
                  </w:pPr>
                </w:p>
              </w:tc>
              <w:tc>
                <w:tcPr>
                  <w:tcW w:w="643" w:type="pct"/>
                  <w:vMerge w:val="continue"/>
                  <w:tcBorders>
                    <w:tl2br w:val="nil"/>
                    <w:tr2bl w:val="nil"/>
                  </w:tcBorders>
                  <w:vAlign w:val="center"/>
                </w:tcPr>
                <w:p w14:paraId="19F38FDC">
                  <w:pPr>
                    <w:pStyle w:val="32"/>
                    <w:adjustRightInd w:val="0"/>
                    <w:snapToGrid w:val="0"/>
                    <w:spacing w:beforeLines="0" w:afterLines="0"/>
                    <w:rPr>
                      <w:szCs w:val="21"/>
                    </w:rPr>
                  </w:pPr>
                </w:p>
              </w:tc>
              <w:tc>
                <w:tcPr>
                  <w:tcW w:w="756" w:type="dxa"/>
                  <w:tcBorders>
                    <w:tl2br w:val="nil"/>
                    <w:tr2bl w:val="nil"/>
                  </w:tcBorders>
                  <w:vAlign w:val="center"/>
                </w:tcPr>
                <w:p w14:paraId="5AA50853">
                  <w:pPr>
                    <w:spacing w:line="240" w:lineRule="auto"/>
                    <w:ind w:firstLine="0" w:firstLineChars="0"/>
                    <w:jc w:val="center"/>
                    <w:rPr>
                      <w:bCs/>
                      <w:sz w:val="21"/>
                      <w:szCs w:val="21"/>
                    </w:rPr>
                  </w:pPr>
                  <w:r>
                    <w:rPr>
                      <w:bCs/>
                      <w:sz w:val="21"/>
                      <w:szCs w:val="21"/>
                    </w:rPr>
                    <w:t>22:36</w:t>
                  </w:r>
                </w:p>
              </w:tc>
              <w:tc>
                <w:tcPr>
                  <w:tcW w:w="1764" w:type="dxa"/>
                  <w:tcBorders>
                    <w:tl2br w:val="nil"/>
                    <w:tr2bl w:val="nil"/>
                  </w:tcBorders>
                  <w:vAlign w:val="center"/>
                </w:tcPr>
                <w:p w14:paraId="6BE997A8">
                  <w:pPr>
                    <w:widowControl/>
                    <w:spacing w:line="240" w:lineRule="auto"/>
                    <w:ind w:firstLine="0" w:firstLineChars="0"/>
                    <w:jc w:val="center"/>
                    <w:rPr>
                      <w:kern w:val="0"/>
                      <w:sz w:val="21"/>
                      <w:szCs w:val="21"/>
                    </w:rPr>
                  </w:pPr>
                  <w:r>
                    <w:rPr>
                      <w:kern w:val="0"/>
                      <w:sz w:val="21"/>
                      <w:szCs w:val="21"/>
                    </w:rPr>
                    <w:t>50</w:t>
                  </w:r>
                </w:p>
              </w:tc>
              <w:tc>
                <w:tcPr>
                  <w:tcW w:w="1092" w:type="pct"/>
                  <w:tcBorders>
                    <w:tl2br w:val="nil"/>
                    <w:tr2bl w:val="nil"/>
                  </w:tcBorders>
                  <w:vAlign w:val="center"/>
                </w:tcPr>
                <w:p w14:paraId="795B77CE">
                  <w:pPr>
                    <w:pStyle w:val="32"/>
                    <w:adjustRightInd w:val="0"/>
                    <w:snapToGrid w:val="0"/>
                    <w:spacing w:beforeLines="0" w:afterLines="0"/>
                    <w:rPr>
                      <w:szCs w:val="21"/>
                    </w:rPr>
                  </w:pPr>
                  <w:r>
                    <w:rPr>
                      <w:szCs w:val="21"/>
                    </w:rPr>
                    <w:t>55</w:t>
                  </w:r>
                </w:p>
              </w:tc>
              <w:tc>
                <w:tcPr>
                  <w:tcW w:w="1035" w:type="pct"/>
                  <w:tcBorders>
                    <w:tl2br w:val="nil"/>
                    <w:tr2bl w:val="nil"/>
                  </w:tcBorders>
                  <w:vAlign w:val="center"/>
                </w:tcPr>
                <w:p w14:paraId="08D235B9">
                  <w:pPr>
                    <w:pStyle w:val="32"/>
                    <w:adjustRightInd w:val="0"/>
                    <w:snapToGrid w:val="0"/>
                    <w:spacing w:beforeLines="0" w:afterLines="0"/>
                    <w:rPr>
                      <w:szCs w:val="21"/>
                    </w:rPr>
                  </w:pPr>
                  <w:r>
                    <w:rPr>
                      <w:szCs w:val="21"/>
                    </w:rPr>
                    <w:t>达标</w:t>
                  </w:r>
                </w:p>
              </w:tc>
            </w:tr>
            <w:tr w14:paraId="759DC39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pct"/>
                  <w:vMerge w:val="restart"/>
                  <w:tcBorders>
                    <w:tl2br w:val="nil"/>
                    <w:tr2bl w:val="nil"/>
                  </w:tcBorders>
                  <w:vAlign w:val="center"/>
                </w:tcPr>
                <w:p w14:paraId="0836B266">
                  <w:pPr>
                    <w:pStyle w:val="32"/>
                    <w:adjustRightInd w:val="0"/>
                    <w:snapToGrid w:val="0"/>
                    <w:spacing w:beforeLines="0" w:afterLines="0"/>
                    <w:rPr>
                      <w:szCs w:val="21"/>
                    </w:rPr>
                  </w:pPr>
                  <w:r>
                    <w:rPr>
                      <w:szCs w:val="21"/>
                    </w:rPr>
                    <w:t>4#厂界北</w:t>
                  </w:r>
                </w:p>
              </w:tc>
              <w:tc>
                <w:tcPr>
                  <w:tcW w:w="643" w:type="pct"/>
                  <w:vMerge w:val="restart"/>
                  <w:tcBorders>
                    <w:tl2br w:val="nil"/>
                    <w:tr2bl w:val="nil"/>
                  </w:tcBorders>
                  <w:vAlign w:val="center"/>
                </w:tcPr>
                <w:p w14:paraId="69A3238F">
                  <w:pPr>
                    <w:spacing w:line="240" w:lineRule="auto"/>
                    <w:ind w:firstLine="0" w:firstLineChars="0"/>
                    <w:jc w:val="center"/>
                    <w:rPr>
                      <w:bCs/>
                      <w:sz w:val="21"/>
                      <w:szCs w:val="21"/>
                      <w:highlight w:val="yellow"/>
                    </w:rPr>
                  </w:pPr>
                  <w:r>
                    <w:rPr>
                      <w:sz w:val="21"/>
                      <w:szCs w:val="21"/>
                    </w:rPr>
                    <w:t>2月24日</w:t>
                  </w:r>
                </w:p>
              </w:tc>
              <w:tc>
                <w:tcPr>
                  <w:tcW w:w="756" w:type="dxa"/>
                  <w:tcBorders>
                    <w:tl2br w:val="nil"/>
                    <w:tr2bl w:val="nil"/>
                  </w:tcBorders>
                  <w:vAlign w:val="center"/>
                </w:tcPr>
                <w:p w14:paraId="199B5926">
                  <w:pPr>
                    <w:spacing w:line="240" w:lineRule="auto"/>
                    <w:ind w:firstLine="0" w:firstLineChars="0"/>
                    <w:jc w:val="center"/>
                    <w:rPr>
                      <w:bCs/>
                      <w:sz w:val="21"/>
                      <w:szCs w:val="21"/>
                    </w:rPr>
                  </w:pPr>
                  <w:r>
                    <w:rPr>
                      <w:rFonts w:eastAsiaTheme="minorEastAsia"/>
                      <w:bCs/>
                      <w:sz w:val="21"/>
                      <w:szCs w:val="21"/>
                    </w:rPr>
                    <w:t>1</w:t>
                  </w:r>
                  <w:r>
                    <w:rPr>
                      <w:bCs/>
                      <w:sz w:val="21"/>
                      <w:szCs w:val="21"/>
                    </w:rPr>
                    <w:t>0</w:t>
                  </w:r>
                  <w:r>
                    <w:rPr>
                      <w:rFonts w:eastAsiaTheme="minorEastAsia"/>
                      <w:bCs/>
                      <w:sz w:val="21"/>
                      <w:szCs w:val="21"/>
                    </w:rPr>
                    <w:t>:</w:t>
                  </w:r>
                  <w:r>
                    <w:rPr>
                      <w:bCs/>
                      <w:sz w:val="21"/>
                      <w:szCs w:val="21"/>
                    </w:rPr>
                    <w:t>58</w:t>
                  </w:r>
                </w:p>
              </w:tc>
              <w:tc>
                <w:tcPr>
                  <w:tcW w:w="1764" w:type="dxa"/>
                  <w:tcBorders>
                    <w:tl2br w:val="nil"/>
                    <w:tr2bl w:val="nil"/>
                  </w:tcBorders>
                  <w:vAlign w:val="center"/>
                </w:tcPr>
                <w:p w14:paraId="457EC8F7">
                  <w:pPr>
                    <w:widowControl/>
                    <w:spacing w:line="240" w:lineRule="auto"/>
                    <w:ind w:firstLine="0" w:firstLineChars="0"/>
                    <w:jc w:val="center"/>
                    <w:rPr>
                      <w:kern w:val="0"/>
                      <w:sz w:val="21"/>
                      <w:szCs w:val="21"/>
                    </w:rPr>
                  </w:pPr>
                  <w:r>
                    <w:rPr>
                      <w:kern w:val="0"/>
                      <w:sz w:val="21"/>
                      <w:szCs w:val="21"/>
                    </w:rPr>
                    <w:t>57</w:t>
                  </w:r>
                </w:p>
              </w:tc>
              <w:tc>
                <w:tcPr>
                  <w:tcW w:w="1092" w:type="pct"/>
                  <w:tcBorders>
                    <w:tl2br w:val="nil"/>
                    <w:tr2bl w:val="nil"/>
                  </w:tcBorders>
                  <w:vAlign w:val="center"/>
                </w:tcPr>
                <w:p w14:paraId="4340670E">
                  <w:pPr>
                    <w:pStyle w:val="32"/>
                    <w:adjustRightInd w:val="0"/>
                    <w:snapToGrid w:val="0"/>
                    <w:spacing w:beforeLines="0" w:afterLines="0"/>
                    <w:rPr>
                      <w:szCs w:val="21"/>
                    </w:rPr>
                  </w:pPr>
                  <w:r>
                    <w:rPr>
                      <w:szCs w:val="21"/>
                    </w:rPr>
                    <w:t>65</w:t>
                  </w:r>
                </w:p>
              </w:tc>
              <w:tc>
                <w:tcPr>
                  <w:tcW w:w="1035" w:type="pct"/>
                  <w:tcBorders>
                    <w:tl2br w:val="nil"/>
                    <w:tr2bl w:val="nil"/>
                  </w:tcBorders>
                  <w:vAlign w:val="center"/>
                </w:tcPr>
                <w:p w14:paraId="54B9723B">
                  <w:pPr>
                    <w:pStyle w:val="32"/>
                    <w:adjustRightInd w:val="0"/>
                    <w:snapToGrid w:val="0"/>
                    <w:spacing w:beforeLines="0" w:afterLines="0"/>
                    <w:rPr>
                      <w:szCs w:val="21"/>
                    </w:rPr>
                  </w:pPr>
                  <w:r>
                    <w:rPr>
                      <w:szCs w:val="21"/>
                    </w:rPr>
                    <w:t>达标</w:t>
                  </w:r>
                </w:p>
              </w:tc>
            </w:tr>
            <w:tr w14:paraId="193DD5C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7" w:type="pct"/>
                  <w:vMerge w:val="continue"/>
                  <w:tcBorders>
                    <w:tl2br w:val="nil"/>
                    <w:tr2bl w:val="nil"/>
                  </w:tcBorders>
                  <w:vAlign w:val="center"/>
                </w:tcPr>
                <w:p w14:paraId="7FB4879D">
                  <w:pPr>
                    <w:pStyle w:val="32"/>
                    <w:adjustRightInd w:val="0"/>
                    <w:snapToGrid w:val="0"/>
                    <w:spacing w:beforeLines="0" w:afterLines="0"/>
                    <w:rPr>
                      <w:szCs w:val="21"/>
                    </w:rPr>
                  </w:pPr>
                </w:p>
              </w:tc>
              <w:tc>
                <w:tcPr>
                  <w:tcW w:w="643" w:type="pct"/>
                  <w:vMerge w:val="continue"/>
                  <w:tcBorders>
                    <w:tl2br w:val="nil"/>
                    <w:tr2bl w:val="nil"/>
                  </w:tcBorders>
                  <w:vAlign w:val="center"/>
                </w:tcPr>
                <w:p w14:paraId="5E079FE1">
                  <w:pPr>
                    <w:pStyle w:val="32"/>
                    <w:adjustRightInd w:val="0"/>
                    <w:snapToGrid w:val="0"/>
                    <w:spacing w:beforeLines="0" w:afterLines="0"/>
                    <w:rPr>
                      <w:szCs w:val="21"/>
                    </w:rPr>
                  </w:pPr>
                </w:p>
              </w:tc>
              <w:tc>
                <w:tcPr>
                  <w:tcW w:w="756" w:type="dxa"/>
                  <w:tcBorders>
                    <w:tl2br w:val="nil"/>
                    <w:tr2bl w:val="nil"/>
                  </w:tcBorders>
                  <w:vAlign w:val="center"/>
                </w:tcPr>
                <w:p w14:paraId="5CC946B7">
                  <w:pPr>
                    <w:spacing w:line="240" w:lineRule="auto"/>
                    <w:ind w:firstLine="0" w:firstLineChars="0"/>
                    <w:jc w:val="center"/>
                    <w:rPr>
                      <w:bCs/>
                      <w:sz w:val="21"/>
                      <w:szCs w:val="21"/>
                    </w:rPr>
                  </w:pPr>
                  <w:r>
                    <w:rPr>
                      <w:bCs/>
                      <w:sz w:val="21"/>
                      <w:szCs w:val="21"/>
                    </w:rPr>
                    <w:t>22:55</w:t>
                  </w:r>
                </w:p>
              </w:tc>
              <w:tc>
                <w:tcPr>
                  <w:tcW w:w="1764" w:type="dxa"/>
                  <w:tcBorders>
                    <w:tl2br w:val="nil"/>
                    <w:tr2bl w:val="nil"/>
                  </w:tcBorders>
                  <w:vAlign w:val="center"/>
                </w:tcPr>
                <w:p w14:paraId="1F1A9656">
                  <w:pPr>
                    <w:widowControl/>
                    <w:spacing w:line="240" w:lineRule="auto"/>
                    <w:ind w:firstLine="0" w:firstLineChars="0"/>
                    <w:jc w:val="center"/>
                    <w:rPr>
                      <w:kern w:val="0"/>
                      <w:sz w:val="21"/>
                      <w:szCs w:val="21"/>
                    </w:rPr>
                  </w:pPr>
                  <w:r>
                    <w:rPr>
                      <w:kern w:val="0"/>
                      <w:sz w:val="21"/>
                      <w:szCs w:val="21"/>
                    </w:rPr>
                    <w:t>47</w:t>
                  </w:r>
                </w:p>
              </w:tc>
              <w:tc>
                <w:tcPr>
                  <w:tcW w:w="1092" w:type="pct"/>
                  <w:tcBorders>
                    <w:tl2br w:val="nil"/>
                    <w:tr2bl w:val="nil"/>
                  </w:tcBorders>
                  <w:vAlign w:val="center"/>
                </w:tcPr>
                <w:p w14:paraId="5C861117">
                  <w:pPr>
                    <w:pStyle w:val="32"/>
                    <w:adjustRightInd w:val="0"/>
                    <w:snapToGrid w:val="0"/>
                    <w:spacing w:beforeLines="0" w:afterLines="0"/>
                    <w:rPr>
                      <w:szCs w:val="21"/>
                    </w:rPr>
                  </w:pPr>
                  <w:r>
                    <w:rPr>
                      <w:szCs w:val="21"/>
                    </w:rPr>
                    <w:t>55</w:t>
                  </w:r>
                </w:p>
              </w:tc>
              <w:tc>
                <w:tcPr>
                  <w:tcW w:w="1035" w:type="pct"/>
                  <w:tcBorders>
                    <w:tl2br w:val="nil"/>
                    <w:tr2bl w:val="nil"/>
                  </w:tcBorders>
                  <w:vAlign w:val="center"/>
                </w:tcPr>
                <w:p w14:paraId="07B0D94F">
                  <w:pPr>
                    <w:pStyle w:val="32"/>
                    <w:adjustRightInd w:val="0"/>
                    <w:snapToGrid w:val="0"/>
                    <w:spacing w:beforeLines="0" w:afterLines="0"/>
                    <w:rPr>
                      <w:szCs w:val="21"/>
                    </w:rPr>
                  </w:pPr>
                  <w:r>
                    <w:rPr>
                      <w:szCs w:val="21"/>
                    </w:rPr>
                    <w:t>达标</w:t>
                  </w:r>
                </w:p>
              </w:tc>
            </w:tr>
          </w:tbl>
          <w:p w14:paraId="63DE2FFD">
            <w:pPr>
              <w:ind w:firstLine="480"/>
            </w:pPr>
            <w:r>
              <w:t>由上表可见，厂界四周噪声均符合《声环境质量标准》（GB3096-2008）中3类标准要求。</w:t>
            </w:r>
          </w:p>
        </w:tc>
      </w:tr>
      <w:tr w14:paraId="7B2366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17" w:type="dxa"/>
            <w:vAlign w:val="center"/>
          </w:tcPr>
          <w:p w14:paraId="6EDBE2B2">
            <w:pPr>
              <w:pStyle w:val="4"/>
              <w:spacing w:before="120" w:after="120"/>
            </w:pPr>
            <w:r>
              <w:t>环境保护目标</w:t>
            </w:r>
          </w:p>
        </w:tc>
        <w:tc>
          <w:tcPr>
            <w:tcW w:w="8273" w:type="dxa"/>
            <w:vAlign w:val="center"/>
          </w:tcPr>
          <w:p w14:paraId="214C5CFD">
            <w:pPr>
              <w:pStyle w:val="5"/>
              <w:spacing w:before="120" w:after="120"/>
              <w:ind w:firstLine="562" w:firstLineChars="200"/>
              <w:rPr>
                <w:sz w:val="28"/>
              </w:rPr>
            </w:pPr>
            <w:r>
              <w:rPr>
                <w:sz w:val="28"/>
              </w:rPr>
              <w:t>1</w:t>
            </w:r>
            <w:r>
              <w:rPr>
                <w:rFonts w:hint="eastAsia"/>
                <w:sz w:val="28"/>
              </w:rPr>
              <w:t>、</w:t>
            </w:r>
            <w:r>
              <w:rPr>
                <w:sz w:val="28"/>
              </w:rPr>
              <w:t>大气环境</w:t>
            </w:r>
          </w:p>
          <w:p w14:paraId="6C274896">
            <w:pPr>
              <w:pStyle w:val="28"/>
              <w:ind w:firstLine="480"/>
            </w:pPr>
            <w:r>
              <w:t>项目厂界外500m范围内没有</w:t>
            </w:r>
            <w:r>
              <w:rPr>
                <w:color w:val="000000"/>
              </w:rPr>
              <w:t>自然保护区、水源保护区、文物古迹等敏感目标，主要环境保护目标为居住区。项目保护目标图见附图5。</w:t>
            </w:r>
          </w:p>
          <w:p w14:paraId="6D8BB907">
            <w:pPr>
              <w:pStyle w:val="33"/>
              <w:spacing w:beforeLines="0"/>
              <w:rPr>
                <w:rFonts w:hint="default"/>
              </w:rPr>
            </w:pPr>
            <w:r>
              <w:rPr>
                <w:rFonts w:hint="default"/>
              </w:rPr>
              <w:t>表13  环境保护目标表</w:t>
            </w:r>
          </w:p>
          <w:tbl>
            <w:tblPr>
              <w:tblStyle w:val="24"/>
              <w:tblW w:w="7821"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11"/>
              <w:gridCol w:w="1232"/>
              <w:gridCol w:w="1122"/>
              <w:gridCol w:w="1060"/>
              <w:gridCol w:w="1625"/>
              <w:gridCol w:w="1072"/>
              <w:gridCol w:w="612"/>
              <w:gridCol w:w="487"/>
            </w:tblGrid>
            <w:tr w14:paraId="2CDC419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90" w:type="pct"/>
                  <w:vMerge w:val="restart"/>
                  <w:tcBorders>
                    <w:tl2br w:val="nil"/>
                    <w:tr2bl w:val="nil"/>
                  </w:tcBorders>
                  <w:vAlign w:val="center"/>
                </w:tcPr>
                <w:p w14:paraId="3FCF9DF4">
                  <w:pPr>
                    <w:pStyle w:val="53"/>
                    <w:adjustRightInd/>
                    <w:ind w:firstLine="0" w:firstLineChars="0"/>
                    <w:rPr>
                      <w:rFonts w:ascii="Times New Roman" w:hAnsi="Times New Roman" w:cs="Times New Roman"/>
                      <w:color w:val="000000"/>
                      <w:sz w:val="21"/>
                      <w:szCs w:val="21"/>
                    </w:rPr>
                  </w:pPr>
                  <w:r>
                    <w:rPr>
                      <w:rFonts w:ascii="Times New Roman" w:hAnsi="Times New Roman" w:cs="Times New Roman"/>
                      <w:color w:val="000000"/>
                      <w:sz w:val="21"/>
                      <w:szCs w:val="21"/>
                    </w:rPr>
                    <w:t>环境要素</w:t>
                  </w:r>
                </w:p>
              </w:tc>
              <w:tc>
                <w:tcPr>
                  <w:tcW w:w="1504" w:type="pct"/>
                  <w:gridSpan w:val="2"/>
                  <w:tcBorders>
                    <w:tl2br w:val="nil"/>
                    <w:tr2bl w:val="nil"/>
                  </w:tcBorders>
                  <w:vAlign w:val="center"/>
                </w:tcPr>
                <w:p w14:paraId="5168B9E0">
                  <w:pPr>
                    <w:pStyle w:val="53"/>
                    <w:adjustRightInd/>
                    <w:ind w:firstLine="0" w:firstLineChars="0"/>
                    <w:rPr>
                      <w:rFonts w:ascii="Times New Roman" w:hAnsi="Times New Roman" w:cs="Times New Roman"/>
                      <w:color w:val="000000"/>
                      <w:sz w:val="21"/>
                      <w:szCs w:val="21"/>
                      <w:lang w:val="en-US"/>
                    </w:rPr>
                  </w:pPr>
                  <w:r>
                    <w:rPr>
                      <w:rFonts w:ascii="Times New Roman" w:hAnsi="Times New Roman" w:cs="Times New Roman"/>
                      <w:color w:val="000000"/>
                      <w:sz w:val="21"/>
                      <w:szCs w:val="21"/>
                    </w:rPr>
                    <w:t>UTM坐标</w:t>
                  </w:r>
                </w:p>
              </w:tc>
              <w:tc>
                <w:tcPr>
                  <w:tcW w:w="677" w:type="pct"/>
                  <w:vMerge w:val="restart"/>
                  <w:tcBorders>
                    <w:tl2br w:val="nil"/>
                    <w:tr2bl w:val="nil"/>
                  </w:tcBorders>
                  <w:vAlign w:val="center"/>
                </w:tcPr>
                <w:p w14:paraId="3008E0A2">
                  <w:pPr>
                    <w:pStyle w:val="53"/>
                    <w:adjustRightInd/>
                    <w:ind w:firstLine="0" w:firstLineChars="0"/>
                    <w:rPr>
                      <w:rFonts w:ascii="Times New Roman" w:hAnsi="Times New Roman" w:cs="Times New Roman"/>
                      <w:color w:val="000000"/>
                      <w:sz w:val="21"/>
                      <w:szCs w:val="21"/>
                    </w:rPr>
                  </w:pPr>
                  <w:r>
                    <w:rPr>
                      <w:rFonts w:ascii="Times New Roman" w:hAnsi="Times New Roman" w:cs="Times New Roman"/>
                      <w:color w:val="000000"/>
                      <w:sz w:val="21"/>
                      <w:szCs w:val="21"/>
                    </w:rPr>
                    <w:t>保护对象</w:t>
                  </w:r>
                </w:p>
              </w:tc>
              <w:tc>
                <w:tcPr>
                  <w:tcW w:w="1038" w:type="pct"/>
                  <w:vMerge w:val="restart"/>
                  <w:tcBorders>
                    <w:tl2br w:val="nil"/>
                    <w:tr2bl w:val="nil"/>
                  </w:tcBorders>
                  <w:vAlign w:val="center"/>
                </w:tcPr>
                <w:p w14:paraId="754E3AFA">
                  <w:pPr>
                    <w:pStyle w:val="53"/>
                    <w:adjustRightInd/>
                    <w:ind w:firstLine="0" w:firstLineChars="0"/>
                    <w:rPr>
                      <w:rFonts w:ascii="Times New Roman" w:hAnsi="Times New Roman" w:cs="Times New Roman"/>
                      <w:color w:val="000000"/>
                      <w:sz w:val="21"/>
                      <w:szCs w:val="21"/>
                    </w:rPr>
                  </w:pPr>
                  <w:r>
                    <w:rPr>
                      <w:rFonts w:ascii="Times New Roman" w:hAnsi="Times New Roman" w:cs="Times New Roman"/>
                      <w:color w:val="000000"/>
                      <w:sz w:val="21"/>
                      <w:szCs w:val="21"/>
                    </w:rPr>
                    <w:t>保护</w:t>
                  </w:r>
                </w:p>
                <w:p w14:paraId="599B1711">
                  <w:pPr>
                    <w:pStyle w:val="53"/>
                    <w:adjustRightInd/>
                    <w:ind w:firstLine="0" w:firstLineChars="0"/>
                    <w:rPr>
                      <w:rFonts w:ascii="Times New Roman" w:hAnsi="Times New Roman" w:cs="Times New Roman"/>
                      <w:color w:val="000000"/>
                      <w:sz w:val="21"/>
                      <w:szCs w:val="21"/>
                    </w:rPr>
                  </w:pPr>
                  <w:r>
                    <w:rPr>
                      <w:rFonts w:ascii="Times New Roman" w:hAnsi="Times New Roman" w:cs="Times New Roman"/>
                      <w:color w:val="000000"/>
                      <w:sz w:val="21"/>
                      <w:szCs w:val="21"/>
                    </w:rPr>
                    <w:t>内容</w:t>
                  </w:r>
                </w:p>
              </w:tc>
              <w:tc>
                <w:tcPr>
                  <w:tcW w:w="685" w:type="pct"/>
                  <w:vMerge w:val="restart"/>
                  <w:tcBorders>
                    <w:tl2br w:val="nil"/>
                    <w:tr2bl w:val="nil"/>
                  </w:tcBorders>
                  <w:vAlign w:val="center"/>
                </w:tcPr>
                <w:p w14:paraId="2CCAFFA8">
                  <w:pPr>
                    <w:pStyle w:val="53"/>
                    <w:adjustRightInd/>
                    <w:ind w:firstLine="0" w:firstLineChars="0"/>
                    <w:rPr>
                      <w:rFonts w:ascii="Times New Roman" w:hAnsi="Times New Roman" w:cs="Times New Roman"/>
                      <w:color w:val="000000"/>
                      <w:sz w:val="21"/>
                      <w:szCs w:val="21"/>
                    </w:rPr>
                  </w:pPr>
                  <w:r>
                    <w:rPr>
                      <w:rFonts w:ascii="Times New Roman" w:hAnsi="Times New Roman" w:cs="Times New Roman"/>
                      <w:color w:val="000000"/>
                      <w:sz w:val="21"/>
                      <w:szCs w:val="21"/>
                    </w:rPr>
                    <w:t>环境功</w:t>
                  </w:r>
                  <w:r>
                    <w:rPr>
                      <w:rFonts w:ascii="Times New Roman" w:hAnsi="Times New Roman" w:cs="Times New Roman"/>
                      <w:color w:val="000000"/>
                      <w:sz w:val="21"/>
                      <w:szCs w:val="21"/>
                    </w:rPr>
                    <w:cr/>
                  </w:r>
                  <w:r>
                    <w:rPr>
                      <w:rFonts w:ascii="Times New Roman" w:hAnsi="Times New Roman" w:cs="Times New Roman"/>
                      <w:color w:val="000000"/>
                      <w:sz w:val="21"/>
                      <w:szCs w:val="21"/>
                    </w:rPr>
                    <w:t>区</w:t>
                  </w:r>
                </w:p>
              </w:tc>
              <w:tc>
                <w:tcPr>
                  <w:tcW w:w="391" w:type="pct"/>
                  <w:vMerge w:val="restart"/>
                  <w:tcBorders>
                    <w:tl2br w:val="nil"/>
                    <w:tr2bl w:val="nil"/>
                  </w:tcBorders>
                  <w:vAlign w:val="center"/>
                </w:tcPr>
                <w:p w14:paraId="5107BB99">
                  <w:pPr>
                    <w:adjustRightInd/>
                    <w:snapToGrid/>
                    <w:spacing w:line="240" w:lineRule="auto"/>
                    <w:ind w:firstLine="0" w:firstLineChars="0"/>
                    <w:jc w:val="center"/>
                    <w:rPr>
                      <w:color w:val="000000"/>
                      <w:sz w:val="21"/>
                      <w:szCs w:val="21"/>
                    </w:rPr>
                  </w:pPr>
                  <w:r>
                    <w:rPr>
                      <w:color w:val="000000"/>
                      <w:sz w:val="21"/>
                      <w:szCs w:val="21"/>
                    </w:rPr>
                    <w:t>相对厂址方位</w:t>
                  </w:r>
                </w:p>
              </w:tc>
              <w:tc>
                <w:tcPr>
                  <w:tcW w:w="311" w:type="pct"/>
                  <w:vMerge w:val="restart"/>
                  <w:tcBorders>
                    <w:tl2br w:val="nil"/>
                    <w:tr2bl w:val="nil"/>
                  </w:tcBorders>
                  <w:vAlign w:val="center"/>
                </w:tcPr>
                <w:p w14:paraId="6F5FDE03">
                  <w:pPr>
                    <w:pStyle w:val="53"/>
                    <w:adjustRightInd/>
                    <w:ind w:firstLine="0" w:firstLineChars="0"/>
                    <w:rPr>
                      <w:rFonts w:ascii="Times New Roman" w:hAnsi="Times New Roman" w:cs="Times New Roman"/>
                      <w:color w:val="000000"/>
                      <w:sz w:val="21"/>
                      <w:szCs w:val="21"/>
                    </w:rPr>
                  </w:pPr>
                  <w:r>
                    <w:rPr>
                      <w:rFonts w:ascii="Times New Roman" w:hAnsi="Times New Roman" w:cs="Times New Roman"/>
                      <w:color w:val="000000"/>
                      <w:sz w:val="21"/>
                      <w:szCs w:val="21"/>
                    </w:rPr>
                    <w:t>相对厂界距离/m</w:t>
                  </w:r>
                </w:p>
              </w:tc>
            </w:tr>
            <w:tr w14:paraId="3B4F989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90" w:type="pct"/>
                  <w:vMerge w:val="continue"/>
                  <w:tcBorders>
                    <w:tl2br w:val="nil"/>
                    <w:tr2bl w:val="nil"/>
                  </w:tcBorders>
                  <w:vAlign w:val="center"/>
                </w:tcPr>
                <w:p w14:paraId="322041B4">
                  <w:pPr>
                    <w:pStyle w:val="53"/>
                    <w:adjustRightInd/>
                    <w:ind w:firstLine="0" w:firstLineChars="0"/>
                    <w:rPr>
                      <w:rFonts w:ascii="Times New Roman" w:hAnsi="Times New Roman" w:cs="Times New Roman"/>
                      <w:color w:val="000000"/>
                      <w:sz w:val="21"/>
                      <w:szCs w:val="21"/>
                    </w:rPr>
                  </w:pPr>
                </w:p>
              </w:tc>
              <w:tc>
                <w:tcPr>
                  <w:tcW w:w="787" w:type="pct"/>
                  <w:tcBorders>
                    <w:tl2br w:val="nil"/>
                    <w:tr2bl w:val="nil"/>
                  </w:tcBorders>
                  <w:vAlign w:val="center"/>
                </w:tcPr>
                <w:p w14:paraId="6849DF40">
                  <w:pPr>
                    <w:pStyle w:val="53"/>
                    <w:adjustRightInd/>
                    <w:ind w:firstLine="0" w:firstLineChars="0"/>
                    <w:rPr>
                      <w:rFonts w:ascii="Times New Roman" w:hAnsi="Times New Roman" w:cs="Times New Roman"/>
                      <w:color w:val="000000"/>
                      <w:sz w:val="21"/>
                      <w:szCs w:val="21"/>
                    </w:rPr>
                  </w:pPr>
                  <w:r>
                    <w:rPr>
                      <w:rFonts w:ascii="Times New Roman" w:hAnsi="Times New Roman" w:cs="Times New Roman"/>
                      <w:color w:val="000000"/>
                      <w:sz w:val="21"/>
                      <w:szCs w:val="21"/>
                    </w:rPr>
                    <w:t>X</w:t>
                  </w:r>
                </w:p>
              </w:tc>
              <w:tc>
                <w:tcPr>
                  <w:tcW w:w="717" w:type="pct"/>
                  <w:tcBorders>
                    <w:tl2br w:val="nil"/>
                    <w:tr2bl w:val="nil"/>
                  </w:tcBorders>
                  <w:vAlign w:val="center"/>
                </w:tcPr>
                <w:p w14:paraId="65CD3561">
                  <w:pPr>
                    <w:pStyle w:val="53"/>
                    <w:adjustRightInd/>
                    <w:ind w:firstLine="0" w:firstLineChars="0"/>
                    <w:rPr>
                      <w:rFonts w:ascii="Times New Roman" w:hAnsi="Times New Roman" w:cs="Times New Roman"/>
                      <w:color w:val="000000"/>
                      <w:sz w:val="21"/>
                      <w:szCs w:val="21"/>
                    </w:rPr>
                  </w:pPr>
                  <w:r>
                    <w:rPr>
                      <w:rFonts w:ascii="Times New Roman" w:hAnsi="Times New Roman" w:cs="Times New Roman"/>
                      <w:color w:val="000000"/>
                      <w:sz w:val="21"/>
                      <w:szCs w:val="21"/>
                    </w:rPr>
                    <w:t>Y</w:t>
                  </w:r>
                </w:p>
              </w:tc>
              <w:tc>
                <w:tcPr>
                  <w:tcW w:w="677" w:type="pct"/>
                  <w:vMerge w:val="continue"/>
                  <w:tcBorders>
                    <w:tl2br w:val="nil"/>
                    <w:tr2bl w:val="nil"/>
                  </w:tcBorders>
                  <w:vAlign w:val="center"/>
                </w:tcPr>
                <w:p w14:paraId="21BEBEAC">
                  <w:pPr>
                    <w:pStyle w:val="53"/>
                    <w:adjustRightInd/>
                    <w:ind w:firstLine="0" w:firstLineChars="0"/>
                    <w:rPr>
                      <w:rFonts w:ascii="Times New Roman" w:hAnsi="Times New Roman" w:cs="Times New Roman"/>
                      <w:color w:val="000000"/>
                      <w:sz w:val="21"/>
                      <w:szCs w:val="21"/>
                    </w:rPr>
                  </w:pPr>
                </w:p>
              </w:tc>
              <w:tc>
                <w:tcPr>
                  <w:tcW w:w="1038" w:type="pct"/>
                  <w:vMerge w:val="continue"/>
                  <w:tcBorders>
                    <w:tl2br w:val="nil"/>
                    <w:tr2bl w:val="nil"/>
                  </w:tcBorders>
                  <w:vAlign w:val="center"/>
                </w:tcPr>
                <w:p w14:paraId="0079E46E">
                  <w:pPr>
                    <w:pStyle w:val="53"/>
                    <w:adjustRightInd/>
                    <w:ind w:firstLine="0" w:firstLineChars="0"/>
                    <w:rPr>
                      <w:rFonts w:ascii="Times New Roman" w:hAnsi="Times New Roman" w:cs="Times New Roman"/>
                      <w:color w:val="000000"/>
                      <w:sz w:val="21"/>
                      <w:szCs w:val="21"/>
                    </w:rPr>
                  </w:pPr>
                </w:p>
              </w:tc>
              <w:tc>
                <w:tcPr>
                  <w:tcW w:w="685" w:type="pct"/>
                  <w:vMerge w:val="continue"/>
                  <w:tcBorders>
                    <w:tl2br w:val="nil"/>
                    <w:tr2bl w:val="nil"/>
                  </w:tcBorders>
                  <w:vAlign w:val="center"/>
                </w:tcPr>
                <w:p w14:paraId="2150BBA1">
                  <w:pPr>
                    <w:pStyle w:val="53"/>
                    <w:adjustRightInd/>
                    <w:ind w:firstLine="0" w:firstLineChars="0"/>
                    <w:rPr>
                      <w:rFonts w:ascii="Times New Roman" w:hAnsi="Times New Roman" w:cs="Times New Roman"/>
                      <w:color w:val="000000"/>
                      <w:sz w:val="21"/>
                      <w:szCs w:val="21"/>
                    </w:rPr>
                  </w:pPr>
                </w:p>
              </w:tc>
              <w:tc>
                <w:tcPr>
                  <w:tcW w:w="391" w:type="pct"/>
                  <w:vMerge w:val="continue"/>
                  <w:tcBorders>
                    <w:tl2br w:val="nil"/>
                    <w:tr2bl w:val="nil"/>
                  </w:tcBorders>
                  <w:vAlign w:val="center"/>
                </w:tcPr>
                <w:p w14:paraId="75348180">
                  <w:pPr>
                    <w:adjustRightInd/>
                    <w:snapToGrid/>
                    <w:spacing w:line="240" w:lineRule="auto"/>
                    <w:ind w:firstLine="0" w:firstLineChars="0"/>
                    <w:jc w:val="center"/>
                    <w:rPr>
                      <w:color w:val="000000"/>
                      <w:sz w:val="21"/>
                      <w:szCs w:val="21"/>
                    </w:rPr>
                  </w:pPr>
                </w:p>
              </w:tc>
              <w:tc>
                <w:tcPr>
                  <w:tcW w:w="311" w:type="pct"/>
                  <w:vMerge w:val="continue"/>
                  <w:tcBorders>
                    <w:tl2br w:val="nil"/>
                    <w:tr2bl w:val="nil"/>
                  </w:tcBorders>
                  <w:vAlign w:val="center"/>
                </w:tcPr>
                <w:p w14:paraId="0ABA4286">
                  <w:pPr>
                    <w:pStyle w:val="53"/>
                    <w:adjustRightInd/>
                    <w:ind w:firstLine="0" w:firstLineChars="0"/>
                    <w:rPr>
                      <w:rFonts w:ascii="Times New Roman" w:hAnsi="Times New Roman" w:cs="Times New Roman"/>
                      <w:color w:val="000000"/>
                      <w:sz w:val="21"/>
                      <w:szCs w:val="21"/>
                    </w:rPr>
                  </w:pPr>
                </w:p>
              </w:tc>
            </w:tr>
            <w:tr w14:paraId="4A9CD12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vMerge w:val="restart"/>
                  <w:tcBorders>
                    <w:tl2br w:val="nil"/>
                    <w:tr2bl w:val="nil"/>
                  </w:tcBorders>
                  <w:vAlign w:val="center"/>
                </w:tcPr>
                <w:p w14:paraId="34BB66B9">
                  <w:pPr>
                    <w:pStyle w:val="53"/>
                    <w:adjustRightInd/>
                    <w:ind w:firstLine="0" w:firstLineChars="0"/>
                    <w:rPr>
                      <w:rFonts w:ascii="Times New Roman" w:hAnsi="Times New Roman" w:cs="Times New Roman"/>
                      <w:color w:val="000000"/>
                      <w:sz w:val="21"/>
                      <w:szCs w:val="21"/>
                    </w:rPr>
                  </w:pPr>
                  <w:r>
                    <w:rPr>
                      <w:rFonts w:ascii="Times New Roman" w:hAnsi="Times New Roman" w:cs="Times New Roman"/>
                      <w:color w:val="000000"/>
                      <w:sz w:val="21"/>
                      <w:szCs w:val="21"/>
                    </w:rPr>
                    <w:t>环境空气</w:t>
                  </w:r>
                </w:p>
              </w:tc>
              <w:tc>
                <w:tcPr>
                  <w:tcW w:w="787" w:type="pct"/>
                  <w:tcBorders>
                    <w:tl2br w:val="nil"/>
                    <w:tr2bl w:val="nil"/>
                  </w:tcBorders>
                  <w:vAlign w:val="center"/>
                </w:tcPr>
                <w:p w14:paraId="6976BEB4">
                  <w:pPr>
                    <w:pStyle w:val="53"/>
                    <w:adjustRightInd/>
                    <w:ind w:firstLine="0" w:firstLineChars="0"/>
                    <w:rPr>
                      <w:rFonts w:ascii="Times New Roman" w:hAnsi="Times New Roman" w:cs="Times New Roman"/>
                      <w:color w:val="000000"/>
                      <w:sz w:val="21"/>
                      <w:szCs w:val="21"/>
                    </w:rPr>
                  </w:pPr>
                  <w:r>
                    <w:rPr>
                      <w:rFonts w:ascii="Times New Roman" w:hAnsi="Times New Roman" w:cs="Times New Roman"/>
                      <w:color w:val="000000"/>
                      <w:sz w:val="21"/>
                      <w:szCs w:val="21"/>
                    </w:rPr>
                    <w:t>415776.41</w:t>
                  </w:r>
                </w:p>
              </w:tc>
              <w:tc>
                <w:tcPr>
                  <w:tcW w:w="717" w:type="pct"/>
                  <w:tcBorders>
                    <w:tl2br w:val="nil"/>
                    <w:tr2bl w:val="nil"/>
                  </w:tcBorders>
                  <w:vAlign w:val="center"/>
                </w:tcPr>
                <w:p w14:paraId="7F5F92D7">
                  <w:pPr>
                    <w:pStyle w:val="53"/>
                    <w:adjustRightInd/>
                    <w:ind w:firstLine="0" w:firstLineChars="0"/>
                    <w:rPr>
                      <w:rFonts w:ascii="Times New Roman" w:hAnsi="Times New Roman" w:cs="Times New Roman"/>
                      <w:color w:val="000000"/>
                      <w:sz w:val="21"/>
                      <w:szCs w:val="21"/>
                    </w:rPr>
                  </w:pPr>
                  <w:r>
                    <w:rPr>
                      <w:rFonts w:ascii="Times New Roman" w:hAnsi="Times New Roman" w:cs="Times New Roman"/>
                      <w:color w:val="000000"/>
                      <w:sz w:val="21"/>
                      <w:szCs w:val="21"/>
                    </w:rPr>
                    <w:t>4566421.13</w:t>
                  </w:r>
                </w:p>
              </w:tc>
              <w:tc>
                <w:tcPr>
                  <w:tcW w:w="677" w:type="pct"/>
                  <w:tcBorders>
                    <w:tl2br w:val="nil"/>
                    <w:tr2bl w:val="nil"/>
                  </w:tcBorders>
                  <w:vAlign w:val="center"/>
                </w:tcPr>
                <w:p w14:paraId="63E437C0">
                  <w:pPr>
                    <w:adjustRightInd/>
                    <w:snapToGrid/>
                    <w:spacing w:line="240" w:lineRule="auto"/>
                    <w:ind w:firstLine="0" w:firstLineChars="0"/>
                    <w:jc w:val="center"/>
                    <w:rPr>
                      <w:color w:val="000000"/>
                      <w:sz w:val="21"/>
                      <w:szCs w:val="21"/>
                    </w:rPr>
                  </w:pPr>
                  <w:r>
                    <w:rPr>
                      <w:color w:val="000000"/>
                      <w:sz w:val="21"/>
                      <w:szCs w:val="21"/>
                    </w:rPr>
                    <w:t>水岸蓝桥</w:t>
                  </w:r>
                </w:p>
              </w:tc>
              <w:tc>
                <w:tcPr>
                  <w:tcW w:w="1038" w:type="pct"/>
                  <w:tcBorders>
                    <w:tl2br w:val="nil"/>
                    <w:tr2bl w:val="nil"/>
                  </w:tcBorders>
                  <w:vAlign w:val="center"/>
                </w:tcPr>
                <w:p w14:paraId="66114BA8">
                  <w:pPr>
                    <w:pStyle w:val="53"/>
                    <w:adjustRightInd/>
                    <w:ind w:firstLine="0" w:firstLineChars="0"/>
                    <w:rPr>
                      <w:rFonts w:ascii="Times New Roman" w:hAnsi="Times New Roman" w:cs="Times New Roman"/>
                      <w:color w:val="FF0000"/>
                      <w:sz w:val="21"/>
                      <w:szCs w:val="21"/>
                    </w:rPr>
                  </w:pPr>
                  <w:r>
                    <w:rPr>
                      <w:rFonts w:ascii="Times New Roman" w:hAnsi="Times New Roman" w:cs="Times New Roman"/>
                      <w:color w:val="FF0000"/>
                      <w:sz w:val="21"/>
                      <w:szCs w:val="21"/>
                    </w:rPr>
                    <w:t>居民（</w:t>
                  </w:r>
                  <w:r>
                    <w:rPr>
                      <w:rFonts w:ascii="Times New Roman" w:hAnsi="Times New Roman" w:cs="Times New Roman"/>
                      <w:color w:val="FF0000"/>
                      <w:sz w:val="21"/>
                      <w:szCs w:val="21"/>
                      <w:lang w:val="en-US"/>
                    </w:rPr>
                    <w:t>2280</w:t>
                  </w:r>
                  <w:r>
                    <w:rPr>
                      <w:rFonts w:ascii="Times New Roman" w:hAnsi="Times New Roman" w:cs="Times New Roman"/>
                      <w:color w:val="FF0000"/>
                      <w:sz w:val="21"/>
                      <w:szCs w:val="21"/>
                    </w:rPr>
                    <w:t>户）</w:t>
                  </w:r>
                </w:p>
              </w:tc>
              <w:tc>
                <w:tcPr>
                  <w:tcW w:w="685" w:type="pct"/>
                  <w:vMerge w:val="restart"/>
                  <w:tcBorders>
                    <w:tl2br w:val="nil"/>
                    <w:tr2bl w:val="nil"/>
                  </w:tcBorders>
                  <w:vAlign w:val="center"/>
                </w:tcPr>
                <w:p w14:paraId="4B3F8302">
                  <w:pPr>
                    <w:pStyle w:val="53"/>
                    <w:adjustRightInd/>
                    <w:ind w:firstLine="0" w:firstLineChars="0"/>
                    <w:rPr>
                      <w:rFonts w:ascii="Times New Roman" w:hAnsi="Times New Roman" w:cs="Times New Roman"/>
                      <w:color w:val="000000"/>
                      <w:sz w:val="21"/>
                      <w:szCs w:val="21"/>
                    </w:rPr>
                  </w:pPr>
                  <w:r>
                    <w:rPr>
                      <w:rFonts w:ascii="Times New Roman" w:hAnsi="Times New Roman" w:cs="Times New Roman"/>
                      <w:color w:val="000000"/>
                      <w:sz w:val="21"/>
                      <w:szCs w:val="21"/>
                    </w:rPr>
                    <w:t>环境空气质量二类功能区</w:t>
                  </w:r>
                </w:p>
              </w:tc>
              <w:tc>
                <w:tcPr>
                  <w:tcW w:w="391" w:type="pct"/>
                  <w:tcBorders>
                    <w:tl2br w:val="nil"/>
                    <w:tr2bl w:val="nil"/>
                  </w:tcBorders>
                  <w:vAlign w:val="center"/>
                </w:tcPr>
                <w:p w14:paraId="76B4BC5B">
                  <w:pPr>
                    <w:adjustRightInd/>
                    <w:snapToGrid/>
                    <w:spacing w:line="240" w:lineRule="auto"/>
                    <w:ind w:firstLine="0" w:firstLineChars="0"/>
                    <w:jc w:val="center"/>
                    <w:rPr>
                      <w:color w:val="000000"/>
                      <w:sz w:val="21"/>
                      <w:szCs w:val="21"/>
                    </w:rPr>
                  </w:pPr>
                  <w:r>
                    <w:rPr>
                      <w:color w:val="000000"/>
                      <w:sz w:val="21"/>
                      <w:szCs w:val="21"/>
                    </w:rPr>
                    <w:t>SW</w:t>
                  </w:r>
                </w:p>
              </w:tc>
              <w:tc>
                <w:tcPr>
                  <w:tcW w:w="311" w:type="pct"/>
                  <w:tcBorders>
                    <w:tl2br w:val="nil"/>
                    <w:tr2bl w:val="nil"/>
                  </w:tcBorders>
                  <w:vAlign w:val="center"/>
                </w:tcPr>
                <w:p w14:paraId="01F8706A">
                  <w:pPr>
                    <w:adjustRightInd/>
                    <w:snapToGrid/>
                    <w:spacing w:line="240" w:lineRule="auto"/>
                    <w:ind w:firstLine="0" w:firstLineChars="0"/>
                    <w:jc w:val="center"/>
                    <w:rPr>
                      <w:color w:val="000000"/>
                      <w:sz w:val="21"/>
                      <w:szCs w:val="21"/>
                    </w:rPr>
                  </w:pPr>
                  <w:r>
                    <w:rPr>
                      <w:color w:val="000000"/>
                      <w:sz w:val="21"/>
                      <w:szCs w:val="21"/>
                    </w:rPr>
                    <w:t>226</w:t>
                  </w:r>
                </w:p>
              </w:tc>
            </w:tr>
            <w:tr w14:paraId="3FA286F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vMerge w:val="continue"/>
                  <w:tcBorders>
                    <w:tl2br w:val="nil"/>
                    <w:tr2bl w:val="nil"/>
                  </w:tcBorders>
                  <w:vAlign w:val="center"/>
                </w:tcPr>
                <w:p w14:paraId="32E54C9E">
                  <w:pPr>
                    <w:pStyle w:val="53"/>
                    <w:adjustRightInd/>
                    <w:ind w:firstLine="0" w:firstLineChars="0"/>
                    <w:rPr>
                      <w:rFonts w:ascii="Times New Roman" w:hAnsi="Times New Roman" w:cs="Times New Roman"/>
                      <w:color w:val="000000"/>
                      <w:sz w:val="21"/>
                      <w:szCs w:val="21"/>
                    </w:rPr>
                  </w:pPr>
                </w:p>
              </w:tc>
              <w:tc>
                <w:tcPr>
                  <w:tcW w:w="787" w:type="pct"/>
                  <w:tcBorders>
                    <w:tl2br w:val="nil"/>
                    <w:tr2bl w:val="nil"/>
                  </w:tcBorders>
                  <w:vAlign w:val="center"/>
                </w:tcPr>
                <w:p w14:paraId="30AFF995">
                  <w:pPr>
                    <w:pStyle w:val="53"/>
                    <w:adjustRightInd/>
                    <w:ind w:firstLine="0" w:firstLineChars="0"/>
                    <w:rPr>
                      <w:rFonts w:ascii="Times New Roman" w:hAnsi="Times New Roman" w:cs="Times New Roman"/>
                      <w:color w:val="000000"/>
                      <w:sz w:val="21"/>
                      <w:szCs w:val="21"/>
                    </w:rPr>
                  </w:pPr>
                  <w:r>
                    <w:rPr>
                      <w:rFonts w:ascii="Times New Roman" w:hAnsi="Times New Roman" w:cs="Times New Roman"/>
                      <w:color w:val="000000"/>
                      <w:sz w:val="21"/>
                      <w:szCs w:val="21"/>
                    </w:rPr>
                    <w:t>415451.23</w:t>
                  </w:r>
                </w:p>
              </w:tc>
              <w:tc>
                <w:tcPr>
                  <w:tcW w:w="717" w:type="pct"/>
                  <w:tcBorders>
                    <w:tl2br w:val="nil"/>
                    <w:tr2bl w:val="nil"/>
                  </w:tcBorders>
                  <w:vAlign w:val="center"/>
                </w:tcPr>
                <w:p w14:paraId="49CF390B">
                  <w:pPr>
                    <w:pStyle w:val="53"/>
                    <w:adjustRightInd/>
                    <w:ind w:firstLine="0" w:firstLineChars="0"/>
                    <w:rPr>
                      <w:rFonts w:ascii="Times New Roman" w:hAnsi="Times New Roman" w:cs="Times New Roman"/>
                      <w:color w:val="000000"/>
                      <w:sz w:val="21"/>
                      <w:szCs w:val="21"/>
                    </w:rPr>
                  </w:pPr>
                  <w:r>
                    <w:rPr>
                      <w:rFonts w:ascii="Times New Roman" w:hAnsi="Times New Roman" w:cs="Times New Roman"/>
                      <w:color w:val="000000"/>
                      <w:sz w:val="21"/>
                      <w:szCs w:val="21"/>
                    </w:rPr>
                    <w:t>4566557.12</w:t>
                  </w:r>
                </w:p>
              </w:tc>
              <w:tc>
                <w:tcPr>
                  <w:tcW w:w="677" w:type="pct"/>
                  <w:tcBorders>
                    <w:tl2br w:val="nil"/>
                    <w:tr2bl w:val="nil"/>
                  </w:tcBorders>
                  <w:vAlign w:val="center"/>
                </w:tcPr>
                <w:p w14:paraId="4BC7A1B0">
                  <w:pPr>
                    <w:adjustRightInd/>
                    <w:snapToGrid/>
                    <w:spacing w:line="240" w:lineRule="auto"/>
                    <w:ind w:firstLine="0" w:firstLineChars="0"/>
                    <w:jc w:val="center"/>
                    <w:rPr>
                      <w:color w:val="000000"/>
                      <w:sz w:val="21"/>
                      <w:szCs w:val="21"/>
                    </w:rPr>
                  </w:pPr>
                  <w:r>
                    <w:rPr>
                      <w:color w:val="000000"/>
                      <w:sz w:val="21"/>
                      <w:szCs w:val="21"/>
                    </w:rPr>
                    <w:t>水岸茗城</w:t>
                  </w:r>
                </w:p>
              </w:tc>
              <w:tc>
                <w:tcPr>
                  <w:tcW w:w="1038" w:type="pct"/>
                  <w:tcBorders>
                    <w:tl2br w:val="nil"/>
                    <w:tr2bl w:val="nil"/>
                  </w:tcBorders>
                  <w:vAlign w:val="center"/>
                </w:tcPr>
                <w:p w14:paraId="024E3F2F">
                  <w:pPr>
                    <w:pStyle w:val="53"/>
                    <w:adjustRightInd/>
                    <w:ind w:firstLine="0" w:firstLineChars="0"/>
                    <w:rPr>
                      <w:rFonts w:ascii="Times New Roman" w:hAnsi="Times New Roman" w:cs="Times New Roman"/>
                      <w:color w:val="FF0000"/>
                      <w:sz w:val="21"/>
                      <w:szCs w:val="21"/>
                    </w:rPr>
                  </w:pPr>
                  <w:r>
                    <w:rPr>
                      <w:rFonts w:ascii="Times New Roman" w:hAnsi="Times New Roman" w:cs="Times New Roman"/>
                      <w:color w:val="FF0000"/>
                      <w:sz w:val="21"/>
                      <w:szCs w:val="21"/>
                    </w:rPr>
                    <w:t>居民（</w:t>
                  </w:r>
                  <w:r>
                    <w:rPr>
                      <w:rFonts w:ascii="Times New Roman" w:hAnsi="Times New Roman" w:cs="Times New Roman"/>
                      <w:color w:val="FF0000"/>
                      <w:sz w:val="21"/>
                      <w:szCs w:val="21"/>
                      <w:lang w:val="en-US"/>
                    </w:rPr>
                    <w:t>1015</w:t>
                  </w:r>
                  <w:r>
                    <w:rPr>
                      <w:rFonts w:ascii="Times New Roman" w:hAnsi="Times New Roman" w:cs="Times New Roman"/>
                      <w:color w:val="FF0000"/>
                      <w:sz w:val="21"/>
                      <w:szCs w:val="21"/>
                    </w:rPr>
                    <w:t>户）</w:t>
                  </w:r>
                </w:p>
              </w:tc>
              <w:tc>
                <w:tcPr>
                  <w:tcW w:w="685" w:type="pct"/>
                  <w:vMerge w:val="continue"/>
                  <w:tcBorders>
                    <w:tl2br w:val="nil"/>
                    <w:tr2bl w:val="nil"/>
                  </w:tcBorders>
                  <w:vAlign w:val="center"/>
                </w:tcPr>
                <w:p w14:paraId="24864804">
                  <w:pPr>
                    <w:pStyle w:val="53"/>
                    <w:adjustRightInd/>
                    <w:ind w:firstLine="0" w:firstLineChars="0"/>
                    <w:rPr>
                      <w:rFonts w:ascii="Times New Roman" w:hAnsi="Times New Roman" w:cs="Times New Roman"/>
                      <w:color w:val="000000"/>
                      <w:sz w:val="21"/>
                      <w:szCs w:val="21"/>
                    </w:rPr>
                  </w:pPr>
                </w:p>
              </w:tc>
              <w:tc>
                <w:tcPr>
                  <w:tcW w:w="391" w:type="pct"/>
                  <w:tcBorders>
                    <w:tl2br w:val="nil"/>
                    <w:tr2bl w:val="nil"/>
                  </w:tcBorders>
                  <w:vAlign w:val="center"/>
                </w:tcPr>
                <w:p w14:paraId="3B6B3EEB">
                  <w:pPr>
                    <w:adjustRightInd/>
                    <w:snapToGrid/>
                    <w:spacing w:line="240" w:lineRule="auto"/>
                    <w:ind w:firstLine="0" w:firstLineChars="0"/>
                    <w:jc w:val="center"/>
                    <w:rPr>
                      <w:color w:val="000000"/>
                      <w:sz w:val="21"/>
                      <w:szCs w:val="21"/>
                    </w:rPr>
                  </w:pPr>
                  <w:r>
                    <w:rPr>
                      <w:color w:val="000000"/>
                      <w:sz w:val="21"/>
                      <w:szCs w:val="21"/>
                    </w:rPr>
                    <w:t>W</w:t>
                  </w:r>
                </w:p>
              </w:tc>
              <w:tc>
                <w:tcPr>
                  <w:tcW w:w="311" w:type="pct"/>
                  <w:tcBorders>
                    <w:tl2br w:val="nil"/>
                    <w:tr2bl w:val="nil"/>
                  </w:tcBorders>
                  <w:vAlign w:val="center"/>
                </w:tcPr>
                <w:p w14:paraId="7934736C">
                  <w:pPr>
                    <w:adjustRightInd/>
                    <w:snapToGrid/>
                    <w:spacing w:line="240" w:lineRule="auto"/>
                    <w:ind w:firstLine="0" w:firstLineChars="0"/>
                    <w:jc w:val="center"/>
                    <w:rPr>
                      <w:color w:val="000000"/>
                      <w:sz w:val="21"/>
                      <w:szCs w:val="21"/>
                    </w:rPr>
                  </w:pPr>
                  <w:r>
                    <w:rPr>
                      <w:color w:val="000000"/>
                      <w:sz w:val="21"/>
                      <w:szCs w:val="21"/>
                    </w:rPr>
                    <w:t>428</w:t>
                  </w:r>
                </w:p>
              </w:tc>
            </w:tr>
            <w:tr w14:paraId="15F0EDD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vMerge w:val="continue"/>
                  <w:tcBorders>
                    <w:tl2br w:val="nil"/>
                    <w:tr2bl w:val="nil"/>
                  </w:tcBorders>
                  <w:vAlign w:val="center"/>
                </w:tcPr>
                <w:p w14:paraId="609C4C36">
                  <w:pPr>
                    <w:pStyle w:val="53"/>
                    <w:adjustRightInd/>
                    <w:ind w:firstLine="0" w:firstLineChars="0"/>
                    <w:rPr>
                      <w:rFonts w:ascii="Times New Roman" w:hAnsi="Times New Roman" w:cs="Times New Roman"/>
                      <w:color w:val="000000"/>
                      <w:sz w:val="21"/>
                      <w:szCs w:val="21"/>
                    </w:rPr>
                  </w:pPr>
                </w:p>
              </w:tc>
              <w:tc>
                <w:tcPr>
                  <w:tcW w:w="787" w:type="pct"/>
                  <w:tcBorders>
                    <w:tl2br w:val="nil"/>
                    <w:tr2bl w:val="nil"/>
                  </w:tcBorders>
                  <w:vAlign w:val="center"/>
                </w:tcPr>
                <w:p w14:paraId="373C07DD">
                  <w:pPr>
                    <w:pStyle w:val="53"/>
                    <w:adjustRightInd/>
                    <w:ind w:firstLine="0" w:firstLineChars="0"/>
                    <w:rPr>
                      <w:rFonts w:ascii="Times New Roman" w:hAnsi="Times New Roman" w:cs="Times New Roman"/>
                      <w:color w:val="000000"/>
                      <w:sz w:val="21"/>
                      <w:szCs w:val="21"/>
                    </w:rPr>
                  </w:pPr>
                  <w:r>
                    <w:rPr>
                      <w:rFonts w:ascii="Times New Roman" w:hAnsi="Times New Roman" w:cs="Times New Roman"/>
                      <w:color w:val="000000"/>
                      <w:sz w:val="21"/>
                      <w:szCs w:val="21"/>
                    </w:rPr>
                    <w:t>415465.28</w:t>
                  </w:r>
                </w:p>
              </w:tc>
              <w:tc>
                <w:tcPr>
                  <w:tcW w:w="717" w:type="pct"/>
                  <w:tcBorders>
                    <w:tl2br w:val="nil"/>
                    <w:tr2bl w:val="nil"/>
                  </w:tcBorders>
                  <w:vAlign w:val="center"/>
                </w:tcPr>
                <w:p w14:paraId="4128D511">
                  <w:pPr>
                    <w:pStyle w:val="53"/>
                    <w:adjustRightInd/>
                    <w:ind w:firstLine="0" w:firstLineChars="0"/>
                    <w:rPr>
                      <w:rFonts w:ascii="Times New Roman" w:hAnsi="Times New Roman" w:cs="Times New Roman"/>
                      <w:color w:val="000000"/>
                      <w:sz w:val="21"/>
                      <w:szCs w:val="21"/>
                    </w:rPr>
                  </w:pPr>
                  <w:r>
                    <w:rPr>
                      <w:rFonts w:ascii="Times New Roman" w:hAnsi="Times New Roman" w:cs="Times New Roman"/>
                      <w:color w:val="000000"/>
                      <w:sz w:val="21"/>
                      <w:szCs w:val="21"/>
                    </w:rPr>
                    <w:t>4566326.48</w:t>
                  </w:r>
                </w:p>
              </w:tc>
              <w:tc>
                <w:tcPr>
                  <w:tcW w:w="677" w:type="pct"/>
                  <w:tcBorders>
                    <w:tl2br w:val="nil"/>
                    <w:tr2bl w:val="nil"/>
                  </w:tcBorders>
                  <w:vAlign w:val="center"/>
                </w:tcPr>
                <w:p w14:paraId="48DE7F8A">
                  <w:pPr>
                    <w:adjustRightInd/>
                    <w:snapToGrid/>
                    <w:spacing w:line="240" w:lineRule="auto"/>
                    <w:ind w:firstLine="0" w:firstLineChars="0"/>
                    <w:jc w:val="center"/>
                    <w:rPr>
                      <w:color w:val="000000"/>
                      <w:sz w:val="21"/>
                      <w:szCs w:val="21"/>
                    </w:rPr>
                  </w:pPr>
                  <w:r>
                    <w:rPr>
                      <w:color w:val="000000"/>
                      <w:sz w:val="21"/>
                      <w:szCs w:val="21"/>
                    </w:rPr>
                    <w:t>水岸雅居</w:t>
                  </w:r>
                </w:p>
              </w:tc>
              <w:tc>
                <w:tcPr>
                  <w:tcW w:w="1038" w:type="pct"/>
                  <w:tcBorders>
                    <w:tl2br w:val="nil"/>
                    <w:tr2bl w:val="nil"/>
                  </w:tcBorders>
                  <w:vAlign w:val="center"/>
                </w:tcPr>
                <w:p w14:paraId="026B7406">
                  <w:pPr>
                    <w:pStyle w:val="53"/>
                    <w:adjustRightInd/>
                    <w:ind w:firstLine="0" w:firstLineChars="0"/>
                    <w:rPr>
                      <w:rFonts w:ascii="Times New Roman" w:hAnsi="Times New Roman" w:cs="Times New Roman"/>
                      <w:color w:val="FF0000"/>
                      <w:sz w:val="21"/>
                      <w:szCs w:val="21"/>
                    </w:rPr>
                  </w:pPr>
                  <w:r>
                    <w:rPr>
                      <w:rFonts w:ascii="Times New Roman" w:hAnsi="Times New Roman" w:cs="Times New Roman"/>
                      <w:color w:val="FF0000"/>
                      <w:sz w:val="21"/>
                      <w:szCs w:val="21"/>
                    </w:rPr>
                    <w:t>居民（</w:t>
                  </w:r>
                  <w:r>
                    <w:rPr>
                      <w:rFonts w:ascii="Times New Roman" w:hAnsi="Times New Roman" w:cs="Times New Roman"/>
                      <w:color w:val="FF0000"/>
                      <w:sz w:val="21"/>
                      <w:szCs w:val="21"/>
                      <w:lang w:val="en-US"/>
                    </w:rPr>
                    <w:t>1113户</w:t>
                  </w:r>
                  <w:r>
                    <w:rPr>
                      <w:rFonts w:ascii="Times New Roman" w:hAnsi="Times New Roman" w:cs="Times New Roman"/>
                      <w:color w:val="FF0000"/>
                      <w:sz w:val="21"/>
                      <w:szCs w:val="21"/>
                    </w:rPr>
                    <w:t>）</w:t>
                  </w:r>
                </w:p>
              </w:tc>
              <w:tc>
                <w:tcPr>
                  <w:tcW w:w="685" w:type="pct"/>
                  <w:vMerge w:val="continue"/>
                  <w:tcBorders>
                    <w:tl2br w:val="nil"/>
                    <w:tr2bl w:val="nil"/>
                  </w:tcBorders>
                  <w:vAlign w:val="center"/>
                </w:tcPr>
                <w:p w14:paraId="66FAA8E8">
                  <w:pPr>
                    <w:pStyle w:val="53"/>
                    <w:adjustRightInd/>
                    <w:ind w:firstLine="0" w:firstLineChars="0"/>
                    <w:rPr>
                      <w:rFonts w:ascii="Times New Roman" w:hAnsi="Times New Roman" w:cs="Times New Roman"/>
                      <w:color w:val="000000"/>
                      <w:sz w:val="21"/>
                      <w:szCs w:val="21"/>
                    </w:rPr>
                  </w:pPr>
                </w:p>
              </w:tc>
              <w:tc>
                <w:tcPr>
                  <w:tcW w:w="391" w:type="pct"/>
                  <w:tcBorders>
                    <w:tl2br w:val="nil"/>
                    <w:tr2bl w:val="nil"/>
                  </w:tcBorders>
                  <w:vAlign w:val="center"/>
                </w:tcPr>
                <w:p w14:paraId="7A77DF6C">
                  <w:pPr>
                    <w:adjustRightInd/>
                    <w:snapToGrid/>
                    <w:spacing w:line="240" w:lineRule="auto"/>
                    <w:ind w:firstLine="0" w:firstLineChars="0"/>
                    <w:jc w:val="center"/>
                    <w:rPr>
                      <w:color w:val="000000"/>
                      <w:sz w:val="21"/>
                      <w:szCs w:val="21"/>
                    </w:rPr>
                  </w:pPr>
                  <w:r>
                    <w:rPr>
                      <w:color w:val="000000"/>
                      <w:sz w:val="21"/>
                      <w:szCs w:val="21"/>
                    </w:rPr>
                    <w:t>SW</w:t>
                  </w:r>
                </w:p>
              </w:tc>
              <w:tc>
                <w:tcPr>
                  <w:tcW w:w="311" w:type="pct"/>
                  <w:tcBorders>
                    <w:tl2br w:val="nil"/>
                    <w:tr2bl w:val="nil"/>
                  </w:tcBorders>
                  <w:vAlign w:val="center"/>
                </w:tcPr>
                <w:p w14:paraId="237E318A">
                  <w:pPr>
                    <w:adjustRightInd/>
                    <w:snapToGrid/>
                    <w:spacing w:line="240" w:lineRule="auto"/>
                    <w:ind w:firstLine="0" w:firstLineChars="0"/>
                    <w:jc w:val="center"/>
                    <w:rPr>
                      <w:color w:val="000000"/>
                      <w:sz w:val="21"/>
                      <w:szCs w:val="21"/>
                    </w:rPr>
                  </w:pPr>
                  <w:r>
                    <w:rPr>
                      <w:color w:val="000000"/>
                      <w:sz w:val="21"/>
                      <w:szCs w:val="21"/>
                    </w:rPr>
                    <w:t>470</w:t>
                  </w:r>
                </w:p>
              </w:tc>
            </w:tr>
            <w:tr w14:paraId="2DE6BC2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tcBorders>
                    <w:tl2br w:val="nil"/>
                    <w:tr2bl w:val="nil"/>
                  </w:tcBorders>
                  <w:vAlign w:val="center"/>
                </w:tcPr>
                <w:p w14:paraId="0AB180D4">
                  <w:pPr>
                    <w:pStyle w:val="53"/>
                    <w:adjustRightInd/>
                    <w:ind w:firstLine="0" w:firstLineChars="0"/>
                    <w:rPr>
                      <w:rFonts w:ascii="Times New Roman" w:hAnsi="Times New Roman" w:cs="Times New Roman"/>
                      <w:color w:val="FF0000"/>
                      <w:sz w:val="21"/>
                      <w:szCs w:val="21"/>
                    </w:rPr>
                  </w:pPr>
                  <w:r>
                    <w:rPr>
                      <w:rFonts w:ascii="Times New Roman" w:hAnsi="Times New Roman" w:cs="Times New Roman"/>
                      <w:color w:val="FF0000"/>
                      <w:sz w:val="21"/>
                      <w:szCs w:val="21"/>
                    </w:rPr>
                    <w:t>地表水</w:t>
                  </w:r>
                </w:p>
              </w:tc>
              <w:tc>
                <w:tcPr>
                  <w:tcW w:w="787" w:type="pct"/>
                  <w:tcBorders>
                    <w:tl2br w:val="nil"/>
                    <w:tr2bl w:val="nil"/>
                  </w:tcBorders>
                  <w:vAlign w:val="center"/>
                </w:tcPr>
                <w:p w14:paraId="622CE8AA">
                  <w:pPr>
                    <w:pStyle w:val="53"/>
                    <w:adjustRightInd/>
                    <w:ind w:firstLine="0" w:firstLineChars="0"/>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w:t>
                  </w:r>
                </w:p>
              </w:tc>
              <w:tc>
                <w:tcPr>
                  <w:tcW w:w="717" w:type="pct"/>
                  <w:tcBorders>
                    <w:tl2br w:val="nil"/>
                    <w:tr2bl w:val="nil"/>
                  </w:tcBorders>
                  <w:vAlign w:val="center"/>
                </w:tcPr>
                <w:p w14:paraId="126E765E">
                  <w:pPr>
                    <w:pStyle w:val="53"/>
                    <w:adjustRightInd/>
                    <w:ind w:firstLine="0" w:firstLineChars="0"/>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w:t>
                  </w:r>
                </w:p>
              </w:tc>
              <w:tc>
                <w:tcPr>
                  <w:tcW w:w="677" w:type="pct"/>
                  <w:tcBorders>
                    <w:tl2br w:val="nil"/>
                    <w:tr2bl w:val="nil"/>
                  </w:tcBorders>
                  <w:vAlign w:val="center"/>
                </w:tcPr>
                <w:p w14:paraId="5EF03FE1">
                  <w:pPr>
                    <w:adjustRightInd/>
                    <w:snapToGrid/>
                    <w:spacing w:line="240" w:lineRule="auto"/>
                    <w:ind w:firstLine="0" w:firstLineChars="0"/>
                    <w:jc w:val="center"/>
                    <w:rPr>
                      <w:color w:val="FF0000"/>
                      <w:sz w:val="21"/>
                      <w:szCs w:val="21"/>
                    </w:rPr>
                  </w:pPr>
                  <w:r>
                    <w:rPr>
                      <w:color w:val="FF0000"/>
                      <w:sz w:val="21"/>
                      <w:szCs w:val="21"/>
                    </w:rPr>
                    <w:t>沟盘运河</w:t>
                  </w:r>
                </w:p>
              </w:tc>
              <w:tc>
                <w:tcPr>
                  <w:tcW w:w="1038" w:type="pct"/>
                  <w:tcBorders>
                    <w:tl2br w:val="nil"/>
                    <w:tr2bl w:val="nil"/>
                  </w:tcBorders>
                  <w:vAlign w:val="center"/>
                </w:tcPr>
                <w:p w14:paraId="17FEFF8D">
                  <w:pPr>
                    <w:pStyle w:val="53"/>
                    <w:adjustRightInd/>
                    <w:ind w:firstLine="0" w:firstLineChars="0"/>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w:t>
                  </w:r>
                </w:p>
              </w:tc>
              <w:tc>
                <w:tcPr>
                  <w:tcW w:w="685" w:type="pct"/>
                  <w:tcBorders>
                    <w:tl2br w:val="nil"/>
                    <w:tr2bl w:val="nil"/>
                  </w:tcBorders>
                  <w:vAlign w:val="center"/>
                </w:tcPr>
                <w:p w14:paraId="0AE6BFB5">
                  <w:pPr>
                    <w:pStyle w:val="53"/>
                    <w:adjustRightInd/>
                    <w:ind w:firstLine="0" w:firstLineChars="0"/>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FF0000"/>
                      <w:sz w:val="21"/>
                      <w:szCs w:val="21"/>
                      <w:lang w:val="en-US" w:eastAsia="zh-CN"/>
                    </w:rPr>
                    <w:t>-</w:t>
                  </w:r>
                </w:p>
              </w:tc>
              <w:tc>
                <w:tcPr>
                  <w:tcW w:w="391" w:type="pct"/>
                  <w:tcBorders>
                    <w:tl2br w:val="nil"/>
                    <w:tr2bl w:val="nil"/>
                  </w:tcBorders>
                  <w:vAlign w:val="center"/>
                </w:tcPr>
                <w:p w14:paraId="52BBC35F">
                  <w:pPr>
                    <w:adjustRightInd/>
                    <w:snapToGrid/>
                    <w:spacing w:line="240" w:lineRule="auto"/>
                    <w:ind w:firstLine="0" w:firstLineChars="0"/>
                    <w:jc w:val="center"/>
                    <w:rPr>
                      <w:color w:val="FF0000"/>
                      <w:sz w:val="21"/>
                      <w:szCs w:val="21"/>
                    </w:rPr>
                  </w:pPr>
                  <w:r>
                    <w:rPr>
                      <w:color w:val="FF0000"/>
                      <w:sz w:val="21"/>
                      <w:szCs w:val="21"/>
                    </w:rPr>
                    <w:t>W</w:t>
                  </w:r>
                </w:p>
              </w:tc>
              <w:tc>
                <w:tcPr>
                  <w:tcW w:w="311" w:type="pct"/>
                  <w:tcBorders>
                    <w:tl2br w:val="nil"/>
                    <w:tr2bl w:val="nil"/>
                  </w:tcBorders>
                  <w:vAlign w:val="center"/>
                </w:tcPr>
                <w:p w14:paraId="38DD0A0A">
                  <w:pPr>
                    <w:adjustRightInd/>
                    <w:snapToGrid/>
                    <w:spacing w:line="240" w:lineRule="auto"/>
                    <w:ind w:firstLine="0" w:firstLineChars="0"/>
                    <w:jc w:val="center"/>
                    <w:rPr>
                      <w:color w:val="FF0000"/>
                      <w:sz w:val="21"/>
                      <w:szCs w:val="21"/>
                    </w:rPr>
                  </w:pPr>
                  <w:r>
                    <w:rPr>
                      <w:color w:val="FF0000"/>
                      <w:sz w:val="21"/>
                      <w:szCs w:val="21"/>
                    </w:rPr>
                    <w:t>100</w:t>
                  </w:r>
                </w:p>
              </w:tc>
            </w:tr>
          </w:tbl>
          <w:p w14:paraId="6F264F25">
            <w:pPr>
              <w:pStyle w:val="5"/>
              <w:keepNext w:val="0"/>
              <w:keepLines/>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FF0000"/>
                <w:sz w:val="21"/>
                <w:szCs w:val="21"/>
                <w:lang w:eastAsia="zh-CN"/>
              </w:rPr>
              <w:t>注：水体功能区划中没有</w:t>
            </w:r>
            <w:r>
              <w:rPr>
                <w:rFonts w:hint="eastAsia" w:ascii="宋体" w:hAnsi="宋体" w:eastAsia="宋体" w:cs="宋体"/>
                <w:b w:val="0"/>
                <w:bCs/>
                <w:color w:val="FF0000"/>
                <w:sz w:val="21"/>
                <w:szCs w:val="21"/>
              </w:rPr>
              <w:t>沟盘运河</w:t>
            </w:r>
            <w:r>
              <w:rPr>
                <w:rFonts w:hint="eastAsia" w:ascii="宋体" w:hAnsi="宋体" w:eastAsia="宋体" w:cs="宋体"/>
                <w:b w:val="0"/>
                <w:bCs/>
                <w:color w:val="FF0000"/>
                <w:sz w:val="21"/>
                <w:szCs w:val="21"/>
                <w:lang w:eastAsia="zh-CN"/>
              </w:rPr>
              <w:t>，用途为雨水退水。</w:t>
            </w:r>
          </w:p>
          <w:p w14:paraId="5D1D4972">
            <w:pPr>
              <w:pStyle w:val="5"/>
              <w:spacing w:before="120" w:after="120"/>
              <w:ind w:firstLine="562" w:firstLineChars="200"/>
              <w:rPr>
                <w:sz w:val="28"/>
              </w:rPr>
            </w:pPr>
            <w:r>
              <w:rPr>
                <w:sz w:val="28"/>
              </w:rPr>
              <w:t>2</w:t>
            </w:r>
            <w:r>
              <w:rPr>
                <w:rFonts w:hint="eastAsia"/>
                <w:sz w:val="28"/>
              </w:rPr>
              <w:t>、</w:t>
            </w:r>
            <w:r>
              <w:rPr>
                <w:sz w:val="28"/>
              </w:rPr>
              <w:t>声环境</w:t>
            </w:r>
          </w:p>
          <w:p w14:paraId="01C9744E">
            <w:pPr>
              <w:pStyle w:val="28"/>
              <w:ind w:firstLine="480"/>
              <w:rPr>
                <w:kern w:val="0"/>
                <w:szCs w:val="21"/>
              </w:rPr>
            </w:pPr>
            <w:r>
              <w:rPr>
                <w:kern w:val="0"/>
                <w:szCs w:val="21"/>
              </w:rPr>
              <w:t>厂界外50m范围内无声环境保护目标。</w:t>
            </w:r>
          </w:p>
          <w:p w14:paraId="7636A135">
            <w:pPr>
              <w:pStyle w:val="5"/>
              <w:spacing w:before="120" w:after="120"/>
              <w:ind w:firstLine="562" w:firstLineChars="200"/>
              <w:rPr>
                <w:sz w:val="28"/>
              </w:rPr>
            </w:pPr>
            <w:r>
              <w:rPr>
                <w:sz w:val="28"/>
              </w:rPr>
              <w:t>3</w:t>
            </w:r>
            <w:r>
              <w:rPr>
                <w:rFonts w:hint="eastAsia"/>
                <w:sz w:val="28"/>
              </w:rPr>
              <w:t>、</w:t>
            </w:r>
            <w:r>
              <w:rPr>
                <w:sz w:val="28"/>
              </w:rPr>
              <w:t>地下水环境</w:t>
            </w:r>
          </w:p>
          <w:p w14:paraId="57ACB19B">
            <w:pPr>
              <w:pStyle w:val="28"/>
              <w:ind w:firstLine="480"/>
            </w:pPr>
            <w:r>
              <w:rPr>
                <w:kern w:val="0"/>
                <w:szCs w:val="21"/>
              </w:rPr>
              <w:t>厂界外500m范围内无地下水集中式饮用水水源和热水、矿泉水、温泉等特殊地下水资源。</w:t>
            </w:r>
          </w:p>
          <w:p w14:paraId="24B508DE">
            <w:pPr>
              <w:pStyle w:val="5"/>
              <w:spacing w:before="120" w:after="120"/>
              <w:ind w:firstLine="562" w:firstLineChars="200"/>
              <w:rPr>
                <w:sz w:val="28"/>
              </w:rPr>
            </w:pPr>
            <w:r>
              <w:rPr>
                <w:sz w:val="28"/>
              </w:rPr>
              <w:t>4、生态环境</w:t>
            </w:r>
          </w:p>
          <w:p w14:paraId="3EDA4E6C">
            <w:pPr>
              <w:pStyle w:val="28"/>
              <w:ind w:firstLine="480"/>
            </w:pPr>
            <w:r>
              <w:t>本项目位于盘锦市盘山县辽宁新材料产业经济开发区，</w:t>
            </w:r>
            <w:r>
              <w:rPr>
                <w:szCs w:val="24"/>
              </w:rPr>
              <w:t>租用锦鹤门业公司部分厂房</w:t>
            </w:r>
            <w:r>
              <w:t>，用地范围内无生态保护目标。</w:t>
            </w:r>
          </w:p>
        </w:tc>
      </w:tr>
      <w:tr w14:paraId="7DAAE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717" w:type="dxa"/>
            <w:tcMar>
              <w:left w:w="28" w:type="dxa"/>
              <w:right w:w="28" w:type="dxa"/>
            </w:tcMar>
            <w:vAlign w:val="center"/>
          </w:tcPr>
          <w:p w14:paraId="50D80EA2">
            <w:pPr>
              <w:pStyle w:val="4"/>
              <w:spacing w:before="120" w:after="120"/>
            </w:pPr>
            <w:r>
              <w:t>污</w:t>
            </w:r>
          </w:p>
          <w:p w14:paraId="5D6514DF">
            <w:pPr>
              <w:pStyle w:val="4"/>
              <w:spacing w:before="120" w:after="120"/>
            </w:pPr>
            <w:r>
              <w:t>染</w:t>
            </w:r>
          </w:p>
          <w:p w14:paraId="7B575D32">
            <w:pPr>
              <w:pStyle w:val="4"/>
              <w:spacing w:before="120" w:after="120"/>
            </w:pPr>
            <w:r>
              <w:t>物</w:t>
            </w:r>
          </w:p>
          <w:p w14:paraId="1F477D33">
            <w:pPr>
              <w:pStyle w:val="4"/>
              <w:spacing w:before="120" w:after="120"/>
            </w:pPr>
            <w:r>
              <w:t>排</w:t>
            </w:r>
          </w:p>
          <w:p w14:paraId="2547355A">
            <w:pPr>
              <w:pStyle w:val="4"/>
              <w:spacing w:before="120" w:after="120"/>
            </w:pPr>
            <w:r>
              <w:t>放</w:t>
            </w:r>
          </w:p>
          <w:p w14:paraId="6A030A82">
            <w:pPr>
              <w:pStyle w:val="4"/>
              <w:spacing w:before="120" w:after="120"/>
            </w:pPr>
            <w:r>
              <w:t>控</w:t>
            </w:r>
          </w:p>
          <w:p w14:paraId="1B112F91">
            <w:pPr>
              <w:pStyle w:val="4"/>
              <w:spacing w:before="120" w:after="120"/>
            </w:pPr>
            <w:r>
              <w:t>制</w:t>
            </w:r>
          </w:p>
          <w:p w14:paraId="5FAF7476">
            <w:pPr>
              <w:pStyle w:val="4"/>
              <w:spacing w:before="120" w:after="120"/>
            </w:pPr>
            <w:r>
              <w:t>标</w:t>
            </w:r>
          </w:p>
          <w:p w14:paraId="3E1E0503">
            <w:pPr>
              <w:pStyle w:val="4"/>
              <w:spacing w:before="120" w:after="120"/>
            </w:pPr>
            <w:r>
              <w:t>准</w:t>
            </w:r>
          </w:p>
        </w:tc>
        <w:tc>
          <w:tcPr>
            <w:tcW w:w="8273" w:type="dxa"/>
            <w:vAlign w:val="center"/>
          </w:tcPr>
          <w:p w14:paraId="4FE07F7E">
            <w:pPr>
              <w:pStyle w:val="5"/>
              <w:spacing w:before="120" w:after="120"/>
              <w:ind w:firstLine="562" w:firstLineChars="200"/>
              <w:rPr>
                <w:sz w:val="28"/>
              </w:rPr>
            </w:pPr>
            <w:r>
              <w:rPr>
                <w:rFonts w:hint="eastAsia"/>
                <w:sz w:val="28"/>
              </w:rPr>
              <w:t>1、</w:t>
            </w:r>
            <w:r>
              <w:rPr>
                <w:sz w:val="28"/>
              </w:rPr>
              <w:t>噪声排放</w:t>
            </w:r>
          </w:p>
          <w:p w14:paraId="17085DB4">
            <w:pPr>
              <w:ind w:firstLine="480"/>
            </w:pPr>
            <w:r>
              <w:t>施工期场区边界噪声执行《建筑施工场界环境噪声排放标准》（GB12523-2011）中表1规定的排放限值，详见下表。</w:t>
            </w:r>
          </w:p>
          <w:p w14:paraId="595BF542">
            <w:pPr>
              <w:pStyle w:val="33"/>
              <w:spacing w:beforeLines="0"/>
              <w:rPr>
                <w:rFonts w:hint="default"/>
              </w:rPr>
            </w:pPr>
            <w:r>
              <w:rPr>
                <w:rFonts w:hint="default"/>
              </w:rPr>
              <w:t xml:space="preserve">表14  建筑施工场界噪声限值  单位： Leq[dB(A)] </w:t>
            </w:r>
          </w:p>
          <w:tbl>
            <w:tblPr>
              <w:tblStyle w:val="24"/>
              <w:tblW w:w="5000"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52"/>
              <w:gridCol w:w="3952"/>
            </w:tblGrid>
            <w:tr w14:paraId="6A3CEA1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0" w:type="pct"/>
                  <w:tcBorders>
                    <w:tl2br w:val="nil"/>
                    <w:tr2bl w:val="nil"/>
                  </w:tcBorders>
                  <w:vAlign w:val="center"/>
                </w:tcPr>
                <w:p w14:paraId="2BD9C7B4">
                  <w:pPr>
                    <w:pStyle w:val="32"/>
                    <w:spacing w:before="48" w:after="48"/>
                  </w:pPr>
                  <w:r>
                    <w:t>昼间</w:t>
                  </w:r>
                </w:p>
              </w:tc>
              <w:tc>
                <w:tcPr>
                  <w:tcW w:w="2500" w:type="pct"/>
                  <w:tcBorders>
                    <w:tl2br w:val="nil"/>
                    <w:tr2bl w:val="nil"/>
                  </w:tcBorders>
                  <w:vAlign w:val="center"/>
                </w:tcPr>
                <w:p w14:paraId="0BF16F43">
                  <w:pPr>
                    <w:pStyle w:val="32"/>
                    <w:spacing w:before="48" w:after="48"/>
                  </w:pPr>
                  <w:r>
                    <w:t>夜间</w:t>
                  </w:r>
                </w:p>
              </w:tc>
            </w:tr>
            <w:tr w14:paraId="22D3B1E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397" w:hRule="atLeast"/>
                <w:jc w:val="center"/>
              </w:trPr>
              <w:tc>
                <w:tcPr>
                  <w:tcW w:w="2500" w:type="pct"/>
                  <w:tcBorders>
                    <w:tl2br w:val="nil"/>
                    <w:tr2bl w:val="nil"/>
                  </w:tcBorders>
                  <w:vAlign w:val="center"/>
                </w:tcPr>
                <w:p w14:paraId="04E5B2AC">
                  <w:pPr>
                    <w:pStyle w:val="32"/>
                    <w:spacing w:before="48" w:after="48"/>
                  </w:pPr>
                  <w:r>
                    <w:t>70</w:t>
                  </w:r>
                </w:p>
              </w:tc>
              <w:tc>
                <w:tcPr>
                  <w:tcW w:w="2500" w:type="pct"/>
                  <w:tcBorders>
                    <w:tl2br w:val="nil"/>
                    <w:tr2bl w:val="nil"/>
                  </w:tcBorders>
                  <w:vAlign w:val="center"/>
                </w:tcPr>
                <w:p w14:paraId="05BCE9D1">
                  <w:pPr>
                    <w:pStyle w:val="32"/>
                    <w:spacing w:before="48" w:after="48"/>
                  </w:pPr>
                  <w:r>
                    <w:t>55</w:t>
                  </w:r>
                </w:p>
              </w:tc>
            </w:tr>
          </w:tbl>
          <w:p w14:paraId="6E27F2C5">
            <w:pPr>
              <w:ind w:firstLine="480"/>
            </w:pPr>
            <w:r>
              <w:t>运营期执行《工业企业厂界环境噪声排放标准》（GB12348-2008）3类标准。</w:t>
            </w:r>
          </w:p>
          <w:p w14:paraId="57AA07A0">
            <w:pPr>
              <w:pStyle w:val="33"/>
              <w:spacing w:beforeLines="0"/>
              <w:rPr>
                <w:rFonts w:hint="default"/>
              </w:rPr>
            </w:pPr>
            <w:r>
              <w:rPr>
                <w:rStyle w:val="36"/>
                <w:rFonts w:hint="default"/>
                <w:b/>
              </w:rPr>
              <w:t>表15  环境噪声排放限值          单位：dB（A）</w:t>
            </w:r>
          </w:p>
          <w:tbl>
            <w:tblPr>
              <w:tblStyle w:val="24"/>
              <w:tblW w:w="4999"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26"/>
              <w:gridCol w:w="2019"/>
              <w:gridCol w:w="2657"/>
            </w:tblGrid>
            <w:tr w14:paraId="30FBCD0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1" w:type="pct"/>
                  <w:vAlign w:val="center"/>
                </w:tcPr>
                <w:p w14:paraId="6388C17D">
                  <w:pPr>
                    <w:pStyle w:val="32"/>
                    <w:spacing w:before="48" w:after="48"/>
                  </w:pPr>
                  <w:r>
                    <w:t>标准</w:t>
                  </w:r>
                </w:p>
              </w:tc>
              <w:tc>
                <w:tcPr>
                  <w:tcW w:w="1277" w:type="pct"/>
                  <w:vAlign w:val="center"/>
                </w:tcPr>
                <w:p w14:paraId="75658062">
                  <w:pPr>
                    <w:pStyle w:val="32"/>
                    <w:spacing w:before="48" w:after="48"/>
                  </w:pPr>
                  <w:r>
                    <w:t>昼间</w:t>
                  </w:r>
                </w:p>
              </w:tc>
              <w:tc>
                <w:tcPr>
                  <w:tcW w:w="1681" w:type="pct"/>
                  <w:vAlign w:val="center"/>
                </w:tcPr>
                <w:p w14:paraId="0FB1A535">
                  <w:pPr>
                    <w:pStyle w:val="32"/>
                    <w:spacing w:before="48" w:after="48"/>
                  </w:pPr>
                  <w:r>
                    <w:t>夜间</w:t>
                  </w:r>
                </w:p>
              </w:tc>
            </w:tr>
            <w:tr w14:paraId="683C037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1" w:type="pct"/>
                  <w:vAlign w:val="center"/>
                </w:tcPr>
                <w:p w14:paraId="310AD177">
                  <w:pPr>
                    <w:pStyle w:val="32"/>
                    <w:spacing w:before="48" w:after="48"/>
                  </w:pPr>
                  <w:r>
                    <w:t>3类</w:t>
                  </w:r>
                </w:p>
              </w:tc>
              <w:tc>
                <w:tcPr>
                  <w:tcW w:w="1277" w:type="pct"/>
                  <w:vAlign w:val="center"/>
                </w:tcPr>
                <w:p w14:paraId="40BC5E4E">
                  <w:pPr>
                    <w:pStyle w:val="32"/>
                    <w:spacing w:before="48" w:after="48"/>
                  </w:pPr>
                  <w:r>
                    <w:t>65</w:t>
                  </w:r>
                </w:p>
              </w:tc>
              <w:tc>
                <w:tcPr>
                  <w:tcW w:w="1681" w:type="pct"/>
                  <w:vAlign w:val="center"/>
                </w:tcPr>
                <w:p w14:paraId="0746B38A">
                  <w:pPr>
                    <w:pStyle w:val="32"/>
                    <w:spacing w:before="48" w:after="48"/>
                  </w:pPr>
                  <w:r>
                    <w:t>55</w:t>
                  </w:r>
                </w:p>
              </w:tc>
            </w:tr>
          </w:tbl>
          <w:p w14:paraId="46F542BE">
            <w:pPr>
              <w:pStyle w:val="5"/>
              <w:spacing w:before="120" w:after="120"/>
              <w:ind w:firstLine="562" w:firstLineChars="200"/>
              <w:rPr>
                <w:sz w:val="28"/>
              </w:rPr>
            </w:pPr>
            <w:r>
              <w:rPr>
                <w:sz w:val="28"/>
              </w:rPr>
              <w:t>2、大气污染物排放</w:t>
            </w:r>
          </w:p>
          <w:p w14:paraId="6E581A61">
            <w:pPr>
              <w:tabs>
                <w:tab w:val="left" w:pos="539"/>
                <w:tab w:val="left" w:pos="1257"/>
              </w:tabs>
              <w:ind w:firstLine="480"/>
              <w:rPr>
                <w:color w:val="FF0000"/>
              </w:rPr>
            </w:pPr>
            <w:r>
              <w:rPr>
                <w:color w:val="FF0000"/>
              </w:rPr>
              <w:t>本项目切割工序产生的切割粉尘参照执行《水泥工业大气污染物排放标准》（GB4915-2013）中表2大气污染物特别排放限值中相关要求（颗粒物：10mg/m</w:t>
            </w:r>
            <w:r>
              <w:rPr>
                <w:color w:val="FF0000"/>
                <w:vertAlign w:val="superscript"/>
              </w:rPr>
              <w:t>3</w:t>
            </w:r>
            <w:r>
              <w:rPr>
                <w:color w:val="FF0000"/>
              </w:rPr>
              <w:t>）。</w:t>
            </w:r>
          </w:p>
          <w:p w14:paraId="1B587ADE">
            <w:pPr>
              <w:tabs>
                <w:tab w:val="left" w:pos="539"/>
                <w:tab w:val="left" w:pos="1257"/>
              </w:tabs>
              <w:ind w:firstLine="480"/>
              <w:rPr>
                <w:color w:val="FF0000"/>
              </w:rPr>
            </w:pPr>
            <w:r>
              <w:rPr>
                <w:color w:val="FF0000"/>
              </w:rPr>
              <w:t>本项目投料工序产生的粉尘、水泥料仓产生的粉尘参照执行《水泥工业大气污染物排放标准》（GB4915-2013）表3中相关要求（颗粒物：0.5mg/m</w:t>
            </w:r>
            <w:r>
              <w:rPr>
                <w:color w:val="FF0000"/>
                <w:vertAlign w:val="superscript"/>
              </w:rPr>
              <w:t>3</w:t>
            </w:r>
            <w:r>
              <w:rPr>
                <w:color w:val="FF0000"/>
              </w:rPr>
              <w:t>）。</w:t>
            </w:r>
          </w:p>
          <w:p w14:paraId="6B454031">
            <w:pPr>
              <w:tabs>
                <w:tab w:val="left" w:pos="539"/>
                <w:tab w:val="left" w:pos="1257"/>
              </w:tabs>
              <w:ind w:firstLine="480"/>
              <w:rPr>
                <w:color w:val="FF0000"/>
              </w:rPr>
            </w:pPr>
            <w:r>
              <w:rPr>
                <w:color w:val="FF0000"/>
              </w:rPr>
              <w:t>本项目发泡工序产生的非甲烷总烃参照执行《</w:t>
            </w:r>
            <w:r>
              <w:rPr>
                <w:rFonts w:hint="eastAsia"/>
                <w:color w:val="FF0000"/>
                <w:lang w:eastAsia="zh-CN"/>
              </w:rPr>
              <w:t>大气污染物综合排放标准</w:t>
            </w:r>
            <w:r>
              <w:rPr>
                <w:color w:val="FF0000"/>
              </w:rPr>
              <w:t>》（GB</w:t>
            </w:r>
            <w:r>
              <w:rPr>
                <w:rFonts w:hint="eastAsia"/>
                <w:color w:val="FF0000"/>
                <w:lang w:val="en-US" w:eastAsia="zh-CN"/>
              </w:rPr>
              <w:t>16297-1996</w:t>
            </w:r>
            <w:r>
              <w:rPr>
                <w:color w:val="FF0000"/>
              </w:rPr>
              <w:t>）中相关要求。</w:t>
            </w:r>
          </w:p>
          <w:p w14:paraId="759F6DB0">
            <w:pPr>
              <w:tabs>
                <w:tab w:val="left" w:pos="539"/>
                <w:tab w:val="left" w:pos="1257"/>
              </w:tabs>
              <w:spacing w:line="440" w:lineRule="exact"/>
              <w:ind w:firstLine="0" w:firstLineChars="0"/>
              <w:jc w:val="center"/>
              <w:rPr>
                <w:b/>
                <w:color w:val="FF0000"/>
                <w:szCs w:val="20"/>
              </w:rPr>
            </w:pPr>
            <w:r>
              <w:rPr>
                <w:b/>
                <w:color w:val="FF0000"/>
                <w:szCs w:val="20"/>
              </w:rPr>
              <w:t>表16  非甲烷总烃排放限值</w:t>
            </w:r>
          </w:p>
          <w:tbl>
            <w:tblPr>
              <w:tblStyle w:val="24"/>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2066"/>
              <w:gridCol w:w="1827"/>
              <w:gridCol w:w="2660"/>
            </w:tblGrid>
            <w:tr w14:paraId="38F2ABE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53" w:type="pct"/>
                  <w:vAlign w:val="center"/>
                </w:tcPr>
                <w:p w14:paraId="19B62595">
                  <w:pPr>
                    <w:spacing w:line="240" w:lineRule="auto"/>
                    <w:ind w:firstLine="0" w:firstLineChars="0"/>
                    <w:jc w:val="center"/>
                    <w:rPr>
                      <w:color w:val="FF0000"/>
                      <w:sz w:val="21"/>
                      <w:szCs w:val="21"/>
                    </w:rPr>
                  </w:pPr>
                  <w:r>
                    <w:rPr>
                      <w:color w:val="FF0000"/>
                      <w:sz w:val="21"/>
                    </w:rPr>
                    <w:t>污染物</w:t>
                  </w:r>
                </w:p>
              </w:tc>
              <w:tc>
                <w:tcPr>
                  <w:tcW w:w="1307" w:type="pct"/>
                  <w:vAlign w:val="center"/>
                </w:tcPr>
                <w:p w14:paraId="2728481C">
                  <w:pPr>
                    <w:spacing w:line="240" w:lineRule="auto"/>
                    <w:ind w:firstLine="0" w:firstLineChars="0"/>
                    <w:jc w:val="center"/>
                    <w:rPr>
                      <w:color w:val="FF0000"/>
                      <w:sz w:val="21"/>
                      <w:szCs w:val="21"/>
                    </w:rPr>
                  </w:pPr>
                  <w:r>
                    <w:rPr>
                      <w:color w:val="FF0000"/>
                      <w:sz w:val="21"/>
                    </w:rPr>
                    <w:t>排放限值（mg/m</w:t>
                  </w:r>
                  <w:r>
                    <w:rPr>
                      <w:color w:val="FF0000"/>
                      <w:sz w:val="21"/>
                      <w:vertAlign w:val="superscript"/>
                    </w:rPr>
                    <w:t>3</w:t>
                  </w:r>
                  <w:r>
                    <w:rPr>
                      <w:color w:val="FF0000"/>
                      <w:sz w:val="21"/>
                    </w:rPr>
                    <w:t>）</w:t>
                  </w:r>
                </w:p>
              </w:tc>
              <w:tc>
                <w:tcPr>
                  <w:tcW w:w="1156" w:type="pct"/>
                  <w:vAlign w:val="center"/>
                </w:tcPr>
                <w:p w14:paraId="38A88B85">
                  <w:pPr>
                    <w:spacing w:line="240" w:lineRule="auto"/>
                    <w:ind w:firstLine="0" w:firstLineChars="0"/>
                    <w:jc w:val="center"/>
                    <w:rPr>
                      <w:rFonts w:hint="eastAsia" w:eastAsia="宋体"/>
                      <w:color w:val="FF0000"/>
                      <w:sz w:val="21"/>
                      <w:lang w:eastAsia="zh-CN"/>
                    </w:rPr>
                  </w:pPr>
                  <w:r>
                    <w:rPr>
                      <w:rFonts w:hint="eastAsia"/>
                      <w:color w:val="FF0000"/>
                      <w:sz w:val="21"/>
                      <w:lang w:eastAsia="zh-CN"/>
                    </w:rPr>
                    <w:t>排放速率（</w:t>
                  </w:r>
                  <w:r>
                    <w:rPr>
                      <w:rFonts w:hint="eastAsia"/>
                      <w:color w:val="FF0000"/>
                      <w:sz w:val="21"/>
                      <w:lang w:val="en-US" w:eastAsia="zh-CN"/>
                    </w:rPr>
                    <w:t>kg/h</w:t>
                  </w:r>
                  <w:r>
                    <w:rPr>
                      <w:rFonts w:hint="eastAsia"/>
                      <w:color w:val="FF0000"/>
                      <w:sz w:val="21"/>
                      <w:lang w:eastAsia="zh-CN"/>
                    </w:rPr>
                    <w:t>）</w:t>
                  </w:r>
                </w:p>
              </w:tc>
              <w:tc>
                <w:tcPr>
                  <w:tcW w:w="1682" w:type="pct"/>
                  <w:vAlign w:val="center"/>
                </w:tcPr>
                <w:p w14:paraId="44DCB553">
                  <w:pPr>
                    <w:spacing w:line="240" w:lineRule="auto"/>
                    <w:ind w:firstLine="0" w:firstLineChars="0"/>
                    <w:jc w:val="center"/>
                    <w:rPr>
                      <w:color w:val="FF0000"/>
                      <w:sz w:val="21"/>
                      <w:szCs w:val="21"/>
                    </w:rPr>
                  </w:pPr>
                  <w:r>
                    <w:rPr>
                      <w:color w:val="FF0000"/>
                      <w:sz w:val="21"/>
                    </w:rPr>
                    <w:t>监控位置</w:t>
                  </w:r>
                </w:p>
              </w:tc>
            </w:tr>
            <w:tr w14:paraId="7BFCDCA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53" w:type="pct"/>
                  <w:vMerge w:val="restart"/>
                  <w:vAlign w:val="center"/>
                </w:tcPr>
                <w:p w14:paraId="32683753">
                  <w:pPr>
                    <w:spacing w:line="240" w:lineRule="auto"/>
                    <w:ind w:firstLine="0" w:firstLineChars="0"/>
                    <w:jc w:val="center"/>
                    <w:rPr>
                      <w:color w:val="FF0000"/>
                      <w:sz w:val="21"/>
                    </w:rPr>
                  </w:pPr>
                  <w:r>
                    <w:rPr>
                      <w:color w:val="FF0000"/>
                      <w:sz w:val="21"/>
                    </w:rPr>
                    <w:t>非甲烷总烃</w:t>
                  </w:r>
                </w:p>
              </w:tc>
              <w:tc>
                <w:tcPr>
                  <w:tcW w:w="1307" w:type="pct"/>
                  <w:vAlign w:val="center"/>
                </w:tcPr>
                <w:p w14:paraId="5F89EF96">
                  <w:pPr>
                    <w:spacing w:line="240" w:lineRule="auto"/>
                    <w:ind w:firstLine="0" w:firstLineChars="0"/>
                    <w:jc w:val="center"/>
                    <w:rPr>
                      <w:color w:val="FF0000"/>
                      <w:sz w:val="21"/>
                    </w:rPr>
                  </w:pPr>
                  <w:r>
                    <w:rPr>
                      <w:rFonts w:hint="eastAsia"/>
                      <w:color w:val="FF0000"/>
                      <w:sz w:val="21"/>
                      <w:lang w:val="en-US" w:eastAsia="zh-CN"/>
                    </w:rPr>
                    <w:t>120</w:t>
                  </w:r>
                  <w:r>
                    <w:rPr>
                      <w:color w:val="FF0000"/>
                      <w:sz w:val="21"/>
                    </w:rPr>
                    <w:t>（有组织）</w:t>
                  </w:r>
                </w:p>
              </w:tc>
              <w:tc>
                <w:tcPr>
                  <w:tcW w:w="1156" w:type="pct"/>
                  <w:vAlign w:val="center"/>
                </w:tcPr>
                <w:p w14:paraId="31B31B4B">
                  <w:pPr>
                    <w:spacing w:line="240" w:lineRule="auto"/>
                    <w:ind w:firstLine="0" w:firstLineChars="0"/>
                    <w:jc w:val="center"/>
                    <w:rPr>
                      <w:rFonts w:hint="default"/>
                      <w:color w:val="FF0000"/>
                      <w:sz w:val="21"/>
                      <w:lang w:val="en-US" w:eastAsia="zh-CN"/>
                    </w:rPr>
                  </w:pPr>
                  <w:r>
                    <w:rPr>
                      <w:rFonts w:hint="eastAsia"/>
                      <w:color w:val="FF0000"/>
                      <w:sz w:val="21"/>
                      <w:lang w:val="en-US" w:eastAsia="zh-CN"/>
                    </w:rPr>
                    <w:t>53</w:t>
                  </w:r>
                </w:p>
              </w:tc>
              <w:tc>
                <w:tcPr>
                  <w:tcW w:w="1682" w:type="pct"/>
                  <w:vAlign w:val="center"/>
                </w:tcPr>
                <w:p w14:paraId="7A9F09B1">
                  <w:pPr>
                    <w:spacing w:line="240" w:lineRule="auto"/>
                    <w:ind w:firstLine="0" w:firstLineChars="0"/>
                    <w:jc w:val="center"/>
                    <w:rPr>
                      <w:color w:val="FF0000"/>
                      <w:sz w:val="21"/>
                      <w:szCs w:val="21"/>
                    </w:rPr>
                  </w:pPr>
                  <w:r>
                    <w:rPr>
                      <w:color w:val="FF0000"/>
                      <w:sz w:val="21"/>
                      <w:szCs w:val="21"/>
                    </w:rPr>
                    <w:t>车间或生产设施排气筒</w:t>
                  </w:r>
                </w:p>
              </w:tc>
            </w:tr>
            <w:tr w14:paraId="6D25BA8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53" w:type="pct"/>
                  <w:vMerge w:val="continue"/>
                  <w:vAlign w:val="center"/>
                </w:tcPr>
                <w:p w14:paraId="4B0E99B5">
                  <w:pPr>
                    <w:spacing w:line="240" w:lineRule="auto"/>
                    <w:ind w:firstLine="0" w:firstLineChars="0"/>
                    <w:jc w:val="center"/>
                    <w:rPr>
                      <w:color w:val="FF0000"/>
                      <w:sz w:val="21"/>
                    </w:rPr>
                  </w:pPr>
                </w:p>
              </w:tc>
              <w:tc>
                <w:tcPr>
                  <w:tcW w:w="1307" w:type="pct"/>
                  <w:vAlign w:val="center"/>
                </w:tcPr>
                <w:p w14:paraId="2D575E7B">
                  <w:pPr>
                    <w:spacing w:line="240" w:lineRule="auto"/>
                    <w:ind w:firstLine="0" w:firstLineChars="0"/>
                    <w:jc w:val="center"/>
                    <w:rPr>
                      <w:color w:val="FF0000"/>
                      <w:sz w:val="21"/>
                    </w:rPr>
                  </w:pPr>
                  <w:r>
                    <w:rPr>
                      <w:color w:val="FF0000"/>
                      <w:sz w:val="21"/>
                    </w:rPr>
                    <w:t>4.0（无组织）</w:t>
                  </w:r>
                </w:p>
              </w:tc>
              <w:tc>
                <w:tcPr>
                  <w:tcW w:w="1156" w:type="pct"/>
                  <w:vAlign w:val="center"/>
                </w:tcPr>
                <w:p w14:paraId="3D9BB145">
                  <w:pPr>
                    <w:spacing w:line="240" w:lineRule="auto"/>
                    <w:ind w:firstLine="0" w:firstLineChars="0"/>
                    <w:jc w:val="center"/>
                    <w:rPr>
                      <w:rFonts w:hint="eastAsia" w:eastAsia="宋体"/>
                      <w:color w:val="FF0000"/>
                      <w:sz w:val="21"/>
                      <w:lang w:val="en-US" w:eastAsia="zh-CN"/>
                    </w:rPr>
                  </w:pPr>
                  <w:r>
                    <w:rPr>
                      <w:rFonts w:hint="eastAsia"/>
                      <w:color w:val="FF0000"/>
                      <w:sz w:val="21"/>
                      <w:lang w:val="en-US" w:eastAsia="zh-CN"/>
                    </w:rPr>
                    <w:t>-</w:t>
                  </w:r>
                </w:p>
              </w:tc>
              <w:tc>
                <w:tcPr>
                  <w:tcW w:w="1682" w:type="pct"/>
                  <w:vAlign w:val="center"/>
                </w:tcPr>
                <w:p w14:paraId="7A08C6A9">
                  <w:pPr>
                    <w:spacing w:line="240" w:lineRule="auto"/>
                    <w:ind w:firstLine="0" w:firstLineChars="0"/>
                    <w:jc w:val="center"/>
                    <w:rPr>
                      <w:color w:val="FF0000"/>
                      <w:sz w:val="21"/>
                      <w:szCs w:val="21"/>
                    </w:rPr>
                  </w:pPr>
                  <w:r>
                    <w:rPr>
                      <w:color w:val="FF0000"/>
                      <w:sz w:val="21"/>
                      <w:szCs w:val="21"/>
                    </w:rPr>
                    <w:t>企业边界</w:t>
                  </w:r>
                </w:p>
              </w:tc>
            </w:tr>
          </w:tbl>
          <w:p w14:paraId="4135AA8F">
            <w:pPr>
              <w:tabs>
                <w:tab w:val="left" w:pos="539"/>
                <w:tab w:val="left" w:pos="1257"/>
              </w:tabs>
              <w:spacing w:line="440" w:lineRule="exact"/>
              <w:ind w:firstLine="480"/>
              <w:rPr>
                <w:rFonts w:hint="default" w:eastAsia="宋体"/>
                <w:color w:val="FF0000"/>
                <w:sz w:val="24"/>
                <w:szCs w:val="24"/>
                <w:lang w:val="en-US" w:eastAsia="zh-CN"/>
              </w:rPr>
            </w:pPr>
            <w:r>
              <w:rPr>
                <w:color w:val="FF0000"/>
              </w:rPr>
              <w:t>根据《盘锦市环境保护局关于加强生物质锅炉环保管理的通知》（盘环发[2018]273号），本项目生物质蒸汽发生器排放的废气执行《锅炉大气污染物排放标准》（GB13271-2014）中燃气锅炉排放要求。</w:t>
            </w:r>
            <w:r>
              <w:rPr>
                <w:rFonts w:hint="eastAsia"/>
                <w:color w:val="FF0000"/>
                <w:sz w:val="24"/>
                <w:szCs w:val="24"/>
                <w:lang w:val="en-US" w:eastAsia="zh-CN"/>
              </w:rPr>
              <w:t>根据</w:t>
            </w:r>
            <w:r>
              <w:rPr>
                <w:color w:val="FF0000"/>
                <w:sz w:val="24"/>
                <w:szCs w:val="24"/>
              </w:rPr>
              <w:t>《锅炉大气污染物排放标准》（GB13271-2014）</w:t>
            </w:r>
            <w:r>
              <w:rPr>
                <w:rFonts w:hint="eastAsia"/>
                <w:color w:val="FF0000"/>
                <w:sz w:val="24"/>
                <w:szCs w:val="24"/>
                <w:lang w:val="en-US" w:eastAsia="zh-CN"/>
              </w:rPr>
              <w:t>中相关要求，汞及其化合物参照燃煤锅炉的限值（汞及其化合物：0.05</w:t>
            </w:r>
            <w:r>
              <w:rPr>
                <w:color w:val="FF0000"/>
                <w:sz w:val="24"/>
                <w:szCs w:val="24"/>
              </w:rPr>
              <w:t>mg/m</w:t>
            </w:r>
            <w:r>
              <w:rPr>
                <w:color w:val="FF0000"/>
                <w:sz w:val="24"/>
                <w:szCs w:val="24"/>
                <w:vertAlign w:val="superscript"/>
              </w:rPr>
              <w:t>3</w:t>
            </w:r>
            <w:r>
              <w:rPr>
                <w:rFonts w:hint="eastAsia"/>
                <w:color w:val="FF0000"/>
                <w:sz w:val="24"/>
                <w:szCs w:val="24"/>
                <w:lang w:val="en-US" w:eastAsia="zh-CN"/>
              </w:rPr>
              <w:t>）。</w:t>
            </w:r>
          </w:p>
          <w:p w14:paraId="563C55BA">
            <w:pPr>
              <w:tabs>
                <w:tab w:val="left" w:pos="539"/>
                <w:tab w:val="left" w:pos="1257"/>
              </w:tabs>
              <w:spacing w:line="440" w:lineRule="exact"/>
              <w:ind w:firstLine="0" w:firstLineChars="0"/>
              <w:jc w:val="center"/>
              <w:rPr>
                <w:b/>
                <w:color w:val="FF0000"/>
                <w:szCs w:val="20"/>
              </w:rPr>
            </w:pPr>
            <w:r>
              <w:rPr>
                <w:b/>
                <w:color w:val="FF0000"/>
                <w:szCs w:val="20"/>
              </w:rPr>
              <w:t>表17  锅炉大气污染物特别排放限值</w:t>
            </w:r>
          </w:p>
          <w:tbl>
            <w:tblPr>
              <w:tblStyle w:val="24"/>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2634"/>
              <w:gridCol w:w="2635"/>
            </w:tblGrid>
            <w:tr w14:paraId="0A8CB33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5" w:type="pct"/>
                  <w:vMerge w:val="restart"/>
                  <w:tcBorders>
                    <w:tl2br w:val="nil"/>
                    <w:tr2bl w:val="nil"/>
                  </w:tcBorders>
                  <w:vAlign w:val="center"/>
                </w:tcPr>
                <w:p w14:paraId="51A90F6A">
                  <w:pPr>
                    <w:pStyle w:val="2"/>
                    <w:spacing w:after="0" w:line="240" w:lineRule="auto"/>
                    <w:ind w:left="0" w:leftChars="0" w:firstLine="0" w:firstLineChars="0"/>
                    <w:jc w:val="center"/>
                    <w:rPr>
                      <w:color w:val="FF0000"/>
                      <w:sz w:val="21"/>
                      <w:szCs w:val="21"/>
                    </w:rPr>
                  </w:pPr>
                  <w:r>
                    <w:rPr>
                      <w:color w:val="FF0000"/>
                      <w:sz w:val="21"/>
                      <w:szCs w:val="21"/>
                    </w:rPr>
                    <w:t>污染物项目</w:t>
                  </w:r>
                </w:p>
              </w:tc>
              <w:tc>
                <w:tcPr>
                  <w:tcW w:w="1666" w:type="pct"/>
                  <w:tcBorders>
                    <w:tl2br w:val="nil"/>
                    <w:tr2bl w:val="nil"/>
                  </w:tcBorders>
                  <w:vAlign w:val="center"/>
                </w:tcPr>
                <w:p w14:paraId="4033DDAB">
                  <w:pPr>
                    <w:pStyle w:val="2"/>
                    <w:spacing w:after="0" w:line="240" w:lineRule="auto"/>
                    <w:ind w:left="0" w:leftChars="0" w:firstLine="0" w:firstLineChars="0"/>
                    <w:jc w:val="center"/>
                    <w:rPr>
                      <w:color w:val="FF0000"/>
                      <w:sz w:val="21"/>
                      <w:szCs w:val="21"/>
                    </w:rPr>
                  </w:pPr>
                  <w:r>
                    <w:rPr>
                      <w:color w:val="FF0000"/>
                      <w:sz w:val="21"/>
                      <w:szCs w:val="21"/>
                    </w:rPr>
                    <w:t>限值</w:t>
                  </w:r>
                </w:p>
              </w:tc>
              <w:tc>
                <w:tcPr>
                  <w:tcW w:w="1667" w:type="pct"/>
                  <w:vMerge w:val="restart"/>
                  <w:tcBorders>
                    <w:tl2br w:val="nil"/>
                    <w:tr2bl w:val="nil"/>
                  </w:tcBorders>
                  <w:vAlign w:val="center"/>
                </w:tcPr>
                <w:p w14:paraId="23AC1004">
                  <w:pPr>
                    <w:pStyle w:val="2"/>
                    <w:spacing w:after="0" w:line="240" w:lineRule="auto"/>
                    <w:ind w:left="0" w:leftChars="0" w:firstLine="0" w:firstLineChars="0"/>
                    <w:jc w:val="center"/>
                    <w:rPr>
                      <w:color w:val="FF0000"/>
                      <w:sz w:val="21"/>
                      <w:szCs w:val="21"/>
                    </w:rPr>
                  </w:pPr>
                  <w:r>
                    <w:rPr>
                      <w:color w:val="FF0000"/>
                      <w:sz w:val="21"/>
                      <w:szCs w:val="21"/>
                    </w:rPr>
                    <w:t>污染物排放监控位置</w:t>
                  </w:r>
                </w:p>
              </w:tc>
            </w:tr>
            <w:tr w14:paraId="237D5B4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5" w:type="pct"/>
                  <w:vMerge w:val="continue"/>
                  <w:tcBorders>
                    <w:tl2br w:val="nil"/>
                    <w:tr2bl w:val="nil"/>
                  </w:tcBorders>
                  <w:vAlign w:val="center"/>
                </w:tcPr>
                <w:p w14:paraId="38A3FB1F">
                  <w:pPr>
                    <w:pStyle w:val="2"/>
                    <w:spacing w:after="0" w:line="240" w:lineRule="auto"/>
                    <w:ind w:left="0" w:leftChars="0" w:firstLine="0" w:firstLineChars="0"/>
                    <w:jc w:val="center"/>
                    <w:rPr>
                      <w:color w:val="FF0000"/>
                      <w:sz w:val="21"/>
                      <w:szCs w:val="21"/>
                    </w:rPr>
                  </w:pPr>
                </w:p>
              </w:tc>
              <w:tc>
                <w:tcPr>
                  <w:tcW w:w="1666" w:type="pct"/>
                  <w:tcBorders>
                    <w:tl2br w:val="nil"/>
                    <w:tr2bl w:val="nil"/>
                  </w:tcBorders>
                  <w:vAlign w:val="center"/>
                </w:tcPr>
                <w:p w14:paraId="647A8304">
                  <w:pPr>
                    <w:pStyle w:val="2"/>
                    <w:spacing w:after="0" w:line="240" w:lineRule="auto"/>
                    <w:ind w:left="0" w:leftChars="0" w:firstLine="0" w:firstLineChars="0"/>
                    <w:jc w:val="center"/>
                    <w:rPr>
                      <w:color w:val="FF0000"/>
                      <w:sz w:val="21"/>
                      <w:szCs w:val="21"/>
                    </w:rPr>
                  </w:pPr>
                  <w:r>
                    <w:rPr>
                      <w:color w:val="FF0000"/>
                      <w:sz w:val="21"/>
                      <w:szCs w:val="21"/>
                    </w:rPr>
                    <w:t>燃气锅炉（mg/m</w:t>
                  </w:r>
                  <w:r>
                    <w:rPr>
                      <w:color w:val="FF0000"/>
                      <w:sz w:val="21"/>
                      <w:szCs w:val="21"/>
                      <w:vertAlign w:val="superscript"/>
                    </w:rPr>
                    <w:t>3</w:t>
                  </w:r>
                  <w:r>
                    <w:rPr>
                      <w:color w:val="FF0000"/>
                      <w:sz w:val="21"/>
                      <w:szCs w:val="21"/>
                    </w:rPr>
                    <w:t>）</w:t>
                  </w:r>
                </w:p>
              </w:tc>
              <w:tc>
                <w:tcPr>
                  <w:tcW w:w="1667" w:type="pct"/>
                  <w:vMerge w:val="continue"/>
                  <w:tcBorders>
                    <w:tl2br w:val="nil"/>
                    <w:tr2bl w:val="nil"/>
                  </w:tcBorders>
                  <w:vAlign w:val="center"/>
                </w:tcPr>
                <w:p w14:paraId="76B41ABC">
                  <w:pPr>
                    <w:pStyle w:val="2"/>
                    <w:spacing w:after="0" w:line="240" w:lineRule="auto"/>
                    <w:ind w:left="0" w:leftChars="0" w:firstLine="0" w:firstLineChars="0"/>
                    <w:jc w:val="center"/>
                    <w:rPr>
                      <w:color w:val="FF0000"/>
                      <w:sz w:val="21"/>
                      <w:szCs w:val="21"/>
                    </w:rPr>
                  </w:pPr>
                </w:p>
              </w:tc>
            </w:tr>
            <w:tr w14:paraId="77BD279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5" w:type="pct"/>
                  <w:tcBorders>
                    <w:tl2br w:val="nil"/>
                    <w:tr2bl w:val="nil"/>
                  </w:tcBorders>
                  <w:vAlign w:val="center"/>
                </w:tcPr>
                <w:p w14:paraId="032C67A8">
                  <w:pPr>
                    <w:pStyle w:val="2"/>
                    <w:spacing w:after="0" w:line="240" w:lineRule="auto"/>
                    <w:ind w:left="0" w:leftChars="0" w:firstLine="0" w:firstLineChars="0"/>
                    <w:jc w:val="center"/>
                    <w:rPr>
                      <w:color w:val="FF0000"/>
                      <w:sz w:val="21"/>
                      <w:szCs w:val="21"/>
                    </w:rPr>
                  </w:pPr>
                  <w:r>
                    <w:rPr>
                      <w:color w:val="FF0000"/>
                      <w:sz w:val="21"/>
                      <w:szCs w:val="21"/>
                    </w:rPr>
                    <w:t>颗粒物</w:t>
                  </w:r>
                </w:p>
              </w:tc>
              <w:tc>
                <w:tcPr>
                  <w:tcW w:w="1666" w:type="pct"/>
                  <w:tcBorders>
                    <w:tl2br w:val="nil"/>
                    <w:tr2bl w:val="nil"/>
                  </w:tcBorders>
                  <w:vAlign w:val="center"/>
                </w:tcPr>
                <w:p w14:paraId="4A3DFFF1">
                  <w:pPr>
                    <w:pStyle w:val="2"/>
                    <w:spacing w:after="0" w:line="240" w:lineRule="auto"/>
                    <w:ind w:left="0" w:leftChars="0" w:firstLine="0" w:firstLineChars="0"/>
                    <w:jc w:val="center"/>
                    <w:rPr>
                      <w:color w:val="FF0000"/>
                      <w:sz w:val="21"/>
                      <w:szCs w:val="21"/>
                    </w:rPr>
                  </w:pPr>
                  <w:r>
                    <w:rPr>
                      <w:color w:val="FF0000"/>
                      <w:sz w:val="21"/>
                      <w:szCs w:val="21"/>
                    </w:rPr>
                    <w:t>20</w:t>
                  </w:r>
                </w:p>
              </w:tc>
              <w:tc>
                <w:tcPr>
                  <w:tcW w:w="1667" w:type="pct"/>
                  <w:vMerge w:val="restart"/>
                  <w:tcBorders>
                    <w:tl2br w:val="nil"/>
                    <w:tr2bl w:val="nil"/>
                  </w:tcBorders>
                  <w:vAlign w:val="center"/>
                </w:tcPr>
                <w:p w14:paraId="34D43FDE">
                  <w:pPr>
                    <w:pStyle w:val="2"/>
                    <w:spacing w:after="0" w:line="240" w:lineRule="auto"/>
                    <w:ind w:left="0" w:leftChars="0" w:firstLine="0" w:firstLineChars="0"/>
                    <w:jc w:val="center"/>
                    <w:rPr>
                      <w:color w:val="FF0000"/>
                      <w:sz w:val="21"/>
                      <w:szCs w:val="21"/>
                    </w:rPr>
                  </w:pPr>
                  <w:r>
                    <w:rPr>
                      <w:color w:val="FF0000"/>
                      <w:sz w:val="21"/>
                      <w:szCs w:val="21"/>
                    </w:rPr>
                    <w:t>烟囱或烟道</w:t>
                  </w:r>
                </w:p>
              </w:tc>
            </w:tr>
            <w:tr w14:paraId="3FBEE8D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5" w:type="pct"/>
                  <w:tcBorders>
                    <w:tl2br w:val="nil"/>
                    <w:tr2bl w:val="nil"/>
                  </w:tcBorders>
                  <w:vAlign w:val="center"/>
                </w:tcPr>
                <w:p w14:paraId="280C62D0">
                  <w:pPr>
                    <w:pStyle w:val="2"/>
                    <w:spacing w:after="0" w:line="240" w:lineRule="auto"/>
                    <w:ind w:left="0" w:leftChars="0" w:firstLine="0" w:firstLineChars="0"/>
                    <w:jc w:val="center"/>
                    <w:rPr>
                      <w:color w:val="FF0000"/>
                      <w:sz w:val="21"/>
                      <w:szCs w:val="21"/>
                    </w:rPr>
                  </w:pPr>
                  <w:r>
                    <w:rPr>
                      <w:color w:val="FF0000"/>
                      <w:sz w:val="21"/>
                      <w:szCs w:val="21"/>
                    </w:rPr>
                    <w:t>二氧化硫</w:t>
                  </w:r>
                </w:p>
              </w:tc>
              <w:tc>
                <w:tcPr>
                  <w:tcW w:w="1666" w:type="pct"/>
                  <w:tcBorders>
                    <w:tl2br w:val="nil"/>
                    <w:tr2bl w:val="nil"/>
                  </w:tcBorders>
                  <w:vAlign w:val="center"/>
                </w:tcPr>
                <w:p w14:paraId="3EB1E36F">
                  <w:pPr>
                    <w:pStyle w:val="2"/>
                    <w:spacing w:after="0" w:line="240" w:lineRule="auto"/>
                    <w:ind w:left="0" w:leftChars="0" w:firstLine="0" w:firstLineChars="0"/>
                    <w:jc w:val="center"/>
                    <w:rPr>
                      <w:color w:val="FF0000"/>
                      <w:sz w:val="21"/>
                      <w:szCs w:val="21"/>
                    </w:rPr>
                  </w:pPr>
                  <w:r>
                    <w:rPr>
                      <w:color w:val="FF0000"/>
                      <w:sz w:val="21"/>
                      <w:szCs w:val="21"/>
                    </w:rPr>
                    <w:t>50</w:t>
                  </w:r>
                </w:p>
              </w:tc>
              <w:tc>
                <w:tcPr>
                  <w:tcW w:w="1667" w:type="pct"/>
                  <w:vMerge w:val="continue"/>
                  <w:tcBorders>
                    <w:tl2br w:val="nil"/>
                    <w:tr2bl w:val="nil"/>
                  </w:tcBorders>
                  <w:vAlign w:val="center"/>
                </w:tcPr>
                <w:p w14:paraId="1E2E85F5">
                  <w:pPr>
                    <w:pStyle w:val="2"/>
                    <w:spacing w:after="0" w:line="240" w:lineRule="auto"/>
                    <w:ind w:left="0" w:leftChars="0" w:firstLine="0" w:firstLineChars="0"/>
                    <w:jc w:val="center"/>
                    <w:rPr>
                      <w:color w:val="FF0000"/>
                      <w:sz w:val="21"/>
                      <w:szCs w:val="21"/>
                    </w:rPr>
                  </w:pPr>
                </w:p>
              </w:tc>
            </w:tr>
            <w:tr w14:paraId="053CCD6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5" w:type="pct"/>
                  <w:tcBorders>
                    <w:tl2br w:val="nil"/>
                    <w:tr2bl w:val="nil"/>
                  </w:tcBorders>
                  <w:vAlign w:val="center"/>
                </w:tcPr>
                <w:p w14:paraId="03B986B8">
                  <w:pPr>
                    <w:pStyle w:val="2"/>
                    <w:spacing w:after="0" w:line="240" w:lineRule="auto"/>
                    <w:ind w:left="0" w:leftChars="0" w:firstLine="0" w:firstLineChars="0"/>
                    <w:jc w:val="center"/>
                    <w:rPr>
                      <w:color w:val="FF0000"/>
                      <w:sz w:val="21"/>
                      <w:szCs w:val="21"/>
                    </w:rPr>
                  </w:pPr>
                  <w:r>
                    <w:rPr>
                      <w:color w:val="FF0000"/>
                      <w:sz w:val="21"/>
                      <w:szCs w:val="21"/>
                    </w:rPr>
                    <w:t>氮氧化物</w:t>
                  </w:r>
                </w:p>
              </w:tc>
              <w:tc>
                <w:tcPr>
                  <w:tcW w:w="1666" w:type="pct"/>
                  <w:tcBorders>
                    <w:tl2br w:val="nil"/>
                    <w:tr2bl w:val="nil"/>
                  </w:tcBorders>
                  <w:vAlign w:val="center"/>
                </w:tcPr>
                <w:p w14:paraId="2C3DA816">
                  <w:pPr>
                    <w:pStyle w:val="2"/>
                    <w:spacing w:after="0" w:line="240" w:lineRule="auto"/>
                    <w:ind w:left="0" w:leftChars="0" w:firstLine="0" w:firstLineChars="0"/>
                    <w:jc w:val="center"/>
                    <w:rPr>
                      <w:color w:val="FF0000"/>
                      <w:sz w:val="21"/>
                      <w:szCs w:val="21"/>
                    </w:rPr>
                  </w:pPr>
                  <w:r>
                    <w:rPr>
                      <w:color w:val="FF0000"/>
                      <w:sz w:val="21"/>
                      <w:szCs w:val="21"/>
                    </w:rPr>
                    <w:t>150</w:t>
                  </w:r>
                </w:p>
              </w:tc>
              <w:tc>
                <w:tcPr>
                  <w:tcW w:w="1667" w:type="pct"/>
                  <w:vMerge w:val="continue"/>
                  <w:tcBorders>
                    <w:tl2br w:val="nil"/>
                    <w:tr2bl w:val="nil"/>
                  </w:tcBorders>
                  <w:vAlign w:val="center"/>
                </w:tcPr>
                <w:p w14:paraId="5C869B6E">
                  <w:pPr>
                    <w:pStyle w:val="2"/>
                    <w:spacing w:after="0" w:line="240" w:lineRule="auto"/>
                    <w:ind w:left="0" w:leftChars="0" w:firstLine="0" w:firstLineChars="0"/>
                    <w:jc w:val="center"/>
                    <w:rPr>
                      <w:color w:val="FF0000"/>
                      <w:sz w:val="21"/>
                      <w:szCs w:val="21"/>
                    </w:rPr>
                  </w:pPr>
                </w:p>
              </w:tc>
            </w:tr>
            <w:tr w14:paraId="7C8682F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5" w:type="pct"/>
                  <w:tcBorders>
                    <w:tl2br w:val="nil"/>
                    <w:tr2bl w:val="nil"/>
                  </w:tcBorders>
                  <w:vAlign w:val="center"/>
                </w:tcPr>
                <w:p w14:paraId="081FE725">
                  <w:pPr>
                    <w:pStyle w:val="2"/>
                    <w:spacing w:after="0" w:line="240" w:lineRule="auto"/>
                    <w:ind w:left="0" w:leftChars="0" w:firstLine="0" w:firstLineChars="0"/>
                    <w:jc w:val="center"/>
                    <w:rPr>
                      <w:color w:val="FF0000"/>
                      <w:sz w:val="21"/>
                      <w:szCs w:val="21"/>
                    </w:rPr>
                  </w:pPr>
                  <w:r>
                    <w:rPr>
                      <w:color w:val="FF0000"/>
                      <w:sz w:val="21"/>
                      <w:szCs w:val="21"/>
                    </w:rPr>
                    <w:t>烟气黑度（格林曼黑度，级）</w:t>
                  </w:r>
                </w:p>
              </w:tc>
              <w:tc>
                <w:tcPr>
                  <w:tcW w:w="1666" w:type="pct"/>
                  <w:tcBorders>
                    <w:tl2br w:val="nil"/>
                    <w:tr2bl w:val="nil"/>
                  </w:tcBorders>
                  <w:vAlign w:val="center"/>
                </w:tcPr>
                <w:p w14:paraId="52DADD7A">
                  <w:pPr>
                    <w:pStyle w:val="2"/>
                    <w:spacing w:after="0" w:line="240" w:lineRule="auto"/>
                    <w:ind w:left="0" w:leftChars="0" w:firstLine="0" w:firstLineChars="0"/>
                    <w:jc w:val="center"/>
                    <w:rPr>
                      <w:color w:val="FF0000"/>
                      <w:sz w:val="21"/>
                      <w:szCs w:val="21"/>
                    </w:rPr>
                  </w:pPr>
                  <w:r>
                    <w:rPr>
                      <w:rFonts w:ascii="宋体"/>
                      <w:color w:val="FF0000"/>
                      <w:sz w:val="21"/>
                      <w:szCs w:val="21"/>
                    </w:rPr>
                    <w:t>≦</w:t>
                  </w:r>
                  <w:r>
                    <w:rPr>
                      <w:color w:val="FF0000"/>
                      <w:sz w:val="21"/>
                      <w:szCs w:val="21"/>
                    </w:rPr>
                    <w:t>1</w:t>
                  </w:r>
                </w:p>
              </w:tc>
              <w:tc>
                <w:tcPr>
                  <w:tcW w:w="1667" w:type="pct"/>
                  <w:tcBorders>
                    <w:tl2br w:val="nil"/>
                    <w:tr2bl w:val="nil"/>
                  </w:tcBorders>
                  <w:vAlign w:val="center"/>
                </w:tcPr>
                <w:p w14:paraId="517E4728">
                  <w:pPr>
                    <w:pStyle w:val="2"/>
                    <w:spacing w:after="0" w:line="240" w:lineRule="auto"/>
                    <w:ind w:left="0" w:leftChars="0" w:firstLine="0" w:firstLineChars="0"/>
                    <w:jc w:val="center"/>
                    <w:rPr>
                      <w:color w:val="FF0000"/>
                      <w:sz w:val="21"/>
                      <w:szCs w:val="21"/>
                    </w:rPr>
                  </w:pPr>
                  <w:r>
                    <w:rPr>
                      <w:color w:val="FF0000"/>
                      <w:sz w:val="21"/>
                      <w:szCs w:val="21"/>
                    </w:rPr>
                    <w:t>烟囱排放口</w:t>
                  </w:r>
                </w:p>
              </w:tc>
            </w:tr>
          </w:tbl>
          <w:p w14:paraId="6C0CEAA4">
            <w:pPr>
              <w:pStyle w:val="5"/>
              <w:spacing w:before="120" w:after="120"/>
              <w:ind w:firstLine="562" w:firstLineChars="200"/>
              <w:rPr>
                <w:sz w:val="28"/>
              </w:rPr>
            </w:pPr>
            <w:r>
              <w:rPr>
                <w:sz w:val="28"/>
              </w:rPr>
              <w:t>3、废水排放</w:t>
            </w:r>
          </w:p>
          <w:p w14:paraId="3771B15B">
            <w:pPr>
              <w:widowControl/>
              <w:adjustRightInd/>
              <w:snapToGrid/>
              <w:spacing w:line="440" w:lineRule="exact"/>
              <w:ind w:firstLine="480"/>
              <w:rPr>
                <w:sz w:val="21"/>
                <w:szCs w:val="21"/>
              </w:rPr>
            </w:pPr>
            <w:r>
              <w:rPr>
                <w:lang w:val="zh-CN"/>
              </w:rPr>
              <w:t>本项目生活污水</w:t>
            </w:r>
            <w:r>
              <w:t>依托现有化粪池处理后排入</w:t>
            </w:r>
            <w:r>
              <w:rPr>
                <w:bCs/>
              </w:rPr>
              <w:t>园区</w:t>
            </w:r>
            <w:r>
              <w:t>污水处理厂进行处理</w:t>
            </w:r>
            <w:r>
              <w:rPr>
                <w:lang w:val="zh-CN"/>
              </w:rPr>
              <w:t>。</w:t>
            </w:r>
            <w:r>
              <w:t>项目废水执行《辽宁省污水综合排放标准》（DB21/1627-2008）排入污水处理厂标准，</w:t>
            </w:r>
            <w:r>
              <w:rPr>
                <w:color w:val="FF0000"/>
                <w:kern w:val="0"/>
              </w:rPr>
              <w:t>pH执行</w:t>
            </w:r>
            <w:r>
              <w:rPr>
                <w:color w:val="FF0000"/>
                <w:szCs w:val="21"/>
              </w:rPr>
              <w:t>《污水综合排放标准》（GB8978-1996）中表4相关要求（</w:t>
            </w:r>
            <w:r>
              <w:rPr>
                <w:color w:val="FF0000"/>
                <w:kern w:val="0"/>
              </w:rPr>
              <w:t>pH：6-9</w:t>
            </w:r>
            <w:r>
              <w:rPr>
                <w:color w:val="FF0000"/>
                <w:szCs w:val="21"/>
              </w:rPr>
              <w:t>）</w:t>
            </w:r>
            <w:r>
              <w:rPr>
                <w:color w:val="FF0000"/>
                <w:sz w:val="21"/>
              </w:rPr>
              <w:t>。</w:t>
            </w:r>
          </w:p>
          <w:p w14:paraId="2F882E17">
            <w:pPr>
              <w:widowControl/>
              <w:adjustRightInd/>
              <w:snapToGrid/>
              <w:spacing w:line="440" w:lineRule="exact"/>
              <w:ind w:firstLine="0" w:firstLineChars="0"/>
              <w:jc w:val="center"/>
              <w:rPr>
                <w:b/>
              </w:rPr>
            </w:pPr>
            <w:r>
              <w:rPr>
                <w:b/>
              </w:rPr>
              <w:t xml:space="preserve">表18  《辽宁省污水综合排放标准》（DB21/1627-2008）  </w:t>
            </w:r>
            <w:r>
              <w:rPr>
                <w:b/>
                <w:bCs/>
              </w:rPr>
              <w:t>单位：mg/L</w:t>
            </w:r>
          </w:p>
          <w:tbl>
            <w:tblPr>
              <w:tblStyle w:val="24"/>
              <w:tblW w:w="4999"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1127"/>
              <w:gridCol w:w="1128"/>
              <w:gridCol w:w="1128"/>
              <w:gridCol w:w="1128"/>
              <w:gridCol w:w="1128"/>
              <w:gridCol w:w="1136"/>
            </w:tblGrid>
            <w:tr w14:paraId="1043332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pct"/>
                  <w:vAlign w:val="center"/>
                </w:tcPr>
                <w:p w14:paraId="0B7B10E9">
                  <w:pPr>
                    <w:spacing w:line="240" w:lineRule="auto"/>
                    <w:ind w:firstLine="0" w:firstLineChars="0"/>
                    <w:jc w:val="center"/>
                    <w:rPr>
                      <w:sz w:val="21"/>
                    </w:rPr>
                  </w:pPr>
                  <w:r>
                    <w:rPr>
                      <w:sz w:val="21"/>
                    </w:rPr>
                    <w:t>污染物</w:t>
                  </w:r>
                </w:p>
              </w:tc>
              <w:tc>
                <w:tcPr>
                  <w:tcW w:w="713" w:type="pct"/>
                  <w:vAlign w:val="center"/>
                </w:tcPr>
                <w:p w14:paraId="2784D38F">
                  <w:pPr>
                    <w:spacing w:line="240" w:lineRule="auto"/>
                    <w:ind w:firstLine="0" w:firstLineChars="0"/>
                    <w:jc w:val="center"/>
                    <w:rPr>
                      <w:sz w:val="21"/>
                    </w:rPr>
                  </w:pPr>
                  <w:r>
                    <w:rPr>
                      <w:sz w:val="21"/>
                    </w:rPr>
                    <w:t>总氮</w:t>
                  </w:r>
                </w:p>
              </w:tc>
              <w:tc>
                <w:tcPr>
                  <w:tcW w:w="713" w:type="pct"/>
                  <w:vAlign w:val="center"/>
                </w:tcPr>
                <w:p w14:paraId="04E207B6">
                  <w:pPr>
                    <w:spacing w:line="240" w:lineRule="auto"/>
                    <w:ind w:firstLine="0" w:firstLineChars="0"/>
                    <w:jc w:val="center"/>
                    <w:rPr>
                      <w:sz w:val="21"/>
                    </w:rPr>
                  </w:pPr>
                  <w:r>
                    <w:rPr>
                      <w:sz w:val="21"/>
                    </w:rPr>
                    <w:t>磷酸盐</w:t>
                  </w:r>
                </w:p>
              </w:tc>
              <w:tc>
                <w:tcPr>
                  <w:tcW w:w="713" w:type="pct"/>
                  <w:vAlign w:val="center"/>
                </w:tcPr>
                <w:p w14:paraId="3724E3AE">
                  <w:pPr>
                    <w:spacing w:line="240" w:lineRule="auto"/>
                    <w:ind w:firstLine="0" w:firstLineChars="0"/>
                    <w:jc w:val="center"/>
                    <w:rPr>
                      <w:sz w:val="21"/>
                    </w:rPr>
                  </w:pPr>
                  <w:r>
                    <w:rPr>
                      <w:sz w:val="21"/>
                    </w:rPr>
                    <w:t>生化需氧量</w:t>
                  </w:r>
                </w:p>
              </w:tc>
              <w:tc>
                <w:tcPr>
                  <w:tcW w:w="713" w:type="pct"/>
                  <w:vAlign w:val="center"/>
                </w:tcPr>
                <w:p w14:paraId="1623DA3C">
                  <w:pPr>
                    <w:spacing w:line="240" w:lineRule="auto"/>
                    <w:ind w:firstLine="0" w:firstLineChars="0"/>
                    <w:jc w:val="center"/>
                    <w:rPr>
                      <w:sz w:val="21"/>
                    </w:rPr>
                  </w:pPr>
                  <w:r>
                    <w:rPr>
                      <w:sz w:val="21"/>
                    </w:rPr>
                    <w:t>COD</w:t>
                  </w:r>
                </w:p>
              </w:tc>
              <w:tc>
                <w:tcPr>
                  <w:tcW w:w="713" w:type="pct"/>
                  <w:vAlign w:val="center"/>
                </w:tcPr>
                <w:p w14:paraId="3ACC10B9">
                  <w:pPr>
                    <w:spacing w:line="240" w:lineRule="auto"/>
                    <w:ind w:firstLine="0" w:firstLineChars="0"/>
                    <w:jc w:val="center"/>
                    <w:rPr>
                      <w:sz w:val="21"/>
                    </w:rPr>
                  </w:pPr>
                  <w:r>
                    <w:rPr>
                      <w:sz w:val="21"/>
                    </w:rPr>
                    <w:t>SS</w:t>
                  </w:r>
                </w:p>
              </w:tc>
              <w:tc>
                <w:tcPr>
                  <w:tcW w:w="718" w:type="pct"/>
                  <w:vAlign w:val="center"/>
                </w:tcPr>
                <w:p w14:paraId="1FCFB8BA">
                  <w:pPr>
                    <w:spacing w:line="240" w:lineRule="auto"/>
                    <w:ind w:firstLine="0" w:firstLineChars="0"/>
                    <w:jc w:val="center"/>
                    <w:rPr>
                      <w:sz w:val="21"/>
                    </w:rPr>
                  </w:pPr>
                  <w:r>
                    <w:rPr>
                      <w:kern w:val="0"/>
                      <w:sz w:val="21"/>
                      <w:szCs w:val="21"/>
                    </w:rPr>
                    <w:t>NH</w:t>
                  </w:r>
                  <w:r>
                    <w:rPr>
                      <w:kern w:val="0"/>
                      <w:sz w:val="21"/>
                      <w:szCs w:val="21"/>
                      <w:vertAlign w:val="subscript"/>
                    </w:rPr>
                    <w:t>3</w:t>
                  </w:r>
                  <w:r>
                    <w:rPr>
                      <w:kern w:val="0"/>
                      <w:sz w:val="21"/>
                      <w:szCs w:val="21"/>
                    </w:rPr>
                    <w:t>-N</w:t>
                  </w:r>
                </w:p>
              </w:tc>
            </w:tr>
            <w:tr w14:paraId="5E42971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3" w:type="pct"/>
                  <w:vAlign w:val="center"/>
                </w:tcPr>
                <w:p w14:paraId="4EE3C328">
                  <w:pPr>
                    <w:spacing w:line="240" w:lineRule="auto"/>
                    <w:ind w:firstLine="0" w:firstLineChars="0"/>
                    <w:jc w:val="center"/>
                    <w:rPr>
                      <w:sz w:val="21"/>
                    </w:rPr>
                  </w:pPr>
                  <w:r>
                    <w:rPr>
                      <w:sz w:val="21"/>
                    </w:rPr>
                    <w:t>标准</w:t>
                  </w:r>
                </w:p>
              </w:tc>
              <w:tc>
                <w:tcPr>
                  <w:tcW w:w="713" w:type="pct"/>
                  <w:vAlign w:val="center"/>
                </w:tcPr>
                <w:p w14:paraId="222FE3DD">
                  <w:pPr>
                    <w:spacing w:line="240" w:lineRule="auto"/>
                    <w:ind w:firstLine="0" w:firstLineChars="0"/>
                    <w:jc w:val="center"/>
                    <w:rPr>
                      <w:sz w:val="21"/>
                    </w:rPr>
                  </w:pPr>
                  <w:r>
                    <w:rPr>
                      <w:sz w:val="21"/>
                    </w:rPr>
                    <w:t>50</w:t>
                  </w:r>
                </w:p>
              </w:tc>
              <w:tc>
                <w:tcPr>
                  <w:tcW w:w="713" w:type="pct"/>
                  <w:vAlign w:val="center"/>
                </w:tcPr>
                <w:p w14:paraId="02EDBB35">
                  <w:pPr>
                    <w:spacing w:line="240" w:lineRule="auto"/>
                    <w:ind w:firstLine="0" w:firstLineChars="0"/>
                    <w:jc w:val="center"/>
                    <w:rPr>
                      <w:sz w:val="21"/>
                    </w:rPr>
                  </w:pPr>
                  <w:r>
                    <w:rPr>
                      <w:sz w:val="21"/>
                    </w:rPr>
                    <w:t>5.0</w:t>
                  </w:r>
                </w:p>
              </w:tc>
              <w:tc>
                <w:tcPr>
                  <w:tcW w:w="713" w:type="pct"/>
                  <w:vAlign w:val="center"/>
                </w:tcPr>
                <w:p w14:paraId="776C546B">
                  <w:pPr>
                    <w:spacing w:line="240" w:lineRule="auto"/>
                    <w:ind w:firstLine="0" w:firstLineChars="0"/>
                    <w:jc w:val="center"/>
                    <w:rPr>
                      <w:sz w:val="21"/>
                    </w:rPr>
                  </w:pPr>
                  <w:r>
                    <w:rPr>
                      <w:sz w:val="21"/>
                    </w:rPr>
                    <w:t>250</w:t>
                  </w:r>
                </w:p>
              </w:tc>
              <w:tc>
                <w:tcPr>
                  <w:tcW w:w="713" w:type="pct"/>
                  <w:vAlign w:val="center"/>
                </w:tcPr>
                <w:p w14:paraId="46B4F7BF">
                  <w:pPr>
                    <w:spacing w:line="240" w:lineRule="auto"/>
                    <w:ind w:firstLine="0" w:firstLineChars="0"/>
                    <w:jc w:val="center"/>
                    <w:rPr>
                      <w:sz w:val="21"/>
                    </w:rPr>
                  </w:pPr>
                  <w:r>
                    <w:rPr>
                      <w:sz w:val="21"/>
                    </w:rPr>
                    <w:t>300</w:t>
                  </w:r>
                </w:p>
              </w:tc>
              <w:tc>
                <w:tcPr>
                  <w:tcW w:w="713" w:type="pct"/>
                  <w:vAlign w:val="center"/>
                </w:tcPr>
                <w:p w14:paraId="627AF3EE">
                  <w:pPr>
                    <w:spacing w:line="240" w:lineRule="auto"/>
                    <w:ind w:firstLine="0" w:firstLineChars="0"/>
                    <w:jc w:val="center"/>
                    <w:rPr>
                      <w:sz w:val="21"/>
                    </w:rPr>
                  </w:pPr>
                  <w:r>
                    <w:rPr>
                      <w:sz w:val="21"/>
                    </w:rPr>
                    <w:t>300</w:t>
                  </w:r>
                </w:p>
              </w:tc>
              <w:tc>
                <w:tcPr>
                  <w:tcW w:w="718" w:type="pct"/>
                  <w:vAlign w:val="center"/>
                </w:tcPr>
                <w:p w14:paraId="10BF4060">
                  <w:pPr>
                    <w:spacing w:line="240" w:lineRule="auto"/>
                    <w:ind w:firstLine="0" w:firstLineChars="0"/>
                    <w:jc w:val="center"/>
                    <w:rPr>
                      <w:sz w:val="21"/>
                    </w:rPr>
                  </w:pPr>
                  <w:r>
                    <w:rPr>
                      <w:sz w:val="21"/>
                    </w:rPr>
                    <w:t>30</w:t>
                  </w:r>
                </w:p>
              </w:tc>
            </w:tr>
          </w:tbl>
          <w:p w14:paraId="1C99D61B">
            <w:pPr>
              <w:widowControl/>
              <w:adjustRightInd/>
              <w:snapToGrid/>
              <w:spacing w:line="440" w:lineRule="exact"/>
              <w:ind w:firstLine="480"/>
            </w:pPr>
            <w:r>
              <w:t>园区污水处理厂出水执行《城镇污水处理厂污染物排放标准》（GB18918-2002）中一级A标准限值要求。</w:t>
            </w:r>
          </w:p>
          <w:p w14:paraId="7A14C030">
            <w:pPr>
              <w:widowControl/>
              <w:adjustRightInd/>
              <w:snapToGrid/>
              <w:spacing w:line="440" w:lineRule="exact"/>
              <w:ind w:firstLine="0" w:firstLineChars="0"/>
              <w:jc w:val="center"/>
              <w:rPr>
                <w:b/>
              </w:rPr>
            </w:pPr>
            <w:r>
              <w:rPr>
                <w:b/>
              </w:rPr>
              <w:t xml:space="preserve">表19  园区污水处理厂出水指标  </w:t>
            </w:r>
            <w:r>
              <w:rPr>
                <w:b/>
                <w:bCs/>
              </w:rPr>
              <w:t>单位：mg/L</w:t>
            </w:r>
          </w:p>
          <w:tbl>
            <w:tblPr>
              <w:tblStyle w:val="24"/>
              <w:tblW w:w="4996"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127"/>
              <w:gridCol w:w="1127"/>
              <w:gridCol w:w="1127"/>
              <w:gridCol w:w="1127"/>
              <w:gridCol w:w="1129"/>
              <w:gridCol w:w="1136"/>
            </w:tblGrid>
            <w:tr w14:paraId="4193BCA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vAlign w:val="center"/>
                </w:tcPr>
                <w:p w14:paraId="3B19D5B4">
                  <w:pPr>
                    <w:spacing w:line="240" w:lineRule="auto"/>
                    <w:ind w:firstLine="0" w:firstLineChars="0"/>
                    <w:jc w:val="center"/>
                    <w:rPr>
                      <w:kern w:val="0"/>
                      <w:sz w:val="21"/>
                      <w:szCs w:val="21"/>
                    </w:rPr>
                  </w:pPr>
                  <w:r>
                    <w:rPr>
                      <w:kern w:val="0"/>
                      <w:sz w:val="21"/>
                      <w:szCs w:val="21"/>
                    </w:rPr>
                    <w:t>污染物</w:t>
                  </w:r>
                </w:p>
              </w:tc>
              <w:tc>
                <w:tcPr>
                  <w:tcW w:w="713" w:type="pct"/>
                  <w:vAlign w:val="center"/>
                </w:tcPr>
                <w:p w14:paraId="499190F9">
                  <w:pPr>
                    <w:spacing w:line="240" w:lineRule="auto"/>
                    <w:ind w:firstLine="0" w:firstLineChars="0"/>
                    <w:jc w:val="center"/>
                    <w:rPr>
                      <w:kern w:val="0"/>
                      <w:sz w:val="21"/>
                      <w:szCs w:val="21"/>
                    </w:rPr>
                  </w:pPr>
                  <w:r>
                    <w:rPr>
                      <w:kern w:val="0"/>
                      <w:sz w:val="21"/>
                      <w:szCs w:val="21"/>
                    </w:rPr>
                    <w:t>pH</w:t>
                  </w:r>
                </w:p>
              </w:tc>
              <w:tc>
                <w:tcPr>
                  <w:tcW w:w="713" w:type="pct"/>
                  <w:vAlign w:val="center"/>
                </w:tcPr>
                <w:p w14:paraId="5C123369">
                  <w:pPr>
                    <w:spacing w:line="240" w:lineRule="auto"/>
                    <w:ind w:firstLine="0" w:firstLineChars="0"/>
                    <w:jc w:val="center"/>
                    <w:rPr>
                      <w:kern w:val="0"/>
                      <w:sz w:val="21"/>
                      <w:szCs w:val="21"/>
                    </w:rPr>
                  </w:pPr>
                  <w:r>
                    <w:rPr>
                      <w:sz w:val="21"/>
                    </w:rPr>
                    <w:t>总氮</w:t>
                  </w:r>
                </w:p>
              </w:tc>
              <w:tc>
                <w:tcPr>
                  <w:tcW w:w="713" w:type="pct"/>
                  <w:vAlign w:val="center"/>
                </w:tcPr>
                <w:p w14:paraId="0EA08C26">
                  <w:pPr>
                    <w:spacing w:line="240" w:lineRule="auto"/>
                    <w:ind w:firstLine="0" w:firstLineChars="0"/>
                    <w:jc w:val="center"/>
                    <w:rPr>
                      <w:kern w:val="0"/>
                      <w:sz w:val="21"/>
                      <w:szCs w:val="21"/>
                    </w:rPr>
                  </w:pPr>
                  <w:r>
                    <w:rPr>
                      <w:sz w:val="21"/>
                    </w:rPr>
                    <w:t>生化需氧量</w:t>
                  </w:r>
                </w:p>
              </w:tc>
              <w:tc>
                <w:tcPr>
                  <w:tcW w:w="713" w:type="pct"/>
                  <w:vAlign w:val="center"/>
                </w:tcPr>
                <w:p w14:paraId="21324C83">
                  <w:pPr>
                    <w:spacing w:line="240" w:lineRule="auto"/>
                    <w:ind w:firstLine="0" w:firstLineChars="0"/>
                    <w:jc w:val="center"/>
                    <w:rPr>
                      <w:kern w:val="0"/>
                      <w:sz w:val="21"/>
                      <w:szCs w:val="21"/>
                    </w:rPr>
                  </w:pPr>
                  <w:r>
                    <w:rPr>
                      <w:kern w:val="0"/>
                      <w:sz w:val="21"/>
                      <w:szCs w:val="21"/>
                    </w:rPr>
                    <w:t>COD</w:t>
                  </w:r>
                </w:p>
              </w:tc>
              <w:tc>
                <w:tcPr>
                  <w:tcW w:w="714" w:type="pct"/>
                  <w:vAlign w:val="center"/>
                </w:tcPr>
                <w:p w14:paraId="133EDDDC">
                  <w:pPr>
                    <w:spacing w:line="240" w:lineRule="auto"/>
                    <w:ind w:firstLine="0" w:firstLineChars="0"/>
                    <w:jc w:val="center"/>
                    <w:rPr>
                      <w:kern w:val="0"/>
                      <w:sz w:val="21"/>
                      <w:szCs w:val="21"/>
                    </w:rPr>
                  </w:pPr>
                  <w:r>
                    <w:rPr>
                      <w:kern w:val="0"/>
                      <w:sz w:val="21"/>
                      <w:szCs w:val="21"/>
                    </w:rPr>
                    <w:t>SS</w:t>
                  </w:r>
                </w:p>
              </w:tc>
              <w:tc>
                <w:tcPr>
                  <w:tcW w:w="719" w:type="pct"/>
                  <w:vAlign w:val="center"/>
                </w:tcPr>
                <w:p w14:paraId="4A5057EF">
                  <w:pPr>
                    <w:spacing w:line="240" w:lineRule="auto"/>
                    <w:ind w:firstLine="0" w:firstLineChars="0"/>
                    <w:jc w:val="center"/>
                    <w:rPr>
                      <w:kern w:val="0"/>
                      <w:sz w:val="21"/>
                      <w:szCs w:val="21"/>
                    </w:rPr>
                  </w:pPr>
                  <w:r>
                    <w:rPr>
                      <w:kern w:val="0"/>
                      <w:sz w:val="21"/>
                      <w:szCs w:val="21"/>
                    </w:rPr>
                    <w:t>NH</w:t>
                  </w:r>
                  <w:r>
                    <w:rPr>
                      <w:kern w:val="0"/>
                      <w:sz w:val="21"/>
                      <w:szCs w:val="21"/>
                      <w:vertAlign w:val="subscript"/>
                    </w:rPr>
                    <w:t>3</w:t>
                  </w:r>
                  <w:r>
                    <w:rPr>
                      <w:kern w:val="0"/>
                      <w:sz w:val="21"/>
                      <w:szCs w:val="21"/>
                    </w:rPr>
                    <w:t>-N</w:t>
                  </w:r>
                </w:p>
              </w:tc>
            </w:tr>
            <w:tr w14:paraId="3AF92C2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vAlign w:val="center"/>
                </w:tcPr>
                <w:p w14:paraId="5A76BC20">
                  <w:pPr>
                    <w:spacing w:line="240" w:lineRule="auto"/>
                    <w:ind w:firstLine="0" w:firstLineChars="0"/>
                    <w:jc w:val="center"/>
                    <w:rPr>
                      <w:kern w:val="0"/>
                      <w:sz w:val="21"/>
                      <w:szCs w:val="21"/>
                    </w:rPr>
                  </w:pPr>
                  <w:r>
                    <w:rPr>
                      <w:kern w:val="0"/>
                      <w:sz w:val="21"/>
                      <w:szCs w:val="21"/>
                    </w:rPr>
                    <w:t>标准值</w:t>
                  </w:r>
                </w:p>
              </w:tc>
              <w:tc>
                <w:tcPr>
                  <w:tcW w:w="713" w:type="pct"/>
                  <w:vAlign w:val="center"/>
                </w:tcPr>
                <w:p w14:paraId="0536DEEC">
                  <w:pPr>
                    <w:spacing w:line="240" w:lineRule="auto"/>
                    <w:ind w:firstLine="0" w:firstLineChars="0"/>
                    <w:jc w:val="center"/>
                    <w:rPr>
                      <w:kern w:val="0"/>
                      <w:sz w:val="21"/>
                      <w:szCs w:val="21"/>
                    </w:rPr>
                  </w:pPr>
                  <w:r>
                    <w:rPr>
                      <w:kern w:val="0"/>
                      <w:sz w:val="21"/>
                      <w:szCs w:val="21"/>
                    </w:rPr>
                    <w:t>6-9</w:t>
                  </w:r>
                </w:p>
              </w:tc>
              <w:tc>
                <w:tcPr>
                  <w:tcW w:w="713" w:type="pct"/>
                  <w:vAlign w:val="center"/>
                </w:tcPr>
                <w:p w14:paraId="77500A3A">
                  <w:pPr>
                    <w:spacing w:line="240" w:lineRule="auto"/>
                    <w:ind w:firstLine="0" w:firstLineChars="0"/>
                    <w:jc w:val="center"/>
                    <w:rPr>
                      <w:kern w:val="0"/>
                      <w:sz w:val="21"/>
                      <w:szCs w:val="21"/>
                    </w:rPr>
                  </w:pPr>
                  <w:r>
                    <w:rPr>
                      <w:kern w:val="0"/>
                      <w:sz w:val="21"/>
                      <w:szCs w:val="21"/>
                    </w:rPr>
                    <w:t>≤15</w:t>
                  </w:r>
                </w:p>
              </w:tc>
              <w:tc>
                <w:tcPr>
                  <w:tcW w:w="713" w:type="pct"/>
                  <w:vAlign w:val="center"/>
                </w:tcPr>
                <w:p w14:paraId="383B23B5">
                  <w:pPr>
                    <w:spacing w:line="240" w:lineRule="auto"/>
                    <w:ind w:firstLine="0" w:firstLineChars="0"/>
                    <w:jc w:val="center"/>
                    <w:rPr>
                      <w:kern w:val="0"/>
                      <w:sz w:val="21"/>
                      <w:szCs w:val="21"/>
                    </w:rPr>
                  </w:pPr>
                  <w:r>
                    <w:rPr>
                      <w:kern w:val="0"/>
                      <w:sz w:val="21"/>
                      <w:szCs w:val="21"/>
                    </w:rPr>
                    <w:t>≤10</w:t>
                  </w:r>
                </w:p>
              </w:tc>
              <w:tc>
                <w:tcPr>
                  <w:tcW w:w="713" w:type="pct"/>
                  <w:vAlign w:val="center"/>
                </w:tcPr>
                <w:p w14:paraId="2A7CC44F">
                  <w:pPr>
                    <w:spacing w:line="240" w:lineRule="auto"/>
                    <w:ind w:firstLine="0" w:firstLineChars="0"/>
                    <w:jc w:val="center"/>
                    <w:rPr>
                      <w:kern w:val="0"/>
                      <w:sz w:val="21"/>
                      <w:szCs w:val="21"/>
                    </w:rPr>
                  </w:pPr>
                  <w:r>
                    <w:rPr>
                      <w:kern w:val="0"/>
                      <w:sz w:val="21"/>
                      <w:szCs w:val="21"/>
                    </w:rPr>
                    <w:t>≤50</w:t>
                  </w:r>
                </w:p>
              </w:tc>
              <w:tc>
                <w:tcPr>
                  <w:tcW w:w="714" w:type="pct"/>
                  <w:vAlign w:val="center"/>
                </w:tcPr>
                <w:p w14:paraId="6D32C89F">
                  <w:pPr>
                    <w:spacing w:line="240" w:lineRule="auto"/>
                    <w:ind w:firstLine="0" w:firstLineChars="0"/>
                    <w:jc w:val="center"/>
                    <w:rPr>
                      <w:kern w:val="0"/>
                      <w:sz w:val="21"/>
                      <w:szCs w:val="21"/>
                    </w:rPr>
                  </w:pPr>
                  <w:r>
                    <w:rPr>
                      <w:kern w:val="0"/>
                      <w:sz w:val="21"/>
                      <w:szCs w:val="21"/>
                    </w:rPr>
                    <w:t>≤10</w:t>
                  </w:r>
                </w:p>
              </w:tc>
              <w:tc>
                <w:tcPr>
                  <w:tcW w:w="719" w:type="pct"/>
                  <w:vAlign w:val="center"/>
                </w:tcPr>
                <w:p w14:paraId="1D7723C9">
                  <w:pPr>
                    <w:spacing w:line="240" w:lineRule="auto"/>
                    <w:ind w:firstLine="0" w:firstLineChars="0"/>
                    <w:jc w:val="center"/>
                    <w:rPr>
                      <w:kern w:val="0"/>
                      <w:sz w:val="21"/>
                      <w:szCs w:val="21"/>
                    </w:rPr>
                  </w:pPr>
                  <w:r>
                    <w:rPr>
                      <w:kern w:val="0"/>
                      <w:sz w:val="21"/>
                      <w:szCs w:val="21"/>
                    </w:rPr>
                    <w:t>≤5</w:t>
                  </w:r>
                </w:p>
              </w:tc>
            </w:tr>
          </w:tbl>
          <w:p w14:paraId="09B7B996">
            <w:pPr>
              <w:pStyle w:val="5"/>
              <w:spacing w:before="120" w:after="120"/>
              <w:ind w:firstLine="562" w:firstLineChars="200"/>
              <w:rPr>
                <w:sz w:val="28"/>
              </w:rPr>
            </w:pPr>
            <w:r>
              <w:rPr>
                <w:sz w:val="28"/>
              </w:rPr>
              <w:t>4、固体废物排放</w:t>
            </w:r>
          </w:p>
          <w:p w14:paraId="097CF58D">
            <w:pPr>
              <w:ind w:firstLine="480"/>
            </w:pPr>
            <w:r>
              <w:t>一般固体废物执行《一般工业固体废物贮存和填埋污染控制标准》（GB18599-2020）要求及</w:t>
            </w:r>
            <w:r>
              <w:rPr>
                <w:color w:val="FF0000"/>
              </w:rPr>
              <w:t>《一般固体废物分类与代码》（GB/T 39198-2020）</w:t>
            </w:r>
            <w:r>
              <w:t>。生活垃圾执行《城市生活垃圾管理办法》（中华人民共和国建设部令第157号）。</w:t>
            </w:r>
          </w:p>
        </w:tc>
      </w:tr>
      <w:tr w14:paraId="101EA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Align w:val="center"/>
          </w:tcPr>
          <w:p w14:paraId="15523028">
            <w:pPr>
              <w:pStyle w:val="4"/>
              <w:spacing w:before="120" w:after="120"/>
              <w:rPr>
                <w:szCs w:val="21"/>
              </w:rPr>
            </w:pPr>
            <w:r>
              <w:t>总量控制指标</w:t>
            </w:r>
          </w:p>
        </w:tc>
        <w:tc>
          <w:tcPr>
            <w:tcW w:w="8273" w:type="dxa"/>
            <w:vAlign w:val="center"/>
          </w:tcPr>
          <w:p w14:paraId="24DCA57F">
            <w:pPr>
              <w:ind w:firstLine="480"/>
            </w:pPr>
            <w:r>
              <w:t>根据环保部《建设项目主要污染物排放总量指标审核及管理暂行办法》（环发[2014]197号）和辽宁省环保厅《关于贯彻执行环保部建设项目主要污染物排放总量指标审核及管理暂行办法的通知》（辽环发[2015]17号）以及《辽宁省生态环境厅关于进一步加强建设项目主要污染物排放总量指标审核和管理的通知》（辽环综函[2020]380号），结合本项目实际情况，确定项目实施后的主要污染物即控制因子排放量应符合当地环保部门总量控制指标，同时满足污染物的“双达标”要求，不超过在此基础上本评价预测给出的污染物排放总量。</w:t>
            </w:r>
          </w:p>
          <w:p w14:paraId="2ED7D009">
            <w:pPr>
              <w:ind w:firstLine="480"/>
            </w:pPr>
            <w:r>
              <w:t>（1）废水污染物</w:t>
            </w:r>
          </w:p>
          <w:p w14:paraId="6EB9F3A1">
            <w:pPr>
              <w:ind w:firstLine="480"/>
            </w:pPr>
            <w:r>
              <w:t>本项目废水主要是生活污水，生活污水处理达到《辽宁省污水综合排放标准》（DB21/1627-2008）中的排入污水处理厂的水污染物最高允许排放浓度后进入园区污水处理厂。</w:t>
            </w:r>
          </w:p>
          <w:p w14:paraId="6E54FE34">
            <w:pPr>
              <w:ind w:firstLine="480"/>
            </w:pPr>
            <w:r>
              <w:t>经园区污水处理厂处理达到《城镇污水处理厂污染物排放标准》（GB18918-2002）中一级A标准（COD 50mg/L、氨氮5mg/L），因此本项目总量控制指标为COD：0.042t/a，氨氮：0.0042t/a。</w:t>
            </w:r>
          </w:p>
          <w:p w14:paraId="10FA565C">
            <w:pPr>
              <w:adjustRightInd/>
              <w:snapToGrid/>
              <w:ind w:firstLine="480"/>
            </w:pPr>
            <w:r>
              <w:t>（2）废气污染物</w:t>
            </w:r>
          </w:p>
          <w:p w14:paraId="2D11D5E0">
            <w:pPr>
              <w:ind w:firstLine="480"/>
            </w:pPr>
            <w:r>
              <w:t>本项目生物质蒸汽发生器排放的氮氧化物为0.55t/a、有组织挥发性有机物为0.1488t/a。</w:t>
            </w:r>
          </w:p>
          <w:p w14:paraId="08D10794">
            <w:pPr>
              <w:pStyle w:val="22"/>
              <w:ind w:firstLine="240"/>
            </w:pPr>
          </w:p>
          <w:p w14:paraId="559CB389">
            <w:pPr>
              <w:pStyle w:val="23"/>
              <w:rPr>
                <w:rFonts w:hAnsi="Times New Roman" w:cs="Times New Roman"/>
              </w:rPr>
            </w:pPr>
          </w:p>
          <w:p w14:paraId="6C042BEF">
            <w:pPr>
              <w:pStyle w:val="23"/>
              <w:rPr>
                <w:rFonts w:hAnsi="Times New Roman" w:cs="Times New Roman"/>
              </w:rPr>
            </w:pPr>
          </w:p>
          <w:p w14:paraId="2173A84F">
            <w:pPr>
              <w:pStyle w:val="23"/>
              <w:rPr>
                <w:rFonts w:hAnsi="Times New Roman" w:cs="Times New Roman"/>
              </w:rPr>
            </w:pPr>
          </w:p>
          <w:p w14:paraId="1651BA98">
            <w:pPr>
              <w:pStyle w:val="23"/>
              <w:rPr>
                <w:rFonts w:hAnsi="Times New Roman" w:cs="Times New Roman"/>
              </w:rPr>
            </w:pPr>
          </w:p>
          <w:p w14:paraId="6F3CF0C7">
            <w:pPr>
              <w:pStyle w:val="23"/>
              <w:rPr>
                <w:rFonts w:hAnsi="Times New Roman" w:cs="Times New Roman"/>
              </w:rPr>
            </w:pPr>
          </w:p>
          <w:p w14:paraId="2E5BE19D">
            <w:pPr>
              <w:pStyle w:val="23"/>
              <w:rPr>
                <w:rFonts w:hAnsi="Times New Roman" w:cs="Times New Roman"/>
              </w:rPr>
            </w:pPr>
          </w:p>
          <w:p w14:paraId="2FC33369">
            <w:pPr>
              <w:pStyle w:val="23"/>
              <w:rPr>
                <w:rFonts w:hAnsi="Times New Roman" w:cs="Times New Roman"/>
              </w:rPr>
            </w:pPr>
          </w:p>
          <w:p w14:paraId="7C58CF34">
            <w:pPr>
              <w:pStyle w:val="23"/>
              <w:rPr>
                <w:rFonts w:hAnsi="Times New Roman" w:cs="Times New Roman"/>
              </w:rPr>
            </w:pPr>
          </w:p>
          <w:p w14:paraId="6E601305">
            <w:pPr>
              <w:pStyle w:val="23"/>
              <w:rPr>
                <w:rFonts w:hAnsi="Times New Roman" w:cs="Times New Roman"/>
              </w:rPr>
            </w:pPr>
          </w:p>
          <w:p w14:paraId="30D9EBB2">
            <w:pPr>
              <w:pStyle w:val="23"/>
              <w:rPr>
                <w:rFonts w:hAnsi="Times New Roman" w:cs="Times New Roman"/>
              </w:rPr>
            </w:pPr>
          </w:p>
        </w:tc>
      </w:tr>
    </w:tbl>
    <w:p w14:paraId="081BA3ED">
      <w:pPr>
        <w:ind w:firstLine="643"/>
        <w:rPr>
          <w:rStyle w:val="31"/>
        </w:rPr>
      </w:pPr>
    </w:p>
    <w:p w14:paraId="546C5862">
      <w:pPr>
        <w:widowControl/>
        <w:adjustRightInd/>
        <w:snapToGrid/>
        <w:spacing w:line="240" w:lineRule="auto"/>
        <w:ind w:firstLine="0" w:firstLineChars="0"/>
        <w:jc w:val="left"/>
        <w:rPr>
          <w:rStyle w:val="31"/>
          <w:szCs w:val="20"/>
        </w:rPr>
      </w:pPr>
      <w:r>
        <w:rPr>
          <w:rStyle w:val="31"/>
        </w:rPr>
        <w:br w:type="page"/>
      </w:r>
    </w:p>
    <w:p w14:paraId="5837F9BF">
      <w:pPr>
        <w:pStyle w:val="20"/>
        <w:spacing w:before="0" w:beforeAutospacing="0" w:after="0" w:afterAutospacing="0" w:line="240" w:lineRule="auto"/>
        <w:ind w:firstLine="643"/>
        <w:jc w:val="center"/>
        <w:outlineLvl w:val="0"/>
        <w:rPr>
          <w:rFonts w:ascii="Times New Roman" w:hAnsi="Times New Roman" w:eastAsia="黑体"/>
          <w:snapToGrid w:val="0"/>
          <w:sz w:val="30"/>
          <w:szCs w:val="30"/>
        </w:rPr>
      </w:pPr>
      <w:r>
        <w:rPr>
          <w:rStyle w:val="31"/>
        </w:rPr>
        <w:t>四、主要环境影响和保护措施</w:t>
      </w:r>
    </w:p>
    <w:tbl>
      <w:tblPr>
        <w:tblStyle w:val="24"/>
        <w:tblW w:w="512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330"/>
      </w:tblGrid>
      <w:tr w14:paraId="286A3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tcMar>
              <w:left w:w="28" w:type="dxa"/>
              <w:right w:w="28" w:type="dxa"/>
            </w:tcMar>
            <w:vAlign w:val="center"/>
          </w:tcPr>
          <w:p w14:paraId="6939A1D8">
            <w:pPr>
              <w:pStyle w:val="4"/>
              <w:spacing w:before="120" w:after="120"/>
            </w:pPr>
            <w:r>
              <w:t>施</w:t>
            </w:r>
          </w:p>
          <w:p w14:paraId="747C830E">
            <w:pPr>
              <w:pStyle w:val="4"/>
              <w:spacing w:before="120" w:after="120"/>
            </w:pPr>
            <w:r>
              <w:t>工</w:t>
            </w:r>
          </w:p>
          <w:p w14:paraId="553D9C37">
            <w:pPr>
              <w:pStyle w:val="4"/>
              <w:spacing w:before="120" w:after="120"/>
            </w:pPr>
            <w:r>
              <w:t>期</w:t>
            </w:r>
          </w:p>
          <w:p w14:paraId="0649E5F7">
            <w:pPr>
              <w:pStyle w:val="4"/>
              <w:spacing w:before="120" w:after="120"/>
            </w:pPr>
            <w:r>
              <w:t>环</w:t>
            </w:r>
          </w:p>
          <w:p w14:paraId="2839984F">
            <w:pPr>
              <w:pStyle w:val="4"/>
              <w:spacing w:before="120" w:after="120"/>
            </w:pPr>
            <w:r>
              <w:t>境</w:t>
            </w:r>
          </w:p>
          <w:p w14:paraId="045F8802">
            <w:pPr>
              <w:pStyle w:val="4"/>
              <w:spacing w:before="120" w:after="120"/>
            </w:pPr>
            <w:r>
              <w:t>保</w:t>
            </w:r>
          </w:p>
          <w:p w14:paraId="38F23331">
            <w:pPr>
              <w:pStyle w:val="4"/>
              <w:spacing w:before="120" w:after="120"/>
            </w:pPr>
            <w:r>
              <w:t>护</w:t>
            </w:r>
          </w:p>
          <w:p w14:paraId="5ED1856E">
            <w:pPr>
              <w:pStyle w:val="4"/>
              <w:spacing w:before="120" w:after="120"/>
            </w:pPr>
            <w:r>
              <w:t>措</w:t>
            </w:r>
          </w:p>
          <w:p w14:paraId="4397BBC8">
            <w:pPr>
              <w:pStyle w:val="4"/>
              <w:spacing w:before="120" w:after="120"/>
              <w:rPr>
                <w:bCs/>
                <w:kern w:val="2"/>
                <w:szCs w:val="21"/>
              </w:rPr>
            </w:pPr>
            <w:r>
              <w:t>施</w:t>
            </w:r>
          </w:p>
        </w:tc>
        <w:tc>
          <w:tcPr>
            <w:tcW w:w="4698" w:type="pct"/>
            <w:vAlign w:val="center"/>
          </w:tcPr>
          <w:p w14:paraId="658FE7F8">
            <w:pPr>
              <w:ind w:firstLine="480"/>
            </w:pPr>
            <w:r>
              <w:t>本项目租用现有厂房进行生产，土建工程已基本完成。仅涉及项目设备安装，安装设备基本均在厂房内进行，且设备安装产生的噪声随设备安装完成即消失。项目采取的措施如下：</w:t>
            </w:r>
          </w:p>
          <w:p w14:paraId="167F6CF2">
            <w:pPr>
              <w:ind w:firstLine="480"/>
            </w:pPr>
            <w:r>
              <w:t>1、</w:t>
            </w:r>
            <w:r>
              <w:rPr>
                <w:lang w:val="zh-CN"/>
              </w:rPr>
              <w:t>施工单位加强施工期的管理，施工单位选用低噪声、低振动的施工机械设备。</w:t>
            </w:r>
          </w:p>
          <w:p w14:paraId="788809F0">
            <w:pPr>
              <w:ind w:firstLine="480"/>
              <w:rPr>
                <w:lang w:val="zh-CN"/>
              </w:rPr>
            </w:pPr>
            <w:r>
              <w:t>2、</w:t>
            </w:r>
            <w:r>
              <w:rPr>
                <w:lang w:val="zh-CN"/>
              </w:rPr>
              <w:t>制订施工计划时，避免大量高噪声设备同时施工，高噪声施工时间安排在昼间。</w:t>
            </w:r>
          </w:p>
          <w:p w14:paraId="0C80E3F0">
            <w:pPr>
              <w:ind w:firstLine="480"/>
            </w:pPr>
            <w:r>
              <w:t>项目采取上述措施，且</w:t>
            </w:r>
            <w:r>
              <w:rPr>
                <w:lang w:val="zh-CN"/>
              </w:rPr>
              <w:t>夜间不施工，因此，只要施工单位认真执行，本项目施工噪声对环境的影响就能得到有效控制，项目对周围声环境的影响较小。</w:t>
            </w:r>
            <w:r>
              <w:tab/>
            </w:r>
          </w:p>
        </w:tc>
      </w:tr>
      <w:tr w14:paraId="203F2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tcMar>
              <w:left w:w="28" w:type="dxa"/>
              <w:right w:w="28" w:type="dxa"/>
            </w:tcMar>
            <w:vAlign w:val="center"/>
          </w:tcPr>
          <w:p w14:paraId="5A75443B">
            <w:pPr>
              <w:pStyle w:val="4"/>
              <w:spacing w:before="120" w:after="120"/>
            </w:pPr>
            <w:r>
              <w:t>运</w:t>
            </w:r>
          </w:p>
          <w:p w14:paraId="3750CBE4">
            <w:pPr>
              <w:pStyle w:val="4"/>
              <w:spacing w:before="120" w:after="120"/>
            </w:pPr>
            <w:r>
              <w:t>营</w:t>
            </w:r>
          </w:p>
          <w:p w14:paraId="012DDEC1">
            <w:pPr>
              <w:pStyle w:val="4"/>
              <w:spacing w:before="120" w:after="120"/>
            </w:pPr>
            <w:r>
              <w:t>期</w:t>
            </w:r>
          </w:p>
          <w:p w14:paraId="6055DAEB">
            <w:pPr>
              <w:pStyle w:val="4"/>
              <w:spacing w:before="120" w:after="120"/>
            </w:pPr>
            <w:r>
              <w:t>环</w:t>
            </w:r>
          </w:p>
          <w:p w14:paraId="5464E0C6">
            <w:pPr>
              <w:pStyle w:val="4"/>
              <w:spacing w:before="120" w:after="120"/>
            </w:pPr>
            <w:r>
              <w:t>境</w:t>
            </w:r>
          </w:p>
          <w:p w14:paraId="3507808A">
            <w:pPr>
              <w:pStyle w:val="4"/>
              <w:spacing w:before="120" w:after="120"/>
            </w:pPr>
            <w:r>
              <w:t>影</w:t>
            </w:r>
          </w:p>
          <w:p w14:paraId="46BD2E03">
            <w:pPr>
              <w:pStyle w:val="4"/>
              <w:spacing w:before="120" w:after="120"/>
            </w:pPr>
            <w:r>
              <w:t>响</w:t>
            </w:r>
          </w:p>
          <w:p w14:paraId="6CDD6AFB">
            <w:pPr>
              <w:pStyle w:val="4"/>
              <w:spacing w:before="120" w:after="120"/>
            </w:pPr>
            <w:r>
              <w:t>和</w:t>
            </w:r>
          </w:p>
          <w:p w14:paraId="2D51EDD5">
            <w:pPr>
              <w:pStyle w:val="4"/>
              <w:spacing w:before="120" w:after="120"/>
            </w:pPr>
            <w:r>
              <w:t>保</w:t>
            </w:r>
          </w:p>
          <w:p w14:paraId="686CF1EB">
            <w:pPr>
              <w:pStyle w:val="4"/>
              <w:spacing w:before="120" w:after="120"/>
            </w:pPr>
            <w:r>
              <w:t>护</w:t>
            </w:r>
          </w:p>
          <w:p w14:paraId="38D793C7">
            <w:pPr>
              <w:pStyle w:val="4"/>
              <w:spacing w:before="120" w:after="120"/>
            </w:pPr>
            <w:r>
              <w:t>措</w:t>
            </w:r>
          </w:p>
          <w:p w14:paraId="331D9B9F">
            <w:pPr>
              <w:pStyle w:val="4"/>
              <w:spacing w:before="120" w:after="120"/>
              <w:rPr>
                <w:bCs/>
                <w:szCs w:val="21"/>
              </w:rPr>
            </w:pPr>
            <w:r>
              <w:t>施</w:t>
            </w:r>
          </w:p>
        </w:tc>
        <w:tc>
          <w:tcPr>
            <w:tcW w:w="4698" w:type="pct"/>
            <w:vAlign w:val="center"/>
          </w:tcPr>
          <w:p w14:paraId="2FD139CD">
            <w:pPr>
              <w:pStyle w:val="5"/>
              <w:spacing w:before="120" w:after="120"/>
            </w:pPr>
            <w:r>
              <w:t>一、废气</w:t>
            </w:r>
          </w:p>
          <w:p w14:paraId="0F1B7D12">
            <w:pPr>
              <w:pStyle w:val="6"/>
              <w:spacing w:before="120" w:after="120"/>
              <w:ind w:firstLine="482"/>
              <w:rPr>
                <w:color w:val="FF0000"/>
              </w:rPr>
            </w:pPr>
            <w:r>
              <w:rPr>
                <w:color w:val="FF0000"/>
              </w:rPr>
              <w:t>1、污染物产生及排放情况</w:t>
            </w:r>
          </w:p>
          <w:p w14:paraId="1BAE0690">
            <w:pPr>
              <w:ind w:firstLine="480"/>
              <w:rPr>
                <w:color w:val="FF0000"/>
              </w:rPr>
            </w:pPr>
            <w:r>
              <w:rPr>
                <w:color w:val="FF0000"/>
              </w:rPr>
              <w:t>水泥自水泥料仓经管道进入密闭搅拌机；吨袋粉煤灰用浆料输送泵经过管道送至密闭搅拌机，输送过程是密闭的；水经管道进入密闭搅拌机；搅拌机上方架设一条管道与发泡颗粒仓连接，利用风机将轻质聚苯乙烯颗粒从发泡颗粒仓输送至搅拌机内；根据建设单位及设计部门提供的资料知，水泥、粉煤灰、水及聚苯乙烯颗粒均是经过管道进入搅拌机内，搅拌过程为全封闭，仅初始搅拌会有粉尘，但粉尘均散落在搅拌机内部或者管道的进口处，粉尘基本不会逸散出来。</w:t>
            </w:r>
          </w:p>
          <w:p w14:paraId="0ECB1B03">
            <w:pPr>
              <w:ind w:firstLine="480"/>
              <w:rPr>
                <w:color w:val="FF0000"/>
              </w:rPr>
            </w:pPr>
            <w:r>
              <w:rPr>
                <w:color w:val="FF0000"/>
              </w:rPr>
              <w:t>本项目运营期废气主要是切割工序产生的粉尘，发泡工序产生的非甲烷总烃、生物质蒸汽发生器产生的废气、粉煤灰投料工序产生的粉尘以及水泥筒仓产生的粉尘。</w:t>
            </w:r>
          </w:p>
          <w:p w14:paraId="67236BBF">
            <w:pPr>
              <w:ind w:firstLine="480"/>
              <w:rPr>
                <w:color w:val="FF0000"/>
              </w:rPr>
            </w:pPr>
            <w:r>
              <w:rPr>
                <w:color w:val="FF0000"/>
              </w:rPr>
              <w:t>（1）切割工序、粉煤灰投料工序及水泥料仓产生的粉尘</w:t>
            </w:r>
          </w:p>
          <w:p w14:paraId="1CB655AD">
            <w:pPr>
              <w:ind w:firstLine="480"/>
              <w:rPr>
                <w:color w:val="FF0000"/>
              </w:rPr>
            </w:pPr>
            <w:r>
              <w:rPr>
                <w:color w:val="FF0000"/>
              </w:rPr>
              <w:t>①切割工序产生的粉尘</w:t>
            </w:r>
          </w:p>
          <w:p w14:paraId="59F1520E">
            <w:pPr>
              <w:ind w:firstLine="480"/>
              <w:rPr>
                <w:color w:val="FF0000"/>
              </w:rPr>
            </w:pPr>
            <w:r>
              <w:rPr>
                <w:color w:val="FF0000"/>
              </w:rPr>
              <w:t>切割工序中产生的粉尘经切割机自带的密闭除尘集尘系统（旋风除尘+袋式除尘）收集，产生的粉尘均全部被收集，配套引风机风量为30000m</w:t>
            </w:r>
            <w:r>
              <w:rPr>
                <w:color w:val="FF0000"/>
                <w:vertAlign w:val="superscript"/>
              </w:rPr>
              <w:t>3</w:t>
            </w:r>
            <w:r>
              <w:rPr>
                <w:color w:val="FF0000"/>
              </w:rPr>
              <w:t>/h，切割工序的粉尘产生量按原料使用量的0.1‰计，约产生1.8t/a的粉尘，产生浓度为12.5mg/m</w:t>
            </w:r>
            <w:r>
              <w:rPr>
                <w:color w:val="FF0000"/>
                <w:vertAlign w:val="superscript"/>
              </w:rPr>
              <w:t>3</w:t>
            </w:r>
            <w:r>
              <w:rPr>
                <w:color w:val="FF0000"/>
              </w:rPr>
              <w:t>。除尘系统处理效率为99.9%，粉尘经除尘系统处理后通过15m高排气筒排放。则项目有组织排放粉尘量为0.0018t/a，排放速率为0.000375kg/h，排放浓度为0.013mg/m</w:t>
            </w:r>
            <w:r>
              <w:rPr>
                <w:color w:val="FF0000"/>
                <w:vertAlign w:val="superscript"/>
              </w:rPr>
              <w:t>3</w:t>
            </w:r>
            <w:r>
              <w:rPr>
                <w:color w:val="FF0000"/>
              </w:rPr>
              <w:t>，处理过的粉尘回用于搅拌生产中。满足《水泥工业大气污染物排放标准》（GB4915-2013）表2中相关标准。</w:t>
            </w:r>
          </w:p>
          <w:p w14:paraId="146203A5">
            <w:pPr>
              <w:ind w:firstLine="480"/>
              <w:rPr>
                <w:color w:val="FF0000"/>
              </w:rPr>
            </w:pPr>
            <w:r>
              <w:rPr>
                <w:color w:val="FF0000"/>
              </w:rPr>
              <w:t>②粉煤灰投料工序产生的粉尘</w:t>
            </w:r>
          </w:p>
          <w:p w14:paraId="415027CD">
            <w:pPr>
              <w:ind w:firstLine="480"/>
              <w:rPr>
                <w:color w:val="FF0000"/>
              </w:rPr>
            </w:pPr>
            <w:r>
              <w:rPr>
                <w:color w:val="FF0000"/>
              </w:rPr>
              <w:t>粉煤灰为吨袋包装，吨袋有下料口，下料口与浆料输送设施相连接进行下料，则粉煤灰投料工序主要是吨袋下料口与浆料输送设施连接过程产生的少量粉尘。粉尘产生量参考安微皖欣科环环境科技有限公司《再生混凝土复合系列墙材项目环境影响报告表》，粉煤灰为粉末状，产生粉尘按原料使用量的0.05‰计，则粉煤灰投料工序粉尘产生量约为0.15t/a，排放速率约为0.03kg/h。项目密闭式开袋，杜绝粉尘飞扬</w:t>
            </w:r>
            <w:r>
              <w:rPr>
                <w:rStyle w:val="27"/>
                <w:color w:val="FF0000"/>
              </w:rPr>
              <w:t>。</w:t>
            </w:r>
          </w:p>
          <w:p w14:paraId="1656A686">
            <w:pPr>
              <w:ind w:firstLine="480"/>
              <w:rPr>
                <w:color w:val="FF0000"/>
              </w:rPr>
            </w:pPr>
            <w:r>
              <w:rPr>
                <w:color w:val="FF0000"/>
              </w:rPr>
              <w:t>③水泥料仓产生的粉尘</w:t>
            </w:r>
          </w:p>
          <w:p w14:paraId="0C7A4991">
            <w:pPr>
              <w:pStyle w:val="2"/>
              <w:spacing w:after="0" w:line="360" w:lineRule="auto"/>
              <w:ind w:left="0" w:leftChars="0" w:firstLine="480"/>
              <w:rPr>
                <w:rFonts w:eastAsiaTheme="minorEastAsia"/>
                <w:color w:val="FF0000"/>
              </w:rPr>
            </w:pPr>
            <w:r>
              <w:rPr>
                <w:color w:val="FF0000"/>
              </w:rPr>
              <w:t>根据建设单位及设计部门提供的资料知，本项目水泥上料总量为</w:t>
            </w:r>
            <w:r>
              <w:rPr>
                <w:rFonts w:eastAsiaTheme="minorEastAsia"/>
                <w:color w:val="FF0000"/>
              </w:rPr>
              <w:t>15000t/a，料仓每上1.0t料产生约0.23kg粉尘，则上料过程中产生的粉尘量约3.45t/a。水泥料仓自带脉冲布袋除尘器，除尘效率约95%，则粉尘排放量为0.17t/a。</w:t>
            </w:r>
          </w:p>
          <w:p w14:paraId="53F3DDD2">
            <w:pPr>
              <w:ind w:firstLine="480"/>
              <w:rPr>
                <w:color w:val="FF0000"/>
              </w:rPr>
            </w:pPr>
            <w:r>
              <w:rPr>
                <w:color w:val="FF0000"/>
              </w:rPr>
              <w:t>（2）发泡工序产生的非甲烷总烃</w:t>
            </w:r>
          </w:p>
          <w:p w14:paraId="774CFCC4">
            <w:pPr>
              <w:ind w:firstLine="480"/>
              <w:rPr>
                <w:color w:val="FF0000"/>
              </w:rPr>
            </w:pPr>
            <w:r>
              <w:rPr>
                <w:color w:val="FF0000"/>
              </w:rPr>
              <w:t>本项目发泡过程中，含有发泡剂（戊烷）的聚苯乙烯颗粒缓缓加热至80℃前，并不发泡，只是发泡剂（戊烷）向外逃逸，此时聚苯乙烯颗粒的体积也不膨胀。当温度升高至80℃以上，最高温度为110℃，聚苯乙烯颗粒开始软化，分布在其内部的发泡剂受热汽化产生压力而使聚苯乙烯颗粒膨胀形成互不连通的泡孔，蒸气也渗透到已膨胀的泡孔中，增加了泡孔内的总压力。由于蒸气不断加入，压力不断增大，聚苯乙烯颗粒的体积也就不断增大，蒸气透入泡孔中的速度超过发泡剂从泡孔中透出的速度，使发泡剂在泡孔中来不及逸出，使聚合物牵伸呈橡胶状态，其强度足以平衡内部的压力。</w:t>
            </w:r>
          </w:p>
          <w:p w14:paraId="794239AB">
            <w:pPr>
              <w:ind w:firstLine="480"/>
              <w:rPr>
                <w:color w:val="FF0000"/>
              </w:rPr>
            </w:pPr>
            <w:r>
              <w:rPr>
                <w:color w:val="FF0000"/>
              </w:rPr>
              <w:t>本项目产生的非甲烷总烃主要是来自发泡剂中的戊烷。根据同类项目：沈阳薪鹏保温材料有限公司《沈阳薪鹏保温材料有限公司建设项目》、辽宁绥鑫新材料科技有限公司《年产8万立无机复合聚苯不燃保温板项目》及焦作市诚拓塑料制品有限公司《年产12万方防火阻燃保温材料项目》，发性聚苯乙烯树脂受热挥发物（戊烷）产生量约为 0.1%，同时根据建设单位提供的设计资料，挥发物产生量为原料的0.05%-0.1%，本项目源强核算取类比及设计的最大值。即非甲烷总烃挥发量为原料的0.1%。则本项目聚苯乙烯颗粒在发泡过程中，非甲烷总烃产生量为1.5t/a。</w:t>
            </w:r>
          </w:p>
          <w:p w14:paraId="0599753D">
            <w:pPr>
              <w:ind w:firstLine="480"/>
              <w:rPr>
                <w:color w:val="FF0000"/>
              </w:rPr>
            </w:pPr>
            <w:r>
              <w:rPr>
                <w:color w:val="FF0000"/>
              </w:rPr>
              <w:t>根据建设单位提供的资料知，项目发泡工序整个过程为密闭状态，废气收集率为98%，产生的废气（蒸汽+非甲烷总烃）经管道收集进入蒸汽冷凝吸收塔，风量为10000m</w:t>
            </w:r>
            <w:r>
              <w:rPr>
                <w:color w:val="FF0000"/>
                <w:vertAlign w:val="superscript"/>
              </w:rPr>
              <w:t>3</w:t>
            </w:r>
            <w:r>
              <w:rPr>
                <w:color w:val="FF0000"/>
              </w:rPr>
              <w:t>/h，把90%以上的蒸汽冷凝成水送到搅拌工序使用，此时水温在50℃以上，有利于搅拌成型，剩下的戊烷气体及蒸汽余汽一起送进生物质蒸汽发生器炉膛中进行燃烧处理。非甲烷总烃产生量为0.31kg/h，产生浓度为31mg/m</w:t>
            </w:r>
            <w:r>
              <w:rPr>
                <w:color w:val="FF0000"/>
                <w:vertAlign w:val="superscript"/>
              </w:rPr>
              <w:t>3</w:t>
            </w:r>
            <w:r>
              <w:rPr>
                <w:color w:val="FF0000"/>
              </w:rPr>
              <w:t>。炉膛燃烧效率为90%，则非甲烷总烃排放量为0.031kg/h，排放浓度为3.1mg/m</w:t>
            </w:r>
            <w:r>
              <w:rPr>
                <w:color w:val="FF0000"/>
                <w:vertAlign w:val="superscript"/>
              </w:rPr>
              <w:t>3</w:t>
            </w:r>
            <w:r>
              <w:rPr>
                <w:color w:val="FF0000"/>
              </w:rPr>
              <w:t>。处理后经生物质发生器30m高排气筒排放。项目每天生产16小时，年生产300天。</w:t>
            </w:r>
            <w:r>
              <w:rPr>
                <w:rStyle w:val="27"/>
                <w:color w:val="FF0000"/>
                <w:sz w:val="24"/>
              </w:rPr>
              <w:t>满足</w:t>
            </w:r>
            <w:r>
              <w:rPr>
                <w:color w:val="FF0000"/>
              </w:rPr>
              <w:t>《</w:t>
            </w:r>
            <w:r>
              <w:rPr>
                <w:rFonts w:hint="eastAsia"/>
                <w:color w:val="FF0000"/>
                <w:lang w:eastAsia="zh-CN"/>
              </w:rPr>
              <w:t>大气污染物综合排放标准</w:t>
            </w:r>
            <w:r>
              <w:rPr>
                <w:color w:val="FF0000"/>
              </w:rPr>
              <w:t>》（GB</w:t>
            </w:r>
            <w:r>
              <w:rPr>
                <w:rFonts w:hint="eastAsia"/>
                <w:color w:val="FF0000"/>
                <w:lang w:val="en-US" w:eastAsia="zh-CN"/>
              </w:rPr>
              <w:t>16297-1996</w:t>
            </w:r>
            <w:r>
              <w:rPr>
                <w:color w:val="FF0000"/>
              </w:rPr>
              <w:t>）中相关要求。</w:t>
            </w:r>
          </w:p>
          <w:p w14:paraId="5AEA7974">
            <w:pPr>
              <w:ind w:firstLine="480"/>
              <w:rPr>
                <w:color w:val="FF0000"/>
              </w:rPr>
            </w:pPr>
            <w:r>
              <w:rPr>
                <w:rStyle w:val="27"/>
                <w:color w:val="FF0000"/>
                <w:sz w:val="24"/>
              </w:rPr>
              <w:t>未收集的2%非甲烷总烃无组织排放于生产车间中，非甲烷总烃无组织排放量为0.03</w:t>
            </w:r>
            <w:r>
              <w:rPr>
                <w:color w:val="FF0000"/>
              </w:rPr>
              <w:t>t/a。</w:t>
            </w:r>
          </w:p>
          <w:p w14:paraId="646868E3">
            <w:pPr>
              <w:ind w:firstLine="480"/>
              <w:rPr>
                <w:color w:val="FF0000"/>
              </w:rPr>
            </w:pPr>
            <w:r>
              <w:rPr>
                <w:color w:val="FF0000"/>
              </w:rPr>
              <w:t>（3）生物质蒸汽发生器产生的废气</w:t>
            </w:r>
          </w:p>
          <w:p w14:paraId="63013889">
            <w:pPr>
              <w:ind w:firstLine="480"/>
              <w:rPr>
                <w:b/>
                <w:color w:val="FF0000"/>
              </w:rPr>
            </w:pPr>
            <w:r>
              <w:rPr>
                <w:bCs/>
                <w:color w:val="FF0000"/>
              </w:rPr>
              <w:t>根据建设单位提供资料，生物质蒸汽发生器年运行时间4800h（每天16小时，年工作天数为300天），该项目年消耗生物质燃料为780t/a。</w:t>
            </w:r>
          </w:p>
          <w:p w14:paraId="60342E2C">
            <w:pPr>
              <w:ind w:firstLine="480"/>
              <w:rPr>
                <w:color w:val="FF0000"/>
              </w:rPr>
            </w:pPr>
            <w:r>
              <w:rPr>
                <w:color w:val="FF0000"/>
              </w:rPr>
              <w:t>根据《排污许可证申请与核发技术规范 锅炉》（HJ953-2018）中“5.2.3.2 基准烟气量核算方法 b）经验公式估算法”，该项目基准烟气量计算公式如下：</w:t>
            </w:r>
          </w:p>
          <w:p w14:paraId="3CB97E5C">
            <w:pPr>
              <w:ind w:firstLine="480"/>
              <w:jc w:val="center"/>
              <w:rPr>
                <w:color w:val="FF0000"/>
              </w:rPr>
            </w:pPr>
            <w:r>
              <w:rPr>
                <w:color w:val="FF0000"/>
                <w:position w:val="-14"/>
              </w:rPr>
              <w:object>
                <v:shape id="_x0000_i1026" o:spt="75" type="#_x0000_t75" style="height:18.85pt;width:127.9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color w:val="FF0000"/>
              </w:rPr>
              <w:t xml:space="preserve">    （Nm</w:t>
            </w:r>
            <w:r>
              <w:rPr>
                <w:color w:val="FF0000"/>
                <w:vertAlign w:val="superscript"/>
              </w:rPr>
              <w:t>3</w:t>
            </w:r>
            <w:r>
              <w:rPr>
                <w:color w:val="FF0000"/>
              </w:rPr>
              <w:t>/kg）</w:t>
            </w:r>
          </w:p>
          <w:p w14:paraId="55C6B8E2">
            <w:pPr>
              <w:ind w:firstLine="480"/>
              <w:rPr>
                <w:color w:val="FF0000"/>
              </w:rPr>
            </w:pPr>
            <w:r>
              <w:rPr>
                <w:color w:val="FF0000"/>
              </w:rPr>
              <w:t>式中：Q</w:t>
            </w:r>
            <w:r>
              <w:rPr>
                <w:color w:val="FF0000"/>
                <w:vertAlign w:val="subscript"/>
              </w:rPr>
              <w:t>net，ar</w:t>
            </w:r>
            <w:r>
              <w:rPr>
                <w:color w:val="FF0000"/>
              </w:rPr>
              <w:t>-固体燃料收到基低位发热量，MJ/kg；</w:t>
            </w:r>
          </w:p>
          <w:p w14:paraId="6E155F83">
            <w:pPr>
              <w:tabs>
                <w:tab w:val="left" w:pos="780"/>
              </w:tabs>
              <w:ind w:firstLine="480"/>
              <w:rPr>
                <w:color w:val="FF0000"/>
              </w:rPr>
            </w:pPr>
            <w:r>
              <w:rPr>
                <w:color w:val="FF0000"/>
              </w:rPr>
              <w:t>该项目生物质燃料收到基低位发热量为16.60MJ/kg；则该项目基准烟气量为7.4Nm</w:t>
            </w:r>
            <w:r>
              <w:rPr>
                <w:color w:val="FF0000"/>
                <w:vertAlign w:val="superscript"/>
              </w:rPr>
              <w:t>3</w:t>
            </w:r>
            <w:r>
              <w:rPr>
                <w:color w:val="FF0000"/>
              </w:rPr>
              <w:t>/kg。该项目</w:t>
            </w:r>
            <w:r>
              <w:rPr>
                <w:bCs/>
                <w:color w:val="FF0000"/>
              </w:rPr>
              <w:t>生物质颗粒蒸汽发生器</w:t>
            </w:r>
            <w:r>
              <w:rPr>
                <w:color w:val="FF0000"/>
              </w:rPr>
              <w:t>消耗生物质燃料780t/a，则项目产生的烟气量为577.2万m</w:t>
            </w:r>
            <w:r>
              <w:rPr>
                <w:color w:val="FF0000"/>
                <w:vertAlign w:val="superscript"/>
              </w:rPr>
              <w:t>3</w:t>
            </w:r>
            <w:r>
              <w:rPr>
                <w:color w:val="FF0000"/>
              </w:rPr>
              <w:t>/a。</w:t>
            </w:r>
          </w:p>
          <w:p w14:paraId="7800A936">
            <w:pPr>
              <w:ind w:firstLine="480"/>
              <w:rPr>
                <w:color w:val="FF0000"/>
              </w:rPr>
            </w:pPr>
            <w:r>
              <w:rPr>
                <w:color w:val="FF0000"/>
              </w:rPr>
              <w:t>根据《污染源源强核算技术指南 锅炉》（HJ991-2018）中“9.2.1.3产排污系数法”核算，该项目所用</w:t>
            </w:r>
            <w:r>
              <w:rPr>
                <w:bCs/>
                <w:color w:val="FF0000"/>
              </w:rPr>
              <w:t>生物质颗粒蒸汽发生器</w:t>
            </w:r>
            <w:r>
              <w:rPr>
                <w:color w:val="FF0000"/>
              </w:rPr>
              <w:t>的污染物颗粒物、SO</w:t>
            </w:r>
            <w:r>
              <w:rPr>
                <w:color w:val="FF0000"/>
                <w:vertAlign w:val="subscript"/>
              </w:rPr>
              <w:t>2</w:t>
            </w:r>
            <w:r>
              <w:rPr>
                <w:color w:val="FF0000"/>
              </w:rPr>
              <w:t>、氮氧化物的排放量。</w:t>
            </w:r>
          </w:p>
          <w:p w14:paraId="256DE426">
            <w:pPr>
              <w:ind w:firstLine="480"/>
              <w:rPr>
                <w:color w:val="FF0000"/>
              </w:rPr>
            </w:pPr>
            <w:r>
              <w:rPr>
                <w:color w:val="FF0000"/>
                <w:position w:val="-24"/>
              </w:rPr>
              <w:pict>
                <v:shape id="对象 822" o:spid="_x0000_s1027" o:spt="75" type="#_x0000_t75" style="position:absolute;left:0pt;margin-left:139.45pt;margin-top:20.7pt;height:21.95pt;width:85pt;z-index:251660288;mso-width-relative:page;mso-height-relative:page;" o:ole="t" filled="f" o:preferrelative="t" stroked="f" coordsize="21600,21600">
                  <v:path/>
                  <v:fill on="f" focussize="0,0"/>
                  <v:stroke on="f" joinstyle="miter"/>
                  <v:imagedata r:id="rId22" o:title=""/>
                  <o:lock v:ext="edit" aspectratio="t"/>
                </v:shape>
                <o:OLEObject Type="Embed" ProgID="Equation.3" ShapeID="对象 822" DrawAspect="Content" ObjectID="_1468075727" r:id="rId21">
                  <o:LockedField>false</o:LockedField>
                </o:OLEObject>
              </w:pict>
            </w:r>
            <w:r>
              <w:rPr>
                <w:color w:val="FF0000"/>
              </w:rPr>
              <w:t>计算公式如下：</w:t>
            </w:r>
          </w:p>
          <w:p w14:paraId="31CB7777">
            <w:pPr>
              <w:spacing w:beforeLines="50" w:line="480" w:lineRule="exact"/>
              <w:ind w:firstLine="480"/>
              <w:jc w:val="center"/>
              <w:rPr>
                <w:color w:val="FF0000"/>
              </w:rPr>
            </w:pPr>
          </w:p>
          <w:p w14:paraId="3B06C1BE">
            <w:pPr>
              <w:ind w:firstLine="480"/>
              <w:rPr>
                <w:color w:val="FF0000"/>
              </w:rPr>
            </w:pPr>
            <w:r>
              <w:rPr>
                <w:color w:val="FF0000"/>
              </w:rPr>
              <w:t>式中：E</w:t>
            </w:r>
            <w:r>
              <w:rPr>
                <w:color w:val="FF0000"/>
                <w:vertAlign w:val="subscript"/>
              </w:rPr>
              <w:t>j</w:t>
            </w:r>
            <w:r>
              <w:rPr>
                <w:color w:val="FF0000"/>
              </w:rPr>
              <w:t>-核算时段内第j种污染物的排放量，t；</w:t>
            </w:r>
          </w:p>
          <w:p w14:paraId="7F65BFF1">
            <w:pPr>
              <w:ind w:firstLine="1200" w:firstLineChars="500"/>
              <w:rPr>
                <w:color w:val="FF0000"/>
              </w:rPr>
            </w:pPr>
            <w:r>
              <w:rPr>
                <w:color w:val="FF0000"/>
              </w:rPr>
              <w:t>R-核算时段内锅炉燃料消耗量，t或万m</w:t>
            </w:r>
            <w:r>
              <w:rPr>
                <w:color w:val="FF0000"/>
                <w:vertAlign w:val="superscript"/>
              </w:rPr>
              <w:t>3</w:t>
            </w:r>
            <w:r>
              <w:rPr>
                <w:color w:val="FF0000"/>
              </w:rPr>
              <w:t>；则该项</w:t>
            </w:r>
            <w:r>
              <w:rPr>
                <w:bCs/>
                <w:color w:val="FF0000"/>
              </w:rPr>
              <w:t>生物质颗粒蒸汽发生器</w:t>
            </w:r>
            <w:r>
              <w:rPr>
                <w:color w:val="FF0000"/>
              </w:rPr>
              <w:t>R取780t；</w:t>
            </w:r>
          </w:p>
          <w:p w14:paraId="5864834E">
            <w:pPr>
              <w:ind w:firstLine="1200" w:firstLineChars="500"/>
              <w:rPr>
                <w:color w:val="FF0000"/>
              </w:rPr>
            </w:pPr>
            <w:r>
              <w:rPr>
                <w:color w:val="FF0000"/>
              </w:rPr>
              <w:t>β</w:t>
            </w:r>
            <w:r>
              <w:rPr>
                <w:color w:val="FF0000"/>
                <w:vertAlign w:val="subscript"/>
              </w:rPr>
              <w:t>j</w:t>
            </w:r>
            <w:r>
              <w:rPr>
                <w:color w:val="FF0000"/>
              </w:rPr>
              <w:t>-第j种污染物产排污系数，kg/t-燃料或kg/万m</w:t>
            </w:r>
            <w:r>
              <w:rPr>
                <w:color w:val="FF0000"/>
                <w:vertAlign w:val="superscript"/>
              </w:rPr>
              <w:t>3</w:t>
            </w:r>
            <w:r>
              <w:rPr>
                <w:color w:val="FF0000"/>
              </w:rPr>
              <w:t>-燃料。</w:t>
            </w:r>
          </w:p>
          <w:p w14:paraId="0B33B02C">
            <w:pPr>
              <w:ind w:firstLine="480"/>
              <w:rPr>
                <w:color w:val="FF0000"/>
              </w:rPr>
            </w:pPr>
            <w:r>
              <w:rPr>
                <w:color w:val="FF0000"/>
              </w:rPr>
              <w:t>β</w:t>
            </w:r>
            <w:r>
              <w:rPr>
                <w:color w:val="FF0000"/>
                <w:vertAlign w:val="subscript"/>
              </w:rPr>
              <w:t>j</w:t>
            </w:r>
            <w:r>
              <w:rPr>
                <w:color w:val="FF0000"/>
              </w:rPr>
              <w:t>取值参考《排污许可证申请与核发技术规范 锅炉》（HJ953-2018）中“附录F 锅炉产排污系数 表F.4燃生物质工业锅炉的废气产排污系数”，</w:t>
            </w:r>
            <w:r>
              <w:rPr>
                <w:bCs/>
                <w:color w:val="FF0000"/>
              </w:rPr>
              <w:t>该</w:t>
            </w:r>
            <w:r>
              <w:rPr>
                <w:color w:val="FF0000"/>
              </w:rPr>
              <w:t>项目产污系数情况见下表。</w:t>
            </w:r>
          </w:p>
          <w:p w14:paraId="116CC5DE">
            <w:pPr>
              <w:pStyle w:val="33"/>
              <w:spacing w:beforeLines="0"/>
              <w:rPr>
                <w:rFonts w:hint="default"/>
                <w:color w:val="FF0000"/>
              </w:rPr>
            </w:pPr>
            <w:r>
              <w:rPr>
                <w:rFonts w:hint="default"/>
                <w:color w:val="FF0000"/>
              </w:rPr>
              <w:t>表20   燃生物质工业锅炉的废气产排污系数</w:t>
            </w:r>
          </w:p>
          <w:tbl>
            <w:tblPr>
              <w:tblStyle w:val="24"/>
              <w:tblW w:w="4998"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619"/>
              <w:gridCol w:w="1629"/>
              <w:gridCol w:w="1622"/>
              <w:gridCol w:w="1625"/>
            </w:tblGrid>
            <w:tr w14:paraId="27D0B6E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6" w:type="pct"/>
                  <w:tcBorders>
                    <w:tl2br w:val="nil"/>
                    <w:tr2bl w:val="nil"/>
                  </w:tcBorders>
                  <w:vAlign w:val="center"/>
                </w:tcPr>
                <w:p w14:paraId="61E0D06C">
                  <w:pPr>
                    <w:widowControl/>
                    <w:spacing w:line="240" w:lineRule="auto"/>
                    <w:ind w:firstLine="0" w:firstLineChars="0"/>
                    <w:jc w:val="center"/>
                    <w:rPr>
                      <w:bCs/>
                      <w:color w:val="FF0000"/>
                      <w:kern w:val="0"/>
                      <w:sz w:val="21"/>
                      <w:szCs w:val="21"/>
                    </w:rPr>
                  </w:pPr>
                  <w:r>
                    <w:rPr>
                      <w:bCs/>
                      <w:color w:val="FF0000"/>
                      <w:kern w:val="0"/>
                      <w:sz w:val="21"/>
                      <w:szCs w:val="21"/>
                    </w:rPr>
                    <w:t>污染物指标</w:t>
                  </w:r>
                </w:p>
              </w:tc>
              <w:tc>
                <w:tcPr>
                  <w:tcW w:w="998" w:type="pct"/>
                  <w:tcBorders>
                    <w:tl2br w:val="nil"/>
                    <w:tr2bl w:val="nil"/>
                  </w:tcBorders>
                  <w:vAlign w:val="center"/>
                </w:tcPr>
                <w:p w14:paraId="72C39F82">
                  <w:pPr>
                    <w:widowControl/>
                    <w:spacing w:line="240" w:lineRule="auto"/>
                    <w:ind w:firstLine="0" w:firstLineChars="0"/>
                    <w:jc w:val="center"/>
                    <w:rPr>
                      <w:bCs/>
                      <w:color w:val="FF0000"/>
                      <w:kern w:val="0"/>
                      <w:sz w:val="21"/>
                      <w:szCs w:val="21"/>
                    </w:rPr>
                  </w:pPr>
                  <w:r>
                    <w:rPr>
                      <w:bCs/>
                      <w:color w:val="FF0000"/>
                      <w:kern w:val="0"/>
                      <w:sz w:val="21"/>
                      <w:szCs w:val="21"/>
                    </w:rPr>
                    <w:t>单位</w:t>
                  </w:r>
                </w:p>
              </w:tc>
              <w:tc>
                <w:tcPr>
                  <w:tcW w:w="1004" w:type="pct"/>
                  <w:tcBorders>
                    <w:tl2br w:val="nil"/>
                    <w:tr2bl w:val="nil"/>
                  </w:tcBorders>
                  <w:vAlign w:val="center"/>
                </w:tcPr>
                <w:p w14:paraId="231C4960">
                  <w:pPr>
                    <w:widowControl/>
                    <w:spacing w:line="240" w:lineRule="auto"/>
                    <w:ind w:firstLine="0" w:firstLineChars="0"/>
                    <w:jc w:val="center"/>
                    <w:rPr>
                      <w:bCs/>
                      <w:color w:val="FF0000"/>
                      <w:kern w:val="0"/>
                      <w:sz w:val="21"/>
                      <w:szCs w:val="21"/>
                    </w:rPr>
                  </w:pPr>
                  <w:r>
                    <w:rPr>
                      <w:bCs/>
                      <w:color w:val="FF0000"/>
                      <w:kern w:val="0"/>
                      <w:sz w:val="21"/>
                      <w:szCs w:val="21"/>
                    </w:rPr>
                    <w:t>产污系数</w:t>
                  </w:r>
                </w:p>
              </w:tc>
              <w:tc>
                <w:tcPr>
                  <w:tcW w:w="1000" w:type="pct"/>
                  <w:tcBorders>
                    <w:tl2br w:val="nil"/>
                    <w:tr2bl w:val="nil"/>
                  </w:tcBorders>
                  <w:vAlign w:val="center"/>
                </w:tcPr>
                <w:p w14:paraId="7CDF0ED0">
                  <w:pPr>
                    <w:widowControl/>
                    <w:spacing w:line="240" w:lineRule="auto"/>
                    <w:ind w:firstLine="0" w:firstLineChars="0"/>
                    <w:jc w:val="center"/>
                    <w:rPr>
                      <w:bCs/>
                      <w:color w:val="FF0000"/>
                      <w:kern w:val="0"/>
                      <w:sz w:val="21"/>
                      <w:szCs w:val="21"/>
                    </w:rPr>
                  </w:pPr>
                  <w:r>
                    <w:rPr>
                      <w:bCs/>
                      <w:color w:val="FF0000"/>
                      <w:kern w:val="0"/>
                      <w:sz w:val="21"/>
                      <w:szCs w:val="21"/>
                    </w:rPr>
                    <w:t>末端治理技术名称</w:t>
                  </w:r>
                </w:p>
              </w:tc>
              <w:tc>
                <w:tcPr>
                  <w:tcW w:w="1000" w:type="pct"/>
                  <w:tcBorders>
                    <w:tl2br w:val="nil"/>
                    <w:tr2bl w:val="nil"/>
                  </w:tcBorders>
                  <w:vAlign w:val="center"/>
                </w:tcPr>
                <w:p w14:paraId="4B9E07A8">
                  <w:pPr>
                    <w:widowControl/>
                    <w:spacing w:line="240" w:lineRule="auto"/>
                    <w:ind w:firstLine="0" w:firstLineChars="0"/>
                    <w:jc w:val="center"/>
                    <w:rPr>
                      <w:bCs/>
                      <w:color w:val="FF0000"/>
                      <w:kern w:val="0"/>
                      <w:sz w:val="21"/>
                      <w:szCs w:val="21"/>
                    </w:rPr>
                  </w:pPr>
                  <w:r>
                    <w:rPr>
                      <w:bCs/>
                      <w:color w:val="FF0000"/>
                      <w:kern w:val="0"/>
                      <w:sz w:val="21"/>
                      <w:szCs w:val="21"/>
                    </w:rPr>
                    <w:t>排污系数</w:t>
                  </w:r>
                </w:p>
              </w:tc>
            </w:tr>
            <w:tr w14:paraId="075F8B0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6" w:type="pct"/>
                  <w:tcBorders>
                    <w:tl2br w:val="nil"/>
                    <w:tr2bl w:val="nil"/>
                  </w:tcBorders>
                  <w:vAlign w:val="center"/>
                </w:tcPr>
                <w:p w14:paraId="60E9CC36">
                  <w:pPr>
                    <w:spacing w:line="240" w:lineRule="auto"/>
                    <w:ind w:firstLine="0" w:firstLineChars="0"/>
                    <w:jc w:val="center"/>
                    <w:rPr>
                      <w:color w:val="FF0000"/>
                      <w:sz w:val="21"/>
                      <w:szCs w:val="21"/>
                    </w:rPr>
                  </w:pPr>
                  <w:r>
                    <w:rPr>
                      <w:color w:val="FF0000"/>
                      <w:sz w:val="21"/>
                      <w:szCs w:val="21"/>
                    </w:rPr>
                    <w:t>二氧化硫</w:t>
                  </w:r>
                </w:p>
              </w:tc>
              <w:tc>
                <w:tcPr>
                  <w:tcW w:w="998" w:type="pct"/>
                  <w:tcBorders>
                    <w:tl2br w:val="nil"/>
                    <w:tr2bl w:val="nil"/>
                  </w:tcBorders>
                  <w:vAlign w:val="center"/>
                </w:tcPr>
                <w:p w14:paraId="7B2BC613">
                  <w:pPr>
                    <w:spacing w:line="240" w:lineRule="auto"/>
                    <w:ind w:firstLine="0" w:firstLineChars="0"/>
                    <w:jc w:val="center"/>
                    <w:rPr>
                      <w:color w:val="FF0000"/>
                      <w:sz w:val="21"/>
                      <w:szCs w:val="21"/>
                    </w:rPr>
                  </w:pPr>
                  <w:r>
                    <w:rPr>
                      <w:color w:val="FF0000"/>
                      <w:sz w:val="21"/>
                      <w:szCs w:val="21"/>
                    </w:rPr>
                    <w:t>kg/t-燃料</w:t>
                  </w:r>
                </w:p>
              </w:tc>
              <w:tc>
                <w:tcPr>
                  <w:tcW w:w="1004" w:type="pct"/>
                  <w:tcBorders>
                    <w:tl2br w:val="nil"/>
                    <w:tr2bl w:val="nil"/>
                  </w:tcBorders>
                  <w:vAlign w:val="center"/>
                </w:tcPr>
                <w:p w14:paraId="255D3F9E">
                  <w:pPr>
                    <w:spacing w:line="240" w:lineRule="auto"/>
                    <w:ind w:firstLine="0" w:firstLineChars="0"/>
                    <w:jc w:val="center"/>
                    <w:rPr>
                      <w:color w:val="FF0000"/>
                      <w:sz w:val="21"/>
                      <w:szCs w:val="21"/>
                    </w:rPr>
                  </w:pPr>
                  <w:r>
                    <w:rPr>
                      <w:color w:val="FF0000"/>
                      <w:sz w:val="21"/>
                      <w:szCs w:val="21"/>
                    </w:rPr>
                    <w:t>17S</w:t>
                  </w:r>
                </w:p>
              </w:tc>
              <w:tc>
                <w:tcPr>
                  <w:tcW w:w="1000" w:type="pct"/>
                  <w:tcBorders>
                    <w:tl2br w:val="nil"/>
                    <w:tr2bl w:val="nil"/>
                  </w:tcBorders>
                  <w:vAlign w:val="center"/>
                </w:tcPr>
                <w:p w14:paraId="5FF568A1">
                  <w:pPr>
                    <w:spacing w:line="240" w:lineRule="auto"/>
                    <w:ind w:firstLine="0" w:firstLineChars="0"/>
                    <w:jc w:val="center"/>
                    <w:rPr>
                      <w:color w:val="FF0000"/>
                      <w:sz w:val="21"/>
                      <w:szCs w:val="21"/>
                    </w:rPr>
                  </w:pPr>
                  <w:r>
                    <w:rPr>
                      <w:color w:val="FF0000"/>
                      <w:sz w:val="21"/>
                      <w:szCs w:val="21"/>
                    </w:rPr>
                    <w:t>直排</w:t>
                  </w:r>
                </w:p>
              </w:tc>
              <w:tc>
                <w:tcPr>
                  <w:tcW w:w="1000" w:type="pct"/>
                  <w:tcBorders>
                    <w:tl2br w:val="nil"/>
                    <w:tr2bl w:val="nil"/>
                  </w:tcBorders>
                  <w:vAlign w:val="center"/>
                </w:tcPr>
                <w:p w14:paraId="05259CFB">
                  <w:pPr>
                    <w:spacing w:line="240" w:lineRule="auto"/>
                    <w:ind w:firstLine="0" w:firstLineChars="0"/>
                    <w:jc w:val="center"/>
                    <w:rPr>
                      <w:color w:val="FF0000"/>
                      <w:sz w:val="21"/>
                      <w:szCs w:val="21"/>
                    </w:rPr>
                  </w:pPr>
                  <w:r>
                    <w:rPr>
                      <w:color w:val="FF0000"/>
                      <w:sz w:val="21"/>
                      <w:szCs w:val="21"/>
                    </w:rPr>
                    <w:t>17S</w:t>
                  </w:r>
                </w:p>
              </w:tc>
            </w:tr>
            <w:tr w14:paraId="6FE09A6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6" w:type="pct"/>
                  <w:tcBorders>
                    <w:tl2br w:val="nil"/>
                    <w:tr2bl w:val="nil"/>
                  </w:tcBorders>
                  <w:vAlign w:val="center"/>
                </w:tcPr>
                <w:p w14:paraId="0B0E9890">
                  <w:pPr>
                    <w:spacing w:line="240" w:lineRule="auto"/>
                    <w:ind w:firstLine="0" w:firstLineChars="0"/>
                    <w:jc w:val="center"/>
                    <w:rPr>
                      <w:color w:val="FF0000"/>
                      <w:sz w:val="21"/>
                      <w:szCs w:val="21"/>
                    </w:rPr>
                  </w:pPr>
                  <w:r>
                    <w:rPr>
                      <w:color w:val="FF0000"/>
                      <w:sz w:val="21"/>
                      <w:szCs w:val="21"/>
                    </w:rPr>
                    <w:t>颗粒物（成型燃料）</w:t>
                  </w:r>
                </w:p>
              </w:tc>
              <w:tc>
                <w:tcPr>
                  <w:tcW w:w="998" w:type="pct"/>
                  <w:tcBorders>
                    <w:tl2br w:val="nil"/>
                    <w:tr2bl w:val="nil"/>
                  </w:tcBorders>
                  <w:vAlign w:val="center"/>
                </w:tcPr>
                <w:p w14:paraId="0501FB4B">
                  <w:pPr>
                    <w:spacing w:line="240" w:lineRule="auto"/>
                    <w:ind w:firstLine="0" w:firstLineChars="0"/>
                    <w:jc w:val="center"/>
                    <w:rPr>
                      <w:color w:val="FF0000"/>
                      <w:sz w:val="21"/>
                      <w:szCs w:val="21"/>
                    </w:rPr>
                  </w:pPr>
                  <w:r>
                    <w:rPr>
                      <w:color w:val="FF0000"/>
                      <w:sz w:val="21"/>
                      <w:szCs w:val="21"/>
                    </w:rPr>
                    <w:t>kg/t-燃料</w:t>
                  </w:r>
                </w:p>
              </w:tc>
              <w:tc>
                <w:tcPr>
                  <w:tcW w:w="1004" w:type="pct"/>
                  <w:tcBorders>
                    <w:tl2br w:val="nil"/>
                    <w:tr2bl w:val="nil"/>
                  </w:tcBorders>
                  <w:vAlign w:val="center"/>
                </w:tcPr>
                <w:p w14:paraId="6BBB22BD">
                  <w:pPr>
                    <w:spacing w:line="240" w:lineRule="auto"/>
                    <w:ind w:firstLine="0" w:firstLineChars="0"/>
                    <w:jc w:val="center"/>
                    <w:rPr>
                      <w:color w:val="FF0000"/>
                      <w:sz w:val="21"/>
                      <w:szCs w:val="21"/>
                    </w:rPr>
                  </w:pPr>
                  <w:r>
                    <w:rPr>
                      <w:color w:val="FF0000"/>
                      <w:sz w:val="21"/>
                      <w:szCs w:val="21"/>
                    </w:rPr>
                    <w:t>0.5</w:t>
                  </w:r>
                </w:p>
              </w:tc>
              <w:tc>
                <w:tcPr>
                  <w:tcW w:w="1000" w:type="pct"/>
                  <w:tcBorders>
                    <w:tl2br w:val="nil"/>
                    <w:tr2bl w:val="nil"/>
                  </w:tcBorders>
                  <w:vAlign w:val="center"/>
                </w:tcPr>
                <w:p w14:paraId="746D1A5F">
                  <w:pPr>
                    <w:spacing w:line="240" w:lineRule="auto"/>
                    <w:ind w:firstLine="0" w:firstLineChars="0"/>
                    <w:jc w:val="center"/>
                    <w:rPr>
                      <w:color w:val="FF0000"/>
                      <w:sz w:val="21"/>
                      <w:szCs w:val="21"/>
                    </w:rPr>
                  </w:pPr>
                  <w:r>
                    <w:rPr>
                      <w:color w:val="FF0000"/>
                      <w:sz w:val="21"/>
                      <w:szCs w:val="21"/>
                    </w:rPr>
                    <w:t>旋风除尘+袋式除尘技术</w:t>
                  </w:r>
                </w:p>
              </w:tc>
              <w:tc>
                <w:tcPr>
                  <w:tcW w:w="1000" w:type="pct"/>
                  <w:tcBorders>
                    <w:tl2br w:val="nil"/>
                    <w:tr2bl w:val="nil"/>
                  </w:tcBorders>
                  <w:vAlign w:val="center"/>
                </w:tcPr>
                <w:p w14:paraId="3563ABFE">
                  <w:pPr>
                    <w:spacing w:line="240" w:lineRule="auto"/>
                    <w:ind w:firstLine="0" w:firstLineChars="0"/>
                    <w:jc w:val="center"/>
                    <w:rPr>
                      <w:color w:val="FF0000"/>
                      <w:sz w:val="21"/>
                      <w:szCs w:val="21"/>
                    </w:rPr>
                  </w:pPr>
                  <w:r>
                    <w:rPr>
                      <w:color w:val="FF0000"/>
                      <w:sz w:val="21"/>
                      <w:szCs w:val="21"/>
                    </w:rPr>
                    <w:t>0.005</w:t>
                  </w:r>
                </w:p>
              </w:tc>
            </w:tr>
            <w:tr w14:paraId="4A50024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6" w:type="pct"/>
                  <w:tcBorders>
                    <w:tl2br w:val="nil"/>
                    <w:tr2bl w:val="nil"/>
                  </w:tcBorders>
                  <w:vAlign w:val="center"/>
                </w:tcPr>
                <w:p w14:paraId="4C412EFB">
                  <w:pPr>
                    <w:spacing w:line="240" w:lineRule="auto"/>
                    <w:ind w:firstLine="0" w:firstLineChars="0"/>
                    <w:jc w:val="center"/>
                    <w:rPr>
                      <w:color w:val="FF0000"/>
                      <w:sz w:val="21"/>
                      <w:szCs w:val="21"/>
                    </w:rPr>
                  </w:pPr>
                  <w:r>
                    <w:rPr>
                      <w:color w:val="FF0000"/>
                      <w:sz w:val="21"/>
                      <w:szCs w:val="21"/>
                    </w:rPr>
                    <w:t>氮氧化物</w:t>
                  </w:r>
                </w:p>
              </w:tc>
              <w:tc>
                <w:tcPr>
                  <w:tcW w:w="998" w:type="pct"/>
                  <w:tcBorders>
                    <w:tl2br w:val="nil"/>
                    <w:tr2bl w:val="nil"/>
                  </w:tcBorders>
                  <w:vAlign w:val="center"/>
                </w:tcPr>
                <w:p w14:paraId="240FC57C">
                  <w:pPr>
                    <w:spacing w:line="240" w:lineRule="auto"/>
                    <w:ind w:firstLine="0" w:firstLineChars="0"/>
                    <w:jc w:val="center"/>
                    <w:rPr>
                      <w:color w:val="FF0000"/>
                      <w:sz w:val="21"/>
                      <w:szCs w:val="21"/>
                    </w:rPr>
                  </w:pPr>
                  <w:r>
                    <w:rPr>
                      <w:color w:val="FF0000"/>
                      <w:sz w:val="21"/>
                      <w:szCs w:val="21"/>
                    </w:rPr>
                    <w:t>kg/t-燃料</w:t>
                  </w:r>
                </w:p>
              </w:tc>
              <w:tc>
                <w:tcPr>
                  <w:tcW w:w="1004" w:type="pct"/>
                  <w:tcBorders>
                    <w:tl2br w:val="nil"/>
                    <w:tr2bl w:val="nil"/>
                  </w:tcBorders>
                  <w:vAlign w:val="center"/>
                </w:tcPr>
                <w:p w14:paraId="25FDE701">
                  <w:pPr>
                    <w:spacing w:line="240" w:lineRule="auto"/>
                    <w:ind w:firstLine="0" w:firstLineChars="0"/>
                    <w:jc w:val="center"/>
                    <w:rPr>
                      <w:color w:val="FF0000"/>
                      <w:sz w:val="21"/>
                      <w:szCs w:val="21"/>
                    </w:rPr>
                  </w:pPr>
                  <w:r>
                    <w:rPr>
                      <w:color w:val="FF0000"/>
                      <w:sz w:val="21"/>
                      <w:szCs w:val="21"/>
                    </w:rPr>
                    <w:t>0.71（低氮燃烧）</w:t>
                  </w:r>
                </w:p>
              </w:tc>
              <w:tc>
                <w:tcPr>
                  <w:tcW w:w="1000" w:type="pct"/>
                  <w:tcBorders>
                    <w:tl2br w:val="nil"/>
                    <w:tr2bl w:val="nil"/>
                  </w:tcBorders>
                  <w:vAlign w:val="center"/>
                </w:tcPr>
                <w:p w14:paraId="1EBE8337">
                  <w:pPr>
                    <w:spacing w:line="240" w:lineRule="auto"/>
                    <w:ind w:firstLine="0" w:firstLineChars="0"/>
                    <w:jc w:val="center"/>
                    <w:rPr>
                      <w:color w:val="FF0000"/>
                      <w:sz w:val="21"/>
                      <w:szCs w:val="21"/>
                    </w:rPr>
                  </w:pPr>
                  <w:r>
                    <w:rPr>
                      <w:color w:val="FF0000"/>
                      <w:sz w:val="21"/>
                      <w:szCs w:val="21"/>
                    </w:rPr>
                    <w:t>直排</w:t>
                  </w:r>
                </w:p>
              </w:tc>
              <w:tc>
                <w:tcPr>
                  <w:tcW w:w="1000" w:type="pct"/>
                  <w:tcBorders>
                    <w:tl2br w:val="nil"/>
                    <w:tr2bl w:val="nil"/>
                  </w:tcBorders>
                  <w:vAlign w:val="center"/>
                </w:tcPr>
                <w:p w14:paraId="6F50A4BE">
                  <w:pPr>
                    <w:spacing w:line="240" w:lineRule="auto"/>
                    <w:ind w:firstLine="0" w:firstLineChars="0"/>
                    <w:jc w:val="center"/>
                    <w:rPr>
                      <w:color w:val="FF0000"/>
                      <w:sz w:val="21"/>
                      <w:szCs w:val="21"/>
                    </w:rPr>
                  </w:pPr>
                  <w:r>
                    <w:rPr>
                      <w:color w:val="FF0000"/>
                      <w:sz w:val="21"/>
                      <w:szCs w:val="21"/>
                    </w:rPr>
                    <w:t>0.71</w:t>
                  </w:r>
                </w:p>
              </w:tc>
            </w:tr>
            <w:tr w14:paraId="2031BB4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000" w:type="pct"/>
                  <w:gridSpan w:val="5"/>
                  <w:tcBorders>
                    <w:tl2br w:val="nil"/>
                    <w:tr2bl w:val="nil"/>
                  </w:tcBorders>
                  <w:vAlign w:val="center"/>
                </w:tcPr>
                <w:p w14:paraId="203C64BD">
                  <w:pPr>
                    <w:spacing w:line="240" w:lineRule="auto"/>
                    <w:ind w:firstLine="0" w:firstLineChars="0"/>
                    <w:jc w:val="left"/>
                    <w:rPr>
                      <w:color w:val="FF0000"/>
                      <w:sz w:val="21"/>
                      <w:szCs w:val="21"/>
                    </w:rPr>
                  </w:pPr>
                  <w:r>
                    <w:rPr>
                      <w:color w:val="FF0000"/>
                      <w:sz w:val="21"/>
                      <w:szCs w:val="21"/>
                    </w:rPr>
                    <w:t>注：二氧化硫的产排污系数是以含硫量（S%）的形式表示，其中含硫量（S%）是指生物质收到基硫含量，以质量百分数的形式表示。生物质中含硫量取（S%）为0.02%，则S=0.02。</w:t>
                  </w:r>
                </w:p>
              </w:tc>
            </w:tr>
          </w:tbl>
          <w:p w14:paraId="2A68941D">
            <w:pPr>
              <w:pStyle w:val="10"/>
              <w:ind w:firstLine="480"/>
              <w:jc w:val="both"/>
              <w:rPr>
                <w:color w:val="FF0000"/>
              </w:rPr>
            </w:pPr>
            <w:r>
              <w:rPr>
                <w:color w:val="FF0000"/>
              </w:rPr>
              <w:t>根据上述参数，经过计算得出生物质颗粒蒸汽发生器颗粒物排放量为0.0039t/a，排放浓度为0.68mg/m</w:t>
            </w:r>
            <w:r>
              <w:rPr>
                <w:color w:val="FF0000"/>
                <w:vertAlign w:val="superscript"/>
              </w:rPr>
              <w:t>3</w:t>
            </w:r>
            <w:r>
              <w:rPr>
                <w:color w:val="FF0000"/>
              </w:rPr>
              <w:t>；二氧化硫排放量为0.27t/a，排放浓度为46.78mg/m</w:t>
            </w:r>
            <w:r>
              <w:rPr>
                <w:color w:val="FF0000"/>
                <w:vertAlign w:val="superscript"/>
              </w:rPr>
              <w:t>3</w:t>
            </w:r>
            <w:r>
              <w:rPr>
                <w:color w:val="FF0000"/>
              </w:rPr>
              <w:t>；氮氧化物排放量为0.55t/a，排放浓度为95.29mg/m</w:t>
            </w:r>
            <w:r>
              <w:rPr>
                <w:color w:val="FF0000"/>
                <w:vertAlign w:val="superscript"/>
              </w:rPr>
              <w:t>3</w:t>
            </w:r>
            <w:r>
              <w:rPr>
                <w:color w:val="FF0000"/>
              </w:rPr>
              <w:t>。颗粒物、二氧化硫么、氮氧化物均满足中《锅炉大气污染物排放标准》（GB13271-2014）中表3相关要求。</w:t>
            </w:r>
          </w:p>
          <w:p w14:paraId="19E2F267">
            <w:pPr>
              <w:pStyle w:val="10"/>
              <w:ind w:firstLine="480"/>
              <w:jc w:val="both"/>
              <w:rPr>
                <w:color w:val="FF0000"/>
              </w:rPr>
            </w:pPr>
            <w:r>
              <w:rPr>
                <w:color w:val="FF0000"/>
              </w:rPr>
              <w:t>生物质蒸汽发生器产生的废气经低氮燃烧+旋风除尘+袋式除尘处理后通过30m高排气筒排放。</w:t>
            </w:r>
          </w:p>
          <w:p w14:paraId="597D85EF">
            <w:pPr>
              <w:ind w:firstLine="480"/>
            </w:pPr>
            <w:r>
              <w:t>本项目废气排放情况详见下表。</w:t>
            </w:r>
          </w:p>
          <w:p w14:paraId="09C1511B">
            <w:pPr>
              <w:pStyle w:val="33"/>
              <w:spacing w:beforeLines="0"/>
              <w:rPr>
                <w:rFonts w:hint="default"/>
              </w:rPr>
            </w:pPr>
            <w:r>
              <w:rPr>
                <w:rFonts w:hint="default"/>
              </w:rPr>
              <w:t>表21  废气排放情况</w:t>
            </w:r>
          </w:p>
          <w:tbl>
            <w:tblPr>
              <w:tblStyle w:val="24"/>
              <w:tblW w:w="4996"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690"/>
              <w:gridCol w:w="824"/>
              <w:gridCol w:w="740"/>
              <w:gridCol w:w="1377"/>
              <w:gridCol w:w="1103"/>
              <w:gridCol w:w="796"/>
              <w:gridCol w:w="1396"/>
              <w:gridCol w:w="675"/>
            </w:tblGrid>
            <w:tr w14:paraId="115F9C6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312" w:hRule="atLeast"/>
                <w:jc w:val="center"/>
              </w:trPr>
              <w:tc>
                <w:tcPr>
                  <w:tcW w:w="313" w:type="pct"/>
                  <w:vMerge w:val="restart"/>
                  <w:vAlign w:val="center"/>
                </w:tcPr>
                <w:p w14:paraId="1BEA28DA">
                  <w:pPr>
                    <w:pStyle w:val="32"/>
                    <w:spacing w:before="48" w:after="48"/>
                  </w:pPr>
                  <w:r>
                    <w:t>序号</w:t>
                  </w:r>
                </w:p>
              </w:tc>
              <w:tc>
                <w:tcPr>
                  <w:tcW w:w="425" w:type="pct"/>
                  <w:vMerge w:val="restart"/>
                  <w:vAlign w:val="center"/>
                </w:tcPr>
                <w:p w14:paraId="4724D6C1">
                  <w:pPr>
                    <w:pStyle w:val="32"/>
                    <w:spacing w:before="48" w:after="48"/>
                  </w:pPr>
                  <w:r>
                    <w:t>产污环节</w:t>
                  </w:r>
                </w:p>
              </w:tc>
              <w:tc>
                <w:tcPr>
                  <w:tcW w:w="508" w:type="pct"/>
                  <w:vMerge w:val="restart"/>
                  <w:vAlign w:val="center"/>
                </w:tcPr>
                <w:p w14:paraId="6FEB1596">
                  <w:pPr>
                    <w:pStyle w:val="32"/>
                    <w:spacing w:before="48" w:after="48"/>
                  </w:pPr>
                  <w:r>
                    <w:t>污染物种类</w:t>
                  </w:r>
                </w:p>
              </w:tc>
              <w:tc>
                <w:tcPr>
                  <w:tcW w:w="456" w:type="pct"/>
                  <w:vMerge w:val="restart"/>
                  <w:vAlign w:val="center"/>
                </w:tcPr>
                <w:p w14:paraId="6B3721C8">
                  <w:pPr>
                    <w:pStyle w:val="32"/>
                    <w:spacing w:before="48" w:after="48"/>
                  </w:pPr>
                  <w:r>
                    <w:t>排放形式</w:t>
                  </w:r>
                </w:p>
              </w:tc>
              <w:tc>
                <w:tcPr>
                  <w:tcW w:w="849" w:type="pct"/>
                  <w:vMerge w:val="restart"/>
                  <w:vAlign w:val="center"/>
                </w:tcPr>
                <w:p w14:paraId="5577337C">
                  <w:pPr>
                    <w:pStyle w:val="32"/>
                    <w:spacing w:before="48" w:after="48"/>
                  </w:pPr>
                  <w:r>
                    <w:t>治理设施</w:t>
                  </w:r>
                </w:p>
              </w:tc>
              <w:tc>
                <w:tcPr>
                  <w:tcW w:w="680" w:type="pct"/>
                  <w:vMerge w:val="restart"/>
                  <w:vAlign w:val="center"/>
                </w:tcPr>
                <w:p w14:paraId="7A9A8D38">
                  <w:pPr>
                    <w:pStyle w:val="32"/>
                    <w:spacing w:before="48" w:after="48"/>
                  </w:pPr>
                  <w:r>
                    <w:t>排放量kg/h</w:t>
                  </w:r>
                </w:p>
              </w:tc>
              <w:tc>
                <w:tcPr>
                  <w:tcW w:w="490" w:type="pct"/>
                  <w:vMerge w:val="restart"/>
                  <w:vAlign w:val="center"/>
                </w:tcPr>
                <w:p w14:paraId="4D6C9511">
                  <w:pPr>
                    <w:pStyle w:val="32"/>
                    <w:spacing w:before="48" w:after="48"/>
                  </w:pPr>
                  <w:r>
                    <w:t>排放浓度mg/m</w:t>
                  </w:r>
                  <w:r>
                    <w:rPr>
                      <w:vertAlign w:val="superscript"/>
                    </w:rPr>
                    <w:t>3</w:t>
                  </w:r>
                </w:p>
              </w:tc>
              <w:tc>
                <w:tcPr>
                  <w:tcW w:w="860" w:type="pct"/>
                  <w:vMerge w:val="restart"/>
                  <w:vAlign w:val="center"/>
                </w:tcPr>
                <w:p w14:paraId="247D14C2">
                  <w:pPr>
                    <w:pStyle w:val="32"/>
                    <w:spacing w:before="48" w:after="48"/>
                  </w:pPr>
                  <w:r>
                    <w:t>排放浓度限值mg/m</w:t>
                  </w:r>
                  <w:r>
                    <w:rPr>
                      <w:vertAlign w:val="superscript"/>
                    </w:rPr>
                    <w:t>3</w:t>
                  </w:r>
                  <w:r>
                    <w:rPr>
                      <w:rFonts w:hint="eastAsia"/>
                      <w:szCs w:val="21"/>
                      <w:lang w:eastAsia="zh-CN"/>
                    </w:rPr>
                    <w:t>（排放速率</w:t>
                  </w:r>
                  <w:r>
                    <w:rPr>
                      <w:rFonts w:hint="eastAsia"/>
                      <w:szCs w:val="21"/>
                      <w:lang w:val="en-US" w:eastAsia="zh-CN"/>
                    </w:rPr>
                    <w:t>kg/h</w:t>
                  </w:r>
                  <w:r>
                    <w:rPr>
                      <w:rFonts w:hint="eastAsia"/>
                      <w:szCs w:val="21"/>
                      <w:lang w:eastAsia="zh-CN"/>
                    </w:rPr>
                    <w:t>）</w:t>
                  </w:r>
                </w:p>
              </w:tc>
              <w:tc>
                <w:tcPr>
                  <w:tcW w:w="416" w:type="pct"/>
                  <w:vMerge w:val="restart"/>
                  <w:vAlign w:val="center"/>
                </w:tcPr>
                <w:p w14:paraId="3AC6F3B4">
                  <w:pPr>
                    <w:pStyle w:val="32"/>
                    <w:spacing w:before="48" w:after="48"/>
                  </w:pPr>
                  <w:r>
                    <w:t>是否达标</w:t>
                  </w:r>
                </w:p>
              </w:tc>
            </w:tr>
            <w:tr w14:paraId="441988F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13" w:type="pct"/>
                  <w:vMerge w:val="continue"/>
                  <w:vAlign w:val="center"/>
                </w:tcPr>
                <w:p w14:paraId="316835EE">
                  <w:pPr>
                    <w:pStyle w:val="32"/>
                    <w:spacing w:before="48" w:after="48"/>
                  </w:pPr>
                </w:p>
              </w:tc>
              <w:tc>
                <w:tcPr>
                  <w:tcW w:w="425" w:type="pct"/>
                  <w:vMerge w:val="continue"/>
                  <w:vAlign w:val="center"/>
                </w:tcPr>
                <w:p w14:paraId="2C25821E">
                  <w:pPr>
                    <w:pStyle w:val="32"/>
                    <w:spacing w:before="48" w:after="48"/>
                  </w:pPr>
                </w:p>
              </w:tc>
              <w:tc>
                <w:tcPr>
                  <w:tcW w:w="508" w:type="pct"/>
                  <w:vMerge w:val="continue"/>
                  <w:vAlign w:val="center"/>
                </w:tcPr>
                <w:p w14:paraId="7EEB2FEB">
                  <w:pPr>
                    <w:pStyle w:val="32"/>
                    <w:spacing w:before="48" w:after="48"/>
                  </w:pPr>
                </w:p>
              </w:tc>
              <w:tc>
                <w:tcPr>
                  <w:tcW w:w="456" w:type="pct"/>
                  <w:vMerge w:val="continue"/>
                  <w:vAlign w:val="center"/>
                </w:tcPr>
                <w:p w14:paraId="5F84FCE8">
                  <w:pPr>
                    <w:pStyle w:val="32"/>
                    <w:spacing w:before="48" w:after="48"/>
                  </w:pPr>
                </w:p>
              </w:tc>
              <w:tc>
                <w:tcPr>
                  <w:tcW w:w="849" w:type="pct"/>
                  <w:vMerge w:val="continue"/>
                  <w:vAlign w:val="center"/>
                </w:tcPr>
                <w:p w14:paraId="1548F306">
                  <w:pPr>
                    <w:pStyle w:val="32"/>
                    <w:spacing w:before="48" w:after="48"/>
                  </w:pPr>
                </w:p>
              </w:tc>
              <w:tc>
                <w:tcPr>
                  <w:tcW w:w="680" w:type="pct"/>
                  <w:vMerge w:val="continue"/>
                  <w:vAlign w:val="center"/>
                </w:tcPr>
                <w:p w14:paraId="22BDF8C8">
                  <w:pPr>
                    <w:pStyle w:val="32"/>
                    <w:spacing w:before="48" w:after="48"/>
                  </w:pPr>
                </w:p>
              </w:tc>
              <w:tc>
                <w:tcPr>
                  <w:tcW w:w="490" w:type="pct"/>
                  <w:vMerge w:val="continue"/>
                  <w:vAlign w:val="center"/>
                </w:tcPr>
                <w:p w14:paraId="00AE0296">
                  <w:pPr>
                    <w:pStyle w:val="32"/>
                    <w:spacing w:before="48" w:after="48"/>
                  </w:pPr>
                </w:p>
              </w:tc>
              <w:tc>
                <w:tcPr>
                  <w:tcW w:w="860" w:type="pct"/>
                  <w:vMerge w:val="continue"/>
                  <w:vAlign w:val="center"/>
                </w:tcPr>
                <w:p w14:paraId="0F78728A">
                  <w:pPr>
                    <w:pStyle w:val="32"/>
                    <w:spacing w:before="48" w:after="48"/>
                  </w:pPr>
                </w:p>
              </w:tc>
              <w:tc>
                <w:tcPr>
                  <w:tcW w:w="416" w:type="pct"/>
                  <w:vMerge w:val="continue"/>
                  <w:vAlign w:val="center"/>
                </w:tcPr>
                <w:p w14:paraId="51C50D8F">
                  <w:pPr>
                    <w:pStyle w:val="32"/>
                    <w:spacing w:before="48" w:after="48"/>
                  </w:pPr>
                </w:p>
              </w:tc>
            </w:tr>
            <w:tr w14:paraId="45E894E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13" w:type="pct"/>
                  <w:vMerge w:val="restart"/>
                  <w:vAlign w:val="center"/>
                </w:tcPr>
                <w:p w14:paraId="4E0FEBF2">
                  <w:pPr>
                    <w:pStyle w:val="32"/>
                    <w:spacing w:before="48" w:after="48"/>
                  </w:pPr>
                  <w:r>
                    <w:t>1</w:t>
                  </w:r>
                </w:p>
              </w:tc>
              <w:tc>
                <w:tcPr>
                  <w:tcW w:w="425" w:type="pct"/>
                  <w:vAlign w:val="center"/>
                </w:tcPr>
                <w:p w14:paraId="7637823D">
                  <w:pPr>
                    <w:pStyle w:val="32"/>
                    <w:spacing w:before="48" w:after="48"/>
                  </w:pPr>
                  <w:r>
                    <w:t>切割工序</w:t>
                  </w:r>
                </w:p>
              </w:tc>
              <w:tc>
                <w:tcPr>
                  <w:tcW w:w="508" w:type="pct"/>
                  <w:vAlign w:val="center"/>
                </w:tcPr>
                <w:p w14:paraId="7926B3AE">
                  <w:pPr>
                    <w:pStyle w:val="32"/>
                    <w:spacing w:before="48" w:after="48"/>
                  </w:pPr>
                  <w:r>
                    <w:t>粉尘</w:t>
                  </w:r>
                </w:p>
              </w:tc>
              <w:tc>
                <w:tcPr>
                  <w:tcW w:w="456" w:type="pct"/>
                  <w:vMerge w:val="restart"/>
                  <w:vAlign w:val="center"/>
                </w:tcPr>
                <w:p w14:paraId="1B2B0DFB">
                  <w:pPr>
                    <w:pStyle w:val="32"/>
                    <w:spacing w:before="48" w:after="48"/>
                  </w:pPr>
                  <w:r>
                    <w:t>有组织</w:t>
                  </w:r>
                </w:p>
              </w:tc>
              <w:tc>
                <w:tcPr>
                  <w:tcW w:w="849" w:type="pct"/>
                  <w:vAlign w:val="center"/>
                </w:tcPr>
                <w:p w14:paraId="295DA509">
                  <w:pPr>
                    <w:pStyle w:val="32"/>
                    <w:spacing w:before="48" w:after="48"/>
                  </w:pPr>
                  <w:r>
                    <w:t>旋风除尘+袋式除尘</w:t>
                  </w:r>
                </w:p>
              </w:tc>
              <w:tc>
                <w:tcPr>
                  <w:tcW w:w="680" w:type="pct"/>
                  <w:vAlign w:val="center"/>
                </w:tcPr>
                <w:p w14:paraId="48DD580B">
                  <w:pPr>
                    <w:pStyle w:val="32"/>
                    <w:spacing w:before="48" w:after="48"/>
                    <w:rPr>
                      <w:szCs w:val="21"/>
                    </w:rPr>
                  </w:pPr>
                  <w:r>
                    <w:rPr>
                      <w:szCs w:val="21"/>
                    </w:rPr>
                    <w:t>0.000375</w:t>
                  </w:r>
                </w:p>
              </w:tc>
              <w:tc>
                <w:tcPr>
                  <w:tcW w:w="490" w:type="pct"/>
                  <w:vAlign w:val="center"/>
                </w:tcPr>
                <w:p w14:paraId="3B33BF7E">
                  <w:pPr>
                    <w:pStyle w:val="32"/>
                    <w:spacing w:before="48" w:after="48"/>
                    <w:rPr>
                      <w:szCs w:val="21"/>
                    </w:rPr>
                  </w:pPr>
                  <w:r>
                    <w:t>0.013</w:t>
                  </w:r>
                </w:p>
              </w:tc>
              <w:tc>
                <w:tcPr>
                  <w:tcW w:w="860" w:type="pct"/>
                  <w:vAlign w:val="center"/>
                </w:tcPr>
                <w:p w14:paraId="04F93DC6">
                  <w:pPr>
                    <w:pStyle w:val="32"/>
                    <w:spacing w:before="48" w:after="48"/>
                    <w:rPr>
                      <w:rFonts w:hint="eastAsia" w:eastAsia="宋体"/>
                      <w:szCs w:val="21"/>
                      <w:lang w:eastAsia="zh-CN"/>
                    </w:rPr>
                  </w:pPr>
                  <w:r>
                    <w:rPr>
                      <w:szCs w:val="21"/>
                    </w:rPr>
                    <w:t>10</w:t>
                  </w:r>
                </w:p>
              </w:tc>
              <w:tc>
                <w:tcPr>
                  <w:tcW w:w="416" w:type="pct"/>
                  <w:vMerge w:val="restart"/>
                  <w:vAlign w:val="center"/>
                </w:tcPr>
                <w:p w14:paraId="7F883C07">
                  <w:pPr>
                    <w:pStyle w:val="32"/>
                    <w:spacing w:before="48" w:after="48"/>
                    <w:rPr>
                      <w:szCs w:val="21"/>
                    </w:rPr>
                  </w:pPr>
                  <w:r>
                    <w:rPr>
                      <w:szCs w:val="21"/>
                    </w:rPr>
                    <w:t>达标</w:t>
                  </w:r>
                </w:p>
              </w:tc>
            </w:tr>
            <w:tr w14:paraId="203EC8B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313" w:type="pct"/>
                  <w:vMerge w:val="continue"/>
                  <w:vAlign w:val="center"/>
                </w:tcPr>
                <w:p w14:paraId="1591CB55">
                  <w:pPr>
                    <w:pStyle w:val="32"/>
                    <w:spacing w:before="48" w:after="48"/>
                  </w:pPr>
                </w:p>
              </w:tc>
              <w:tc>
                <w:tcPr>
                  <w:tcW w:w="425" w:type="pct"/>
                  <w:vAlign w:val="center"/>
                </w:tcPr>
                <w:p w14:paraId="3DE44F2A">
                  <w:pPr>
                    <w:pStyle w:val="32"/>
                    <w:spacing w:before="48" w:after="48"/>
                  </w:pPr>
                  <w:r>
                    <w:t>发泡工序</w:t>
                  </w:r>
                </w:p>
              </w:tc>
              <w:tc>
                <w:tcPr>
                  <w:tcW w:w="508" w:type="pct"/>
                  <w:vAlign w:val="center"/>
                </w:tcPr>
                <w:p w14:paraId="2ED12042">
                  <w:pPr>
                    <w:pStyle w:val="32"/>
                    <w:spacing w:before="48" w:after="48"/>
                  </w:pPr>
                  <w:r>
                    <w:t>非甲烷总烃</w:t>
                  </w:r>
                </w:p>
              </w:tc>
              <w:tc>
                <w:tcPr>
                  <w:tcW w:w="456" w:type="pct"/>
                  <w:vMerge w:val="continue"/>
                  <w:vAlign w:val="center"/>
                </w:tcPr>
                <w:p w14:paraId="05FB702D">
                  <w:pPr>
                    <w:pStyle w:val="32"/>
                    <w:spacing w:before="48" w:after="48"/>
                  </w:pPr>
                </w:p>
              </w:tc>
              <w:tc>
                <w:tcPr>
                  <w:tcW w:w="849" w:type="pct"/>
                  <w:vAlign w:val="center"/>
                </w:tcPr>
                <w:p w14:paraId="0160C5C3">
                  <w:pPr>
                    <w:pStyle w:val="32"/>
                    <w:spacing w:before="48" w:after="48"/>
                  </w:pPr>
                  <w:r>
                    <w:t>生物质发生器燃烧处理</w:t>
                  </w:r>
                </w:p>
              </w:tc>
              <w:tc>
                <w:tcPr>
                  <w:tcW w:w="680" w:type="pct"/>
                  <w:vAlign w:val="center"/>
                </w:tcPr>
                <w:p w14:paraId="757980AB">
                  <w:pPr>
                    <w:pStyle w:val="32"/>
                    <w:spacing w:before="48" w:after="48"/>
                    <w:rPr>
                      <w:szCs w:val="21"/>
                    </w:rPr>
                  </w:pPr>
                  <w:r>
                    <w:rPr>
                      <w:szCs w:val="21"/>
                    </w:rPr>
                    <w:t>0.031</w:t>
                  </w:r>
                </w:p>
              </w:tc>
              <w:tc>
                <w:tcPr>
                  <w:tcW w:w="490" w:type="pct"/>
                  <w:vAlign w:val="center"/>
                </w:tcPr>
                <w:p w14:paraId="46F75405">
                  <w:pPr>
                    <w:pStyle w:val="32"/>
                    <w:spacing w:before="48" w:after="48"/>
                    <w:rPr>
                      <w:szCs w:val="21"/>
                    </w:rPr>
                  </w:pPr>
                  <w:r>
                    <w:rPr>
                      <w:szCs w:val="21"/>
                    </w:rPr>
                    <w:t>3.1</w:t>
                  </w:r>
                </w:p>
              </w:tc>
              <w:tc>
                <w:tcPr>
                  <w:tcW w:w="860" w:type="pct"/>
                  <w:vAlign w:val="center"/>
                </w:tcPr>
                <w:p w14:paraId="7E721F7A">
                  <w:pPr>
                    <w:pStyle w:val="32"/>
                    <w:spacing w:before="48" w:after="48"/>
                    <w:rPr>
                      <w:rFonts w:hint="default" w:eastAsia="宋体"/>
                      <w:szCs w:val="21"/>
                      <w:lang w:val="en-US" w:eastAsia="zh-CN"/>
                    </w:rPr>
                  </w:pPr>
                  <w:r>
                    <w:rPr>
                      <w:rFonts w:hint="eastAsia"/>
                      <w:color w:val="FF0000"/>
                      <w:szCs w:val="21"/>
                      <w:lang w:val="en-US" w:eastAsia="zh-CN"/>
                    </w:rPr>
                    <w:t>120（53）</w:t>
                  </w:r>
                </w:p>
              </w:tc>
              <w:tc>
                <w:tcPr>
                  <w:tcW w:w="416" w:type="pct"/>
                  <w:vMerge w:val="continue"/>
                  <w:vAlign w:val="center"/>
                </w:tcPr>
                <w:p w14:paraId="30FB639A">
                  <w:pPr>
                    <w:pStyle w:val="32"/>
                    <w:spacing w:before="48" w:after="48"/>
                  </w:pPr>
                </w:p>
              </w:tc>
            </w:tr>
            <w:tr w14:paraId="6DF746E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13" w:type="pct"/>
                  <w:vMerge w:val="continue"/>
                  <w:vAlign w:val="center"/>
                </w:tcPr>
                <w:p w14:paraId="02C772E1">
                  <w:pPr>
                    <w:pStyle w:val="32"/>
                    <w:spacing w:before="48" w:after="48"/>
                  </w:pPr>
                </w:p>
              </w:tc>
              <w:tc>
                <w:tcPr>
                  <w:tcW w:w="425" w:type="pct"/>
                  <w:vMerge w:val="restart"/>
                  <w:vAlign w:val="center"/>
                </w:tcPr>
                <w:p w14:paraId="73CE4A21">
                  <w:pPr>
                    <w:pStyle w:val="32"/>
                    <w:spacing w:before="48" w:after="48"/>
                  </w:pPr>
                  <w:r>
                    <w:t>蒸汽发生器</w:t>
                  </w:r>
                </w:p>
              </w:tc>
              <w:tc>
                <w:tcPr>
                  <w:tcW w:w="508" w:type="pct"/>
                  <w:vAlign w:val="center"/>
                </w:tcPr>
                <w:p w14:paraId="27AE333A">
                  <w:pPr>
                    <w:pStyle w:val="32"/>
                    <w:spacing w:before="48" w:after="48"/>
                  </w:pPr>
                  <w:r>
                    <w:t>颗粒物</w:t>
                  </w:r>
                </w:p>
              </w:tc>
              <w:tc>
                <w:tcPr>
                  <w:tcW w:w="456" w:type="pct"/>
                  <w:vMerge w:val="continue"/>
                  <w:vAlign w:val="center"/>
                </w:tcPr>
                <w:p w14:paraId="728153B2">
                  <w:pPr>
                    <w:pStyle w:val="32"/>
                    <w:spacing w:before="48" w:after="48"/>
                  </w:pPr>
                </w:p>
              </w:tc>
              <w:tc>
                <w:tcPr>
                  <w:tcW w:w="849" w:type="pct"/>
                  <w:vMerge w:val="restart"/>
                  <w:vAlign w:val="center"/>
                </w:tcPr>
                <w:p w14:paraId="5DE6C570">
                  <w:pPr>
                    <w:pStyle w:val="32"/>
                    <w:spacing w:before="48" w:after="48"/>
                  </w:pPr>
                  <w:r>
                    <w:t>低氮燃烧+旋风除尘+袋式除尘</w:t>
                  </w:r>
                </w:p>
              </w:tc>
              <w:tc>
                <w:tcPr>
                  <w:tcW w:w="680" w:type="pct"/>
                  <w:vAlign w:val="center"/>
                </w:tcPr>
                <w:p w14:paraId="7315FD8D">
                  <w:pPr>
                    <w:pStyle w:val="32"/>
                    <w:spacing w:before="48" w:after="48"/>
                  </w:pPr>
                  <w:r>
                    <w:t>0.000813</w:t>
                  </w:r>
                </w:p>
              </w:tc>
              <w:tc>
                <w:tcPr>
                  <w:tcW w:w="490" w:type="pct"/>
                  <w:vAlign w:val="center"/>
                </w:tcPr>
                <w:p w14:paraId="64E83416">
                  <w:pPr>
                    <w:pStyle w:val="32"/>
                    <w:spacing w:before="48" w:after="48"/>
                  </w:pPr>
                  <w:r>
                    <w:t>0.68</w:t>
                  </w:r>
                </w:p>
              </w:tc>
              <w:tc>
                <w:tcPr>
                  <w:tcW w:w="860" w:type="pct"/>
                  <w:vAlign w:val="center"/>
                </w:tcPr>
                <w:p w14:paraId="4BD62E20">
                  <w:pPr>
                    <w:pStyle w:val="32"/>
                    <w:spacing w:before="48" w:after="48"/>
                  </w:pPr>
                  <w:r>
                    <w:t>20</w:t>
                  </w:r>
                </w:p>
              </w:tc>
              <w:tc>
                <w:tcPr>
                  <w:tcW w:w="416" w:type="pct"/>
                  <w:vMerge w:val="continue"/>
                  <w:vAlign w:val="center"/>
                </w:tcPr>
                <w:p w14:paraId="2BA05053">
                  <w:pPr>
                    <w:pStyle w:val="32"/>
                    <w:spacing w:before="48" w:after="48"/>
                  </w:pPr>
                </w:p>
              </w:tc>
            </w:tr>
            <w:tr w14:paraId="7FA238D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225" w:hRule="atLeast"/>
                <w:jc w:val="center"/>
              </w:trPr>
              <w:tc>
                <w:tcPr>
                  <w:tcW w:w="313" w:type="pct"/>
                  <w:vMerge w:val="continue"/>
                  <w:vAlign w:val="center"/>
                </w:tcPr>
                <w:p w14:paraId="6B41C366">
                  <w:pPr>
                    <w:pStyle w:val="32"/>
                    <w:spacing w:before="48" w:after="48"/>
                  </w:pPr>
                </w:p>
              </w:tc>
              <w:tc>
                <w:tcPr>
                  <w:tcW w:w="425" w:type="pct"/>
                  <w:vMerge w:val="continue"/>
                  <w:vAlign w:val="center"/>
                </w:tcPr>
                <w:p w14:paraId="164ABFE6">
                  <w:pPr>
                    <w:pStyle w:val="32"/>
                    <w:spacing w:before="48" w:after="48"/>
                  </w:pPr>
                </w:p>
              </w:tc>
              <w:tc>
                <w:tcPr>
                  <w:tcW w:w="508" w:type="pct"/>
                  <w:vAlign w:val="center"/>
                </w:tcPr>
                <w:p w14:paraId="3D57BC2C">
                  <w:pPr>
                    <w:pStyle w:val="32"/>
                    <w:spacing w:before="48" w:after="48"/>
                  </w:pPr>
                  <w:r>
                    <w:t>二氧化硫</w:t>
                  </w:r>
                </w:p>
              </w:tc>
              <w:tc>
                <w:tcPr>
                  <w:tcW w:w="456" w:type="pct"/>
                  <w:vMerge w:val="continue"/>
                  <w:vAlign w:val="center"/>
                </w:tcPr>
                <w:p w14:paraId="36CDF2D4">
                  <w:pPr>
                    <w:pStyle w:val="32"/>
                    <w:spacing w:before="48" w:after="48"/>
                  </w:pPr>
                </w:p>
              </w:tc>
              <w:tc>
                <w:tcPr>
                  <w:tcW w:w="849" w:type="pct"/>
                  <w:vMerge w:val="continue"/>
                  <w:vAlign w:val="center"/>
                </w:tcPr>
                <w:p w14:paraId="1929BE13">
                  <w:pPr>
                    <w:pStyle w:val="32"/>
                    <w:spacing w:before="48" w:after="48"/>
                  </w:pPr>
                </w:p>
              </w:tc>
              <w:tc>
                <w:tcPr>
                  <w:tcW w:w="680" w:type="pct"/>
                  <w:vAlign w:val="center"/>
                </w:tcPr>
                <w:p w14:paraId="78FC935E">
                  <w:pPr>
                    <w:pStyle w:val="32"/>
                    <w:spacing w:before="48" w:after="48"/>
                  </w:pPr>
                  <w:r>
                    <w:t>0.05625</w:t>
                  </w:r>
                </w:p>
              </w:tc>
              <w:tc>
                <w:tcPr>
                  <w:tcW w:w="490" w:type="pct"/>
                  <w:vAlign w:val="center"/>
                </w:tcPr>
                <w:p w14:paraId="3A41B045">
                  <w:pPr>
                    <w:pStyle w:val="32"/>
                    <w:spacing w:before="48" w:after="48"/>
                  </w:pPr>
                  <w:r>
                    <w:t>46.78</w:t>
                  </w:r>
                </w:p>
              </w:tc>
              <w:tc>
                <w:tcPr>
                  <w:tcW w:w="860" w:type="pct"/>
                  <w:vAlign w:val="center"/>
                </w:tcPr>
                <w:p w14:paraId="0BD09A39">
                  <w:pPr>
                    <w:pStyle w:val="32"/>
                    <w:spacing w:before="48" w:after="48"/>
                  </w:pPr>
                  <w:r>
                    <w:t>50</w:t>
                  </w:r>
                </w:p>
              </w:tc>
              <w:tc>
                <w:tcPr>
                  <w:tcW w:w="416" w:type="pct"/>
                  <w:vMerge w:val="continue"/>
                  <w:vAlign w:val="center"/>
                </w:tcPr>
                <w:p w14:paraId="5C4F1D18">
                  <w:pPr>
                    <w:pStyle w:val="32"/>
                    <w:spacing w:before="48" w:after="48"/>
                  </w:pPr>
                </w:p>
              </w:tc>
            </w:tr>
            <w:tr w14:paraId="287C309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13" w:type="pct"/>
                  <w:vMerge w:val="continue"/>
                  <w:vAlign w:val="center"/>
                </w:tcPr>
                <w:p w14:paraId="1D4948C8">
                  <w:pPr>
                    <w:pStyle w:val="32"/>
                    <w:spacing w:before="48" w:after="48"/>
                  </w:pPr>
                </w:p>
              </w:tc>
              <w:tc>
                <w:tcPr>
                  <w:tcW w:w="425" w:type="pct"/>
                  <w:vMerge w:val="continue"/>
                  <w:vAlign w:val="center"/>
                </w:tcPr>
                <w:p w14:paraId="35E9E3D4">
                  <w:pPr>
                    <w:pStyle w:val="32"/>
                    <w:spacing w:before="48" w:after="48"/>
                  </w:pPr>
                </w:p>
              </w:tc>
              <w:tc>
                <w:tcPr>
                  <w:tcW w:w="508" w:type="pct"/>
                  <w:vAlign w:val="center"/>
                </w:tcPr>
                <w:p w14:paraId="6E14C1D4">
                  <w:pPr>
                    <w:pStyle w:val="32"/>
                    <w:spacing w:before="48" w:after="48"/>
                  </w:pPr>
                  <w:r>
                    <w:t>氮氧化物</w:t>
                  </w:r>
                </w:p>
              </w:tc>
              <w:tc>
                <w:tcPr>
                  <w:tcW w:w="456" w:type="pct"/>
                  <w:vMerge w:val="continue"/>
                  <w:vAlign w:val="center"/>
                </w:tcPr>
                <w:p w14:paraId="02FBA38D">
                  <w:pPr>
                    <w:pStyle w:val="32"/>
                    <w:spacing w:before="48" w:after="48"/>
                  </w:pPr>
                </w:p>
              </w:tc>
              <w:tc>
                <w:tcPr>
                  <w:tcW w:w="849" w:type="pct"/>
                  <w:vMerge w:val="continue"/>
                  <w:vAlign w:val="center"/>
                </w:tcPr>
                <w:p w14:paraId="1B49E0DB">
                  <w:pPr>
                    <w:pStyle w:val="32"/>
                    <w:spacing w:before="48" w:after="48"/>
                  </w:pPr>
                </w:p>
              </w:tc>
              <w:tc>
                <w:tcPr>
                  <w:tcW w:w="680" w:type="pct"/>
                  <w:vAlign w:val="center"/>
                </w:tcPr>
                <w:p w14:paraId="7F1017F0">
                  <w:pPr>
                    <w:pStyle w:val="32"/>
                    <w:spacing w:before="48" w:after="48"/>
                  </w:pPr>
                  <w:r>
                    <w:t>0.114583</w:t>
                  </w:r>
                </w:p>
              </w:tc>
              <w:tc>
                <w:tcPr>
                  <w:tcW w:w="490" w:type="pct"/>
                  <w:vAlign w:val="center"/>
                </w:tcPr>
                <w:p w14:paraId="0512CE82">
                  <w:pPr>
                    <w:pStyle w:val="32"/>
                    <w:spacing w:before="48" w:after="48"/>
                  </w:pPr>
                  <w:r>
                    <w:t>95.29</w:t>
                  </w:r>
                </w:p>
              </w:tc>
              <w:tc>
                <w:tcPr>
                  <w:tcW w:w="860" w:type="pct"/>
                  <w:vAlign w:val="center"/>
                </w:tcPr>
                <w:p w14:paraId="780F8F64">
                  <w:pPr>
                    <w:pStyle w:val="32"/>
                    <w:spacing w:before="48" w:after="48"/>
                  </w:pPr>
                  <w:r>
                    <w:t>150</w:t>
                  </w:r>
                </w:p>
              </w:tc>
              <w:tc>
                <w:tcPr>
                  <w:tcW w:w="416" w:type="pct"/>
                  <w:vMerge w:val="continue"/>
                  <w:vAlign w:val="center"/>
                </w:tcPr>
                <w:p w14:paraId="1D61BB82">
                  <w:pPr>
                    <w:pStyle w:val="32"/>
                    <w:spacing w:before="48" w:after="48"/>
                  </w:pPr>
                </w:p>
              </w:tc>
            </w:tr>
            <w:tr w14:paraId="052BCE6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485" w:hRule="atLeast"/>
                <w:jc w:val="center"/>
              </w:trPr>
              <w:tc>
                <w:tcPr>
                  <w:tcW w:w="313" w:type="pct"/>
                  <w:vMerge w:val="restart"/>
                  <w:vAlign w:val="center"/>
                </w:tcPr>
                <w:p w14:paraId="301A1ECE">
                  <w:pPr>
                    <w:pStyle w:val="32"/>
                    <w:spacing w:before="48" w:after="48"/>
                  </w:pPr>
                  <w:r>
                    <w:t>2</w:t>
                  </w:r>
                </w:p>
              </w:tc>
              <w:tc>
                <w:tcPr>
                  <w:tcW w:w="425" w:type="pct"/>
                  <w:vAlign w:val="center"/>
                </w:tcPr>
                <w:p w14:paraId="4F034FB0">
                  <w:pPr>
                    <w:pStyle w:val="32"/>
                    <w:spacing w:before="48" w:after="48"/>
                  </w:pPr>
                  <w:r>
                    <w:t>发泡工序</w:t>
                  </w:r>
                </w:p>
              </w:tc>
              <w:tc>
                <w:tcPr>
                  <w:tcW w:w="508" w:type="pct"/>
                  <w:vAlign w:val="center"/>
                </w:tcPr>
                <w:p w14:paraId="6E28B871">
                  <w:pPr>
                    <w:pStyle w:val="32"/>
                    <w:spacing w:before="48" w:after="48"/>
                  </w:pPr>
                  <w:r>
                    <w:t>非甲烷总烃</w:t>
                  </w:r>
                </w:p>
              </w:tc>
              <w:tc>
                <w:tcPr>
                  <w:tcW w:w="456" w:type="pct"/>
                  <w:vMerge w:val="restart"/>
                  <w:vAlign w:val="center"/>
                </w:tcPr>
                <w:p w14:paraId="24ECAD9C">
                  <w:pPr>
                    <w:pStyle w:val="32"/>
                    <w:spacing w:before="48" w:after="48"/>
                  </w:pPr>
                  <w:r>
                    <w:t>无组织</w:t>
                  </w:r>
                </w:p>
              </w:tc>
              <w:tc>
                <w:tcPr>
                  <w:tcW w:w="849" w:type="pct"/>
                  <w:vAlign w:val="center"/>
                </w:tcPr>
                <w:p w14:paraId="6F98DA01">
                  <w:pPr>
                    <w:pStyle w:val="32"/>
                    <w:spacing w:before="48" w:after="48"/>
                  </w:pPr>
                  <w:r>
                    <w:t>/</w:t>
                  </w:r>
                </w:p>
              </w:tc>
              <w:tc>
                <w:tcPr>
                  <w:tcW w:w="680" w:type="pct"/>
                  <w:vAlign w:val="center"/>
                </w:tcPr>
                <w:p w14:paraId="07313B78">
                  <w:pPr>
                    <w:pStyle w:val="32"/>
                    <w:spacing w:before="48" w:after="48"/>
                  </w:pPr>
                  <w:r>
                    <w:t>0.00625</w:t>
                  </w:r>
                </w:p>
              </w:tc>
              <w:tc>
                <w:tcPr>
                  <w:tcW w:w="490" w:type="pct"/>
                  <w:vAlign w:val="center"/>
                </w:tcPr>
                <w:p w14:paraId="4A2459F5">
                  <w:pPr>
                    <w:pStyle w:val="32"/>
                    <w:spacing w:before="48" w:after="48"/>
                  </w:pPr>
                  <w:r>
                    <w:t>/</w:t>
                  </w:r>
                </w:p>
              </w:tc>
              <w:tc>
                <w:tcPr>
                  <w:tcW w:w="860" w:type="pct"/>
                  <w:vAlign w:val="center"/>
                </w:tcPr>
                <w:p w14:paraId="0BADB4E7">
                  <w:pPr>
                    <w:pStyle w:val="32"/>
                    <w:spacing w:before="48" w:after="48"/>
                  </w:pPr>
                  <w:r>
                    <w:t>4.0</w:t>
                  </w:r>
                </w:p>
              </w:tc>
              <w:tc>
                <w:tcPr>
                  <w:tcW w:w="416" w:type="pct"/>
                  <w:vMerge w:val="restart"/>
                  <w:vAlign w:val="center"/>
                </w:tcPr>
                <w:p w14:paraId="20B7FCC9">
                  <w:pPr>
                    <w:pStyle w:val="32"/>
                    <w:spacing w:before="48" w:after="48"/>
                  </w:pPr>
                  <w:r>
                    <w:t>达标</w:t>
                  </w:r>
                </w:p>
              </w:tc>
            </w:tr>
            <w:tr w14:paraId="588E5E3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13" w:type="pct"/>
                  <w:vMerge w:val="continue"/>
                  <w:vAlign w:val="center"/>
                </w:tcPr>
                <w:p w14:paraId="69BE3632">
                  <w:pPr>
                    <w:pStyle w:val="32"/>
                    <w:spacing w:before="48" w:after="48"/>
                  </w:pPr>
                </w:p>
              </w:tc>
              <w:tc>
                <w:tcPr>
                  <w:tcW w:w="425" w:type="pct"/>
                  <w:vAlign w:val="center"/>
                </w:tcPr>
                <w:p w14:paraId="79C29DD5">
                  <w:pPr>
                    <w:pStyle w:val="32"/>
                    <w:spacing w:before="48" w:after="48"/>
                  </w:pPr>
                  <w:r>
                    <w:t>投料工序</w:t>
                  </w:r>
                </w:p>
              </w:tc>
              <w:tc>
                <w:tcPr>
                  <w:tcW w:w="508" w:type="pct"/>
                  <w:vAlign w:val="center"/>
                </w:tcPr>
                <w:p w14:paraId="678EB7B5">
                  <w:pPr>
                    <w:pStyle w:val="32"/>
                    <w:spacing w:before="48" w:after="48"/>
                  </w:pPr>
                  <w:r>
                    <w:t>粉尘</w:t>
                  </w:r>
                </w:p>
              </w:tc>
              <w:tc>
                <w:tcPr>
                  <w:tcW w:w="456" w:type="pct"/>
                  <w:vMerge w:val="continue"/>
                  <w:vAlign w:val="center"/>
                </w:tcPr>
                <w:p w14:paraId="38FB8C26">
                  <w:pPr>
                    <w:pStyle w:val="32"/>
                    <w:spacing w:before="48" w:after="48"/>
                  </w:pPr>
                </w:p>
              </w:tc>
              <w:tc>
                <w:tcPr>
                  <w:tcW w:w="849" w:type="pct"/>
                  <w:vAlign w:val="center"/>
                </w:tcPr>
                <w:p w14:paraId="5296702A">
                  <w:pPr>
                    <w:pStyle w:val="32"/>
                    <w:spacing w:before="48" w:after="48"/>
                  </w:pPr>
                  <w:r>
                    <w:t>/</w:t>
                  </w:r>
                </w:p>
              </w:tc>
              <w:tc>
                <w:tcPr>
                  <w:tcW w:w="680" w:type="pct"/>
                  <w:vAlign w:val="center"/>
                </w:tcPr>
                <w:p w14:paraId="2723C202">
                  <w:pPr>
                    <w:pStyle w:val="32"/>
                    <w:spacing w:before="48" w:after="48"/>
                  </w:pPr>
                  <w:r>
                    <w:t>0.03</w:t>
                  </w:r>
                </w:p>
              </w:tc>
              <w:tc>
                <w:tcPr>
                  <w:tcW w:w="490" w:type="pct"/>
                  <w:vAlign w:val="center"/>
                </w:tcPr>
                <w:p w14:paraId="68624976">
                  <w:pPr>
                    <w:pStyle w:val="32"/>
                    <w:spacing w:before="48" w:after="48"/>
                  </w:pPr>
                  <w:r>
                    <w:t>/</w:t>
                  </w:r>
                </w:p>
              </w:tc>
              <w:tc>
                <w:tcPr>
                  <w:tcW w:w="860" w:type="pct"/>
                  <w:vAlign w:val="center"/>
                </w:tcPr>
                <w:p w14:paraId="2FFDF054">
                  <w:pPr>
                    <w:pStyle w:val="32"/>
                    <w:spacing w:before="48" w:after="48"/>
                  </w:pPr>
                  <w:r>
                    <w:t>0.5</w:t>
                  </w:r>
                </w:p>
              </w:tc>
              <w:tc>
                <w:tcPr>
                  <w:tcW w:w="416" w:type="pct"/>
                  <w:vMerge w:val="continue"/>
                  <w:vAlign w:val="center"/>
                </w:tcPr>
                <w:p w14:paraId="5FB747F4">
                  <w:pPr>
                    <w:pStyle w:val="32"/>
                    <w:spacing w:before="48" w:after="48"/>
                  </w:pPr>
                </w:p>
              </w:tc>
            </w:tr>
            <w:tr w14:paraId="20F20D5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13" w:type="pct"/>
                  <w:vMerge w:val="continue"/>
                  <w:vAlign w:val="center"/>
                </w:tcPr>
                <w:p w14:paraId="2E795678">
                  <w:pPr>
                    <w:pStyle w:val="32"/>
                    <w:spacing w:before="48" w:after="48"/>
                  </w:pPr>
                </w:p>
              </w:tc>
              <w:tc>
                <w:tcPr>
                  <w:tcW w:w="425" w:type="pct"/>
                  <w:vAlign w:val="center"/>
                </w:tcPr>
                <w:p w14:paraId="34EBA907">
                  <w:pPr>
                    <w:pStyle w:val="32"/>
                    <w:spacing w:before="48" w:after="48"/>
                    <w:rPr>
                      <w:highlight w:val="green"/>
                    </w:rPr>
                  </w:pPr>
                  <w:r>
                    <w:t>水泥料仓</w:t>
                  </w:r>
                </w:p>
              </w:tc>
              <w:tc>
                <w:tcPr>
                  <w:tcW w:w="508" w:type="pct"/>
                  <w:vAlign w:val="center"/>
                </w:tcPr>
                <w:p w14:paraId="2DEFA4F6">
                  <w:pPr>
                    <w:pStyle w:val="32"/>
                    <w:spacing w:before="48" w:after="48"/>
                  </w:pPr>
                  <w:r>
                    <w:t>粉尘</w:t>
                  </w:r>
                </w:p>
              </w:tc>
              <w:tc>
                <w:tcPr>
                  <w:tcW w:w="456" w:type="pct"/>
                  <w:vMerge w:val="continue"/>
                  <w:vAlign w:val="center"/>
                </w:tcPr>
                <w:p w14:paraId="54EA6A31">
                  <w:pPr>
                    <w:pStyle w:val="32"/>
                    <w:spacing w:before="48" w:after="48"/>
                  </w:pPr>
                </w:p>
              </w:tc>
              <w:tc>
                <w:tcPr>
                  <w:tcW w:w="849" w:type="pct"/>
                  <w:vAlign w:val="center"/>
                </w:tcPr>
                <w:p w14:paraId="511100BE">
                  <w:pPr>
                    <w:pStyle w:val="32"/>
                    <w:spacing w:before="48" w:after="48"/>
                  </w:pPr>
                  <w:r>
                    <w:t>/</w:t>
                  </w:r>
                </w:p>
              </w:tc>
              <w:tc>
                <w:tcPr>
                  <w:tcW w:w="680" w:type="pct"/>
                  <w:vAlign w:val="center"/>
                </w:tcPr>
                <w:p w14:paraId="7561366C">
                  <w:pPr>
                    <w:pStyle w:val="32"/>
                    <w:spacing w:before="48" w:after="48"/>
                  </w:pPr>
                  <w:r>
                    <w:t>0.04</w:t>
                  </w:r>
                </w:p>
              </w:tc>
              <w:tc>
                <w:tcPr>
                  <w:tcW w:w="490" w:type="pct"/>
                  <w:vAlign w:val="center"/>
                </w:tcPr>
                <w:p w14:paraId="499736E8">
                  <w:pPr>
                    <w:pStyle w:val="32"/>
                    <w:spacing w:before="48" w:after="48"/>
                  </w:pPr>
                  <w:r>
                    <w:t>/</w:t>
                  </w:r>
                </w:p>
              </w:tc>
              <w:tc>
                <w:tcPr>
                  <w:tcW w:w="860" w:type="pct"/>
                  <w:vAlign w:val="center"/>
                </w:tcPr>
                <w:p w14:paraId="43BD4FB0">
                  <w:pPr>
                    <w:pStyle w:val="32"/>
                    <w:spacing w:before="48" w:after="48"/>
                  </w:pPr>
                  <w:r>
                    <w:t>0.5</w:t>
                  </w:r>
                </w:p>
              </w:tc>
              <w:tc>
                <w:tcPr>
                  <w:tcW w:w="416" w:type="pct"/>
                  <w:vMerge w:val="continue"/>
                  <w:vAlign w:val="center"/>
                </w:tcPr>
                <w:p w14:paraId="6DB2B8C6">
                  <w:pPr>
                    <w:pStyle w:val="32"/>
                    <w:spacing w:before="48" w:after="48"/>
                  </w:pPr>
                </w:p>
              </w:tc>
            </w:tr>
          </w:tbl>
          <w:p w14:paraId="051D010D">
            <w:pPr>
              <w:pStyle w:val="33"/>
              <w:spacing w:beforeLines="0"/>
              <w:rPr>
                <w:color w:val="FF0000"/>
              </w:rPr>
            </w:pPr>
          </w:p>
          <w:p w14:paraId="6200AB24">
            <w:pPr>
              <w:pStyle w:val="33"/>
              <w:spacing w:beforeLines="0"/>
              <w:rPr>
                <w:rFonts w:hint="default"/>
                <w:color w:val="FF0000"/>
              </w:rPr>
            </w:pPr>
            <w:r>
              <w:rPr>
                <w:rFonts w:hint="default"/>
                <w:color w:val="FF0000"/>
              </w:rPr>
              <w:t>表22  废气排放口基本情况表</w:t>
            </w:r>
          </w:p>
          <w:tbl>
            <w:tblPr>
              <w:tblStyle w:val="24"/>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886"/>
              <w:gridCol w:w="1063"/>
              <w:gridCol w:w="1140"/>
              <w:gridCol w:w="3110"/>
            </w:tblGrid>
            <w:tr w14:paraId="109D0F2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8" w:type="pct"/>
                  <w:vAlign w:val="center"/>
                </w:tcPr>
                <w:p w14:paraId="463C967B">
                  <w:pPr>
                    <w:pStyle w:val="32"/>
                    <w:spacing w:before="48" w:after="48"/>
                    <w:rPr>
                      <w:color w:val="FF0000"/>
                      <w:szCs w:val="21"/>
                    </w:rPr>
                  </w:pPr>
                  <w:r>
                    <w:rPr>
                      <w:color w:val="FF0000"/>
                      <w:szCs w:val="21"/>
                    </w:rPr>
                    <w:t>名称及编号</w:t>
                  </w:r>
                </w:p>
              </w:tc>
              <w:tc>
                <w:tcPr>
                  <w:tcW w:w="546" w:type="pct"/>
                  <w:vAlign w:val="center"/>
                </w:tcPr>
                <w:p w14:paraId="1EA9AA40">
                  <w:pPr>
                    <w:pStyle w:val="32"/>
                    <w:spacing w:before="48" w:after="48"/>
                    <w:rPr>
                      <w:color w:val="FF0000"/>
                      <w:szCs w:val="21"/>
                    </w:rPr>
                  </w:pPr>
                  <w:r>
                    <w:rPr>
                      <w:color w:val="FF0000"/>
                      <w:szCs w:val="21"/>
                    </w:rPr>
                    <w:t>高度m</w:t>
                  </w:r>
                </w:p>
              </w:tc>
              <w:tc>
                <w:tcPr>
                  <w:tcW w:w="655" w:type="pct"/>
                  <w:vAlign w:val="center"/>
                </w:tcPr>
                <w:p w14:paraId="25C10730">
                  <w:pPr>
                    <w:pStyle w:val="32"/>
                    <w:spacing w:before="48" w:after="48"/>
                    <w:rPr>
                      <w:color w:val="FF0000"/>
                      <w:szCs w:val="21"/>
                    </w:rPr>
                  </w:pPr>
                  <w:r>
                    <w:rPr>
                      <w:color w:val="FF0000"/>
                      <w:szCs w:val="21"/>
                    </w:rPr>
                    <w:t>内径m</w:t>
                  </w:r>
                </w:p>
              </w:tc>
              <w:tc>
                <w:tcPr>
                  <w:tcW w:w="703" w:type="pct"/>
                  <w:vAlign w:val="center"/>
                </w:tcPr>
                <w:p w14:paraId="754886F3">
                  <w:pPr>
                    <w:pStyle w:val="32"/>
                    <w:spacing w:before="48" w:after="48"/>
                    <w:rPr>
                      <w:color w:val="FF0000"/>
                      <w:szCs w:val="21"/>
                    </w:rPr>
                  </w:pPr>
                  <w:r>
                    <w:rPr>
                      <w:color w:val="FF0000"/>
                      <w:szCs w:val="21"/>
                    </w:rPr>
                    <w:t>温度℃</w:t>
                  </w:r>
                </w:p>
              </w:tc>
              <w:tc>
                <w:tcPr>
                  <w:tcW w:w="1916" w:type="pct"/>
                  <w:vAlign w:val="center"/>
                </w:tcPr>
                <w:p w14:paraId="1DE05D04">
                  <w:pPr>
                    <w:pStyle w:val="32"/>
                    <w:spacing w:before="48" w:after="48"/>
                    <w:rPr>
                      <w:color w:val="FF0000"/>
                      <w:szCs w:val="21"/>
                    </w:rPr>
                  </w:pPr>
                  <w:r>
                    <w:rPr>
                      <w:color w:val="FF0000"/>
                      <w:szCs w:val="21"/>
                    </w:rPr>
                    <w:t>地理坐标°</w:t>
                  </w:r>
                </w:p>
              </w:tc>
            </w:tr>
            <w:tr w14:paraId="4DED9EC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8" w:type="pct"/>
                  <w:vAlign w:val="center"/>
                </w:tcPr>
                <w:p w14:paraId="0CDD3C5D">
                  <w:pPr>
                    <w:pStyle w:val="32"/>
                    <w:spacing w:before="48" w:after="48"/>
                    <w:rPr>
                      <w:color w:val="FF0000"/>
                      <w:szCs w:val="21"/>
                    </w:rPr>
                  </w:pPr>
                  <w:r>
                    <w:rPr>
                      <w:color w:val="FF0000"/>
                      <w:szCs w:val="21"/>
                    </w:rPr>
                    <w:t>切割工序排气筒DA001</w:t>
                  </w:r>
                </w:p>
              </w:tc>
              <w:tc>
                <w:tcPr>
                  <w:tcW w:w="546" w:type="pct"/>
                  <w:vAlign w:val="center"/>
                </w:tcPr>
                <w:p w14:paraId="14F5D379">
                  <w:pPr>
                    <w:pStyle w:val="32"/>
                    <w:spacing w:before="48" w:after="48"/>
                    <w:rPr>
                      <w:color w:val="FF0000"/>
                      <w:szCs w:val="21"/>
                    </w:rPr>
                  </w:pPr>
                  <w:r>
                    <w:rPr>
                      <w:color w:val="FF0000"/>
                      <w:szCs w:val="21"/>
                    </w:rPr>
                    <w:t>15</w:t>
                  </w:r>
                </w:p>
              </w:tc>
              <w:tc>
                <w:tcPr>
                  <w:tcW w:w="655" w:type="pct"/>
                  <w:vAlign w:val="center"/>
                </w:tcPr>
                <w:p w14:paraId="4D4D1185">
                  <w:pPr>
                    <w:pStyle w:val="32"/>
                    <w:spacing w:before="48" w:after="48"/>
                    <w:rPr>
                      <w:color w:val="FF0000"/>
                      <w:szCs w:val="21"/>
                    </w:rPr>
                  </w:pPr>
                  <w:r>
                    <w:rPr>
                      <w:color w:val="FF0000"/>
                      <w:szCs w:val="21"/>
                    </w:rPr>
                    <w:t>0.3</w:t>
                  </w:r>
                </w:p>
              </w:tc>
              <w:tc>
                <w:tcPr>
                  <w:tcW w:w="703" w:type="pct"/>
                  <w:vAlign w:val="center"/>
                </w:tcPr>
                <w:p w14:paraId="69DFD126">
                  <w:pPr>
                    <w:pStyle w:val="32"/>
                    <w:spacing w:before="48" w:after="48"/>
                    <w:rPr>
                      <w:color w:val="FF0000"/>
                      <w:szCs w:val="21"/>
                    </w:rPr>
                  </w:pPr>
                  <w:r>
                    <w:rPr>
                      <w:color w:val="FF0000"/>
                      <w:szCs w:val="21"/>
                    </w:rPr>
                    <w:t>20</w:t>
                  </w:r>
                </w:p>
              </w:tc>
              <w:tc>
                <w:tcPr>
                  <w:tcW w:w="1916" w:type="pct"/>
                  <w:vAlign w:val="center"/>
                </w:tcPr>
                <w:p w14:paraId="58C5F5BC">
                  <w:pPr>
                    <w:pStyle w:val="32"/>
                    <w:spacing w:before="48" w:after="48"/>
                    <w:rPr>
                      <w:color w:val="FF0000"/>
                      <w:szCs w:val="21"/>
                    </w:rPr>
                  </w:pPr>
                  <w:r>
                    <w:rPr>
                      <w:color w:val="FF0000"/>
                      <w:szCs w:val="21"/>
                    </w:rPr>
                    <w:t>经度121.998298、纬度41.247149</w:t>
                  </w:r>
                </w:p>
              </w:tc>
            </w:tr>
            <w:tr w14:paraId="63CD391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8" w:type="pct"/>
                  <w:vAlign w:val="center"/>
                </w:tcPr>
                <w:p w14:paraId="75247593">
                  <w:pPr>
                    <w:pStyle w:val="32"/>
                    <w:spacing w:before="48" w:after="48"/>
                    <w:rPr>
                      <w:color w:val="FF0000"/>
                      <w:szCs w:val="21"/>
                    </w:rPr>
                  </w:pPr>
                  <w:r>
                    <w:rPr>
                      <w:color w:val="FF0000"/>
                    </w:rPr>
                    <w:t>蒸汽发生器排气筒</w:t>
                  </w:r>
                  <w:r>
                    <w:rPr>
                      <w:color w:val="FF0000"/>
                      <w:szCs w:val="21"/>
                    </w:rPr>
                    <w:t>DA002</w:t>
                  </w:r>
                </w:p>
              </w:tc>
              <w:tc>
                <w:tcPr>
                  <w:tcW w:w="546" w:type="pct"/>
                  <w:vAlign w:val="center"/>
                </w:tcPr>
                <w:p w14:paraId="22706077">
                  <w:pPr>
                    <w:pStyle w:val="32"/>
                    <w:spacing w:before="48" w:after="48"/>
                    <w:rPr>
                      <w:color w:val="FF0000"/>
                      <w:szCs w:val="21"/>
                    </w:rPr>
                  </w:pPr>
                  <w:r>
                    <w:rPr>
                      <w:color w:val="FF0000"/>
                      <w:szCs w:val="21"/>
                    </w:rPr>
                    <w:t>30</w:t>
                  </w:r>
                </w:p>
              </w:tc>
              <w:tc>
                <w:tcPr>
                  <w:tcW w:w="655" w:type="pct"/>
                  <w:vAlign w:val="center"/>
                </w:tcPr>
                <w:p w14:paraId="14493709">
                  <w:pPr>
                    <w:pStyle w:val="32"/>
                    <w:spacing w:before="48" w:after="48"/>
                    <w:rPr>
                      <w:color w:val="FF0000"/>
                      <w:szCs w:val="21"/>
                    </w:rPr>
                  </w:pPr>
                  <w:r>
                    <w:rPr>
                      <w:color w:val="FF0000"/>
                      <w:szCs w:val="21"/>
                    </w:rPr>
                    <w:t>0.5</w:t>
                  </w:r>
                </w:p>
              </w:tc>
              <w:tc>
                <w:tcPr>
                  <w:tcW w:w="703" w:type="pct"/>
                  <w:vAlign w:val="center"/>
                </w:tcPr>
                <w:p w14:paraId="07600CA1">
                  <w:pPr>
                    <w:pStyle w:val="32"/>
                    <w:spacing w:before="48" w:after="48"/>
                    <w:rPr>
                      <w:color w:val="FF0000"/>
                      <w:szCs w:val="21"/>
                    </w:rPr>
                  </w:pPr>
                  <w:r>
                    <w:rPr>
                      <w:color w:val="FF0000"/>
                      <w:szCs w:val="21"/>
                    </w:rPr>
                    <w:t>120</w:t>
                  </w:r>
                </w:p>
              </w:tc>
              <w:tc>
                <w:tcPr>
                  <w:tcW w:w="1916" w:type="pct"/>
                  <w:vAlign w:val="center"/>
                </w:tcPr>
                <w:p w14:paraId="2BD067E3">
                  <w:pPr>
                    <w:pStyle w:val="32"/>
                    <w:spacing w:before="48" w:after="48"/>
                    <w:rPr>
                      <w:color w:val="FF0000"/>
                      <w:szCs w:val="21"/>
                    </w:rPr>
                  </w:pPr>
                  <w:r>
                    <w:rPr>
                      <w:color w:val="FF0000"/>
                      <w:szCs w:val="21"/>
                    </w:rPr>
                    <w:t>经度121.999730、纬度41.247382</w:t>
                  </w:r>
                </w:p>
              </w:tc>
            </w:tr>
          </w:tbl>
          <w:p w14:paraId="24BC03BA">
            <w:pPr>
              <w:ind w:firstLine="480"/>
            </w:pPr>
            <w:r>
              <w:t>（3）非正常工况</w:t>
            </w:r>
          </w:p>
          <w:p w14:paraId="246FA5E7">
            <w:pPr>
              <w:pStyle w:val="28"/>
              <w:ind w:firstLine="480"/>
            </w:pPr>
            <w:r>
              <w:t>本项目涉及的非正常排放工况主要是废气处理设施发生故障，从而造成污染物的非正常工况排放，处理效率按0计算。根据源强核算，非正常工况排放源强为切割粉尘</w:t>
            </w:r>
            <w:r>
              <w:rPr>
                <w:szCs w:val="24"/>
              </w:rPr>
              <w:t>1.8t/a</w:t>
            </w:r>
            <w:r>
              <w:t>，非甲烷总烃1.5t/a，蒸汽发生器颗粒物0.39t/a、二氧化硫0.27t/a、氮氧化物0.55t/a，水泥料仓粉尘3.45t/a。</w:t>
            </w:r>
          </w:p>
          <w:p w14:paraId="321C1A04">
            <w:pPr>
              <w:pStyle w:val="6"/>
              <w:numPr>
                <w:ilvl w:val="0"/>
                <w:numId w:val="2"/>
              </w:numPr>
              <w:spacing w:before="120" w:after="120"/>
              <w:ind w:firstLine="482" w:firstLineChars="0"/>
            </w:pPr>
            <w:r>
              <w:t>废气监测要求</w:t>
            </w:r>
          </w:p>
          <w:p w14:paraId="2A11EE9F">
            <w:pPr>
              <w:ind w:firstLine="480"/>
            </w:pPr>
            <w:r>
              <w:t>根据《排污单位自行监测技术指南总则》（HJ819-2017）、</w:t>
            </w:r>
            <w:r>
              <w:rPr>
                <w:bCs/>
              </w:rPr>
              <w:t>《排污许可证申请与核发技术规范 锅炉》（HJ 953-2018）和《排污许可证申请与核发技术规范 陶瓷砖瓦工业》（HJ 954-2018）</w:t>
            </w:r>
            <w:r>
              <w:t>要求，本项目运行期废气自行监测要求详见下表。</w:t>
            </w:r>
          </w:p>
          <w:p w14:paraId="725E8B3F">
            <w:pPr>
              <w:pStyle w:val="37"/>
              <w:spacing w:beforeLines="0"/>
              <w:rPr>
                <w:rFonts w:hint="default"/>
              </w:rPr>
            </w:pPr>
            <w:r>
              <w:rPr>
                <w:rFonts w:hint="default"/>
              </w:rPr>
              <w:t>表23  监测点位、监测项目和监测要求</w:t>
            </w:r>
          </w:p>
          <w:tbl>
            <w:tblPr>
              <w:tblStyle w:val="25"/>
              <w:tblW w:w="4998"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69"/>
              <w:gridCol w:w="1736"/>
              <w:gridCol w:w="1468"/>
              <w:gridCol w:w="2501"/>
            </w:tblGrid>
            <w:tr w14:paraId="07B327B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8" w:type="pct"/>
                  <w:tcBorders>
                    <w:tl2br w:val="nil"/>
                    <w:tr2bl w:val="nil"/>
                  </w:tcBorders>
                  <w:vAlign w:val="center"/>
                </w:tcPr>
                <w:p w14:paraId="0702773A">
                  <w:pPr>
                    <w:pStyle w:val="32"/>
                    <w:widowControl w:val="0"/>
                    <w:spacing w:before="48" w:after="48"/>
                  </w:pPr>
                  <w:r>
                    <w:t>序号</w:t>
                  </w:r>
                </w:p>
              </w:tc>
              <w:tc>
                <w:tcPr>
                  <w:tcW w:w="905" w:type="pct"/>
                  <w:tcBorders>
                    <w:tl2br w:val="nil"/>
                    <w:tr2bl w:val="nil"/>
                  </w:tcBorders>
                  <w:vAlign w:val="center"/>
                </w:tcPr>
                <w:p w14:paraId="434D3718">
                  <w:pPr>
                    <w:pStyle w:val="32"/>
                    <w:widowControl w:val="0"/>
                    <w:spacing w:before="48" w:after="48"/>
                  </w:pPr>
                  <w:r>
                    <w:t>监测点位</w:t>
                  </w:r>
                </w:p>
              </w:tc>
              <w:tc>
                <w:tcPr>
                  <w:tcW w:w="1069" w:type="pct"/>
                  <w:tcBorders>
                    <w:tl2br w:val="nil"/>
                    <w:tr2bl w:val="nil"/>
                  </w:tcBorders>
                  <w:vAlign w:val="center"/>
                </w:tcPr>
                <w:p w14:paraId="3CBA3F19">
                  <w:pPr>
                    <w:pStyle w:val="32"/>
                    <w:widowControl w:val="0"/>
                    <w:spacing w:before="48" w:after="48"/>
                  </w:pPr>
                  <w:r>
                    <w:t>监测项目</w:t>
                  </w:r>
                </w:p>
              </w:tc>
              <w:tc>
                <w:tcPr>
                  <w:tcW w:w="904" w:type="pct"/>
                  <w:tcBorders>
                    <w:tl2br w:val="nil"/>
                    <w:tr2bl w:val="nil"/>
                  </w:tcBorders>
                  <w:vAlign w:val="center"/>
                </w:tcPr>
                <w:p w14:paraId="5A7C7030">
                  <w:pPr>
                    <w:pStyle w:val="32"/>
                    <w:widowControl w:val="0"/>
                    <w:spacing w:before="48" w:after="48"/>
                  </w:pPr>
                  <w:r>
                    <w:t>监测频次</w:t>
                  </w:r>
                </w:p>
              </w:tc>
              <w:tc>
                <w:tcPr>
                  <w:tcW w:w="1541" w:type="pct"/>
                  <w:tcBorders>
                    <w:tl2br w:val="nil"/>
                    <w:tr2bl w:val="nil"/>
                  </w:tcBorders>
                  <w:vAlign w:val="center"/>
                </w:tcPr>
                <w:p w14:paraId="00674723">
                  <w:pPr>
                    <w:pStyle w:val="32"/>
                    <w:widowControl w:val="0"/>
                    <w:spacing w:before="48" w:after="48"/>
                  </w:pPr>
                  <w:r>
                    <w:t>执行标准</w:t>
                  </w:r>
                </w:p>
              </w:tc>
            </w:tr>
            <w:tr w14:paraId="4274C79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8" w:type="pct"/>
                  <w:tcBorders>
                    <w:tl2br w:val="nil"/>
                    <w:tr2bl w:val="nil"/>
                  </w:tcBorders>
                  <w:vAlign w:val="center"/>
                </w:tcPr>
                <w:p w14:paraId="4B8D3E4D">
                  <w:pPr>
                    <w:pStyle w:val="32"/>
                    <w:widowControl w:val="0"/>
                    <w:spacing w:before="48" w:after="48"/>
                    <w:rPr>
                      <w:szCs w:val="21"/>
                    </w:rPr>
                  </w:pPr>
                  <w:r>
                    <w:rPr>
                      <w:szCs w:val="21"/>
                    </w:rPr>
                    <w:t>1</w:t>
                  </w:r>
                </w:p>
              </w:tc>
              <w:tc>
                <w:tcPr>
                  <w:tcW w:w="905" w:type="pct"/>
                  <w:tcBorders>
                    <w:tl2br w:val="nil"/>
                    <w:tr2bl w:val="nil"/>
                  </w:tcBorders>
                  <w:vAlign w:val="center"/>
                </w:tcPr>
                <w:p w14:paraId="4A5ED6B5">
                  <w:pPr>
                    <w:pStyle w:val="32"/>
                    <w:widowControl w:val="0"/>
                    <w:spacing w:before="48" w:after="48"/>
                    <w:rPr>
                      <w:szCs w:val="21"/>
                    </w:rPr>
                  </w:pPr>
                  <w:r>
                    <w:rPr>
                      <w:szCs w:val="21"/>
                    </w:rPr>
                    <w:t>切割工序15m排气筒</w:t>
                  </w:r>
                </w:p>
              </w:tc>
              <w:tc>
                <w:tcPr>
                  <w:tcW w:w="1069" w:type="pct"/>
                  <w:tcBorders>
                    <w:tl2br w:val="nil"/>
                    <w:tr2bl w:val="nil"/>
                  </w:tcBorders>
                  <w:vAlign w:val="center"/>
                </w:tcPr>
                <w:p w14:paraId="42C7FAD5">
                  <w:pPr>
                    <w:pStyle w:val="32"/>
                    <w:widowControl w:val="0"/>
                    <w:spacing w:before="48" w:after="48"/>
                    <w:rPr>
                      <w:szCs w:val="21"/>
                    </w:rPr>
                  </w:pPr>
                  <w:r>
                    <w:rPr>
                      <w:szCs w:val="21"/>
                    </w:rPr>
                    <w:t>颗粒物</w:t>
                  </w:r>
                </w:p>
              </w:tc>
              <w:tc>
                <w:tcPr>
                  <w:tcW w:w="904" w:type="pct"/>
                  <w:tcBorders>
                    <w:tl2br w:val="nil"/>
                    <w:tr2bl w:val="nil"/>
                  </w:tcBorders>
                  <w:vAlign w:val="center"/>
                </w:tcPr>
                <w:p w14:paraId="2F0BEE46">
                  <w:pPr>
                    <w:pStyle w:val="32"/>
                    <w:widowControl w:val="0"/>
                    <w:spacing w:before="48" w:after="48"/>
                    <w:rPr>
                      <w:szCs w:val="21"/>
                    </w:rPr>
                  </w:pPr>
                  <w:r>
                    <w:rPr>
                      <w:szCs w:val="21"/>
                    </w:rPr>
                    <w:t>1次/年</w:t>
                  </w:r>
                </w:p>
              </w:tc>
              <w:tc>
                <w:tcPr>
                  <w:tcW w:w="1541" w:type="pct"/>
                  <w:tcBorders>
                    <w:tl2br w:val="nil"/>
                    <w:tr2bl w:val="nil"/>
                  </w:tcBorders>
                  <w:vAlign w:val="center"/>
                </w:tcPr>
                <w:p w14:paraId="781B9570">
                  <w:pPr>
                    <w:pStyle w:val="32"/>
                    <w:widowControl w:val="0"/>
                    <w:spacing w:before="48" w:after="48"/>
                    <w:rPr>
                      <w:szCs w:val="21"/>
                    </w:rPr>
                  </w:pPr>
                  <w:r>
                    <w:rPr>
                      <w:szCs w:val="21"/>
                    </w:rPr>
                    <w:t>《水泥工业大气污染物排放标准》（GB4915-2013）</w:t>
                  </w:r>
                </w:p>
              </w:tc>
            </w:tr>
            <w:tr w14:paraId="1676058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8" w:type="pct"/>
                  <w:vMerge w:val="restart"/>
                  <w:tcBorders>
                    <w:tl2br w:val="nil"/>
                    <w:tr2bl w:val="nil"/>
                  </w:tcBorders>
                  <w:vAlign w:val="center"/>
                </w:tcPr>
                <w:p w14:paraId="2F9DD0B9">
                  <w:pPr>
                    <w:pStyle w:val="32"/>
                    <w:widowControl w:val="0"/>
                    <w:spacing w:before="48" w:after="48"/>
                    <w:rPr>
                      <w:szCs w:val="21"/>
                    </w:rPr>
                  </w:pPr>
                  <w:r>
                    <w:rPr>
                      <w:szCs w:val="21"/>
                    </w:rPr>
                    <w:t>2</w:t>
                  </w:r>
                </w:p>
              </w:tc>
              <w:tc>
                <w:tcPr>
                  <w:tcW w:w="905" w:type="pct"/>
                  <w:vMerge w:val="restart"/>
                  <w:tcBorders>
                    <w:tl2br w:val="nil"/>
                    <w:tr2bl w:val="nil"/>
                  </w:tcBorders>
                  <w:vAlign w:val="center"/>
                </w:tcPr>
                <w:p w14:paraId="74A7A666">
                  <w:pPr>
                    <w:pStyle w:val="32"/>
                    <w:widowControl w:val="0"/>
                    <w:spacing w:before="48" w:after="48"/>
                    <w:rPr>
                      <w:szCs w:val="21"/>
                    </w:rPr>
                  </w:pPr>
                  <w:r>
                    <w:rPr>
                      <w:szCs w:val="21"/>
                    </w:rPr>
                    <w:t>蒸汽发生器30m排气筒</w:t>
                  </w:r>
                </w:p>
              </w:tc>
              <w:tc>
                <w:tcPr>
                  <w:tcW w:w="1069" w:type="pct"/>
                  <w:tcBorders>
                    <w:tl2br w:val="nil"/>
                    <w:tr2bl w:val="nil"/>
                  </w:tcBorders>
                  <w:vAlign w:val="center"/>
                </w:tcPr>
                <w:p w14:paraId="4D563152">
                  <w:pPr>
                    <w:pStyle w:val="32"/>
                    <w:widowControl w:val="0"/>
                    <w:spacing w:before="48" w:after="48"/>
                    <w:rPr>
                      <w:szCs w:val="21"/>
                    </w:rPr>
                  </w:pPr>
                  <w:r>
                    <w:rPr>
                      <w:szCs w:val="21"/>
                    </w:rPr>
                    <w:t>颗粒物</w:t>
                  </w:r>
                </w:p>
              </w:tc>
              <w:tc>
                <w:tcPr>
                  <w:tcW w:w="904" w:type="pct"/>
                  <w:tcBorders>
                    <w:tl2br w:val="nil"/>
                    <w:tr2bl w:val="nil"/>
                  </w:tcBorders>
                  <w:vAlign w:val="center"/>
                </w:tcPr>
                <w:p w14:paraId="2E3D3365">
                  <w:pPr>
                    <w:pStyle w:val="32"/>
                    <w:widowControl w:val="0"/>
                    <w:spacing w:before="48" w:after="48"/>
                    <w:rPr>
                      <w:szCs w:val="21"/>
                    </w:rPr>
                  </w:pPr>
                  <w:r>
                    <w:rPr>
                      <w:szCs w:val="21"/>
                    </w:rPr>
                    <w:t>1次/年</w:t>
                  </w:r>
                </w:p>
              </w:tc>
              <w:tc>
                <w:tcPr>
                  <w:tcW w:w="1541" w:type="pct"/>
                  <w:vMerge w:val="restart"/>
                  <w:tcBorders>
                    <w:tl2br w:val="nil"/>
                    <w:tr2bl w:val="nil"/>
                  </w:tcBorders>
                  <w:vAlign w:val="center"/>
                </w:tcPr>
                <w:p w14:paraId="4DEBC9ED">
                  <w:pPr>
                    <w:pStyle w:val="32"/>
                    <w:widowControl w:val="0"/>
                    <w:spacing w:before="48" w:after="48"/>
                    <w:rPr>
                      <w:szCs w:val="21"/>
                    </w:rPr>
                  </w:pPr>
                  <w:r>
                    <w:rPr>
                      <w:szCs w:val="21"/>
                    </w:rPr>
                    <w:t>《锅炉大气污染物排放标准》（GB13271-2014）</w:t>
                  </w:r>
                </w:p>
              </w:tc>
            </w:tr>
            <w:tr w14:paraId="7120C08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8" w:type="pct"/>
                  <w:vMerge w:val="continue"/>
                  <w:tcBorders>
                    <w:tl2br w:val="nil"/>
                    <w:tr2bl w:val="nil"/>
                  </w:tcBorders>
                  <w:vAlign w:val="center"/>
                </w:tcPr>
                <w:p w14:paraId="0CBEA21D">
                  <w:pPr>
                    <w:pStyle w:val="32"/>
                    <w:widowControl w:val="0"/>
                    <w:spacing w:before="48" w:after="48"/>
                    <w:rPr>
                      <w:szCs w:val="21"/>
                    </w:rPr>
                  </w:pPr>
                </w:p>
              </w:tc>
              <w:tc>
                <w:tcPr>
                  <w:tcW w:w="905" w:type="pct"/>
                  <w:vMerge w:val="continue"/>
                  <w:tcBorders>
                    <w:tl2br w:val="nil"/>
                    <w:tr2bl w:val="nil"/>
                  </w:tcBorders>
                  <w:vAlign w:val="center"/>
                </w:tcPr>
                <w:p w14:paraId="2FE3D1FA">
                  <w:pPr>
                    <w:pStyle w:val="32"/>
                    <w:widowControl w:val="0"/>
                    <w:spacing w:before="48" w:after="48"/>
                    <w:rPr>
                      <w:szCs w:val="21"/>
                    </w:rPr>
                  </w:pPr>
                </w:p>
              </w:tc>
              <w:tc>
                <w:tcPr>
                  <w:tcW w:w="1069" w:type="pct"/>
                  <w:tcBorders>
                    <w:tl2br w:val="nil"/>
                    <w:tr2bl w:val="nil"/>
                  </w:tcBorders>
                  <w:vAlign w:val="center"/>
                </w:tcPr>
                <w:p w14:paraId="42DEBF2E">
                  <w:pPr>
                    <w:pStyle w:val="32"/>
                    <w:widowControl w:val="0"/>
                    <w:spacing w:before="48" w:after="48"/>
                    <w:rPr>
                      <w:szCs w:val="21"/>
                    </w:rPr>
                  </w:pPr>
                  <w:r>
                    <w:rPr>
                      <w:szCs w:val="21"/>
                    </w:rPr>
                    <w:t>二氧化硫</w:t>
                  </w:r>
                </w:p>
              </w:tc>
              <w:tc>
                <w:tcPr>
                  <w:tcW w:w="904" w:type="pct"/>
                  <w:tcBorders>
                    <w:tl2br w:val="nil"/>
                    <w:tr2bl w:val="nil"/>
                  </w:tcBorders>
                  <w:vAlign w:val="center"/>
                </w:tcPr>
                <w:p w14:paraId="2EE84A06">
                  <w:pPr>
                    <w:pStyle w:val="32"/>
                    <w:widowControl w:val="0"/>
                    <w:spacing w:before="48" w:after="48"/>
                    <w:rPr>
                      <w:szCs w:val="21"/>
                    </w:rPr>
                  </w:pPr>
                  <w:r>
                    <w:rPr>
                      <w:szCs w:val="21"/>
                    </w:rPr>
                    <w:t>1次/年</w:t>
                  </w:r>
                </w:p>
              </w:tc>
              <w:tc>
                <w:tcPr>
                  <w:tcW w:w="1541" w:type="pct"/>
                  <w:vMerge w:val="continue"/>
                  <w:tcBorders>
                    <w:tl2br w:val="nil"/>
                    <w:tr2bl w:val="nil"/>
                  </w:tcBorders>
                  <w:vAlign w:val="center"/>
                </w:tcPr>
                <w:p w14:paraId="7FC584FB">
                  <w:pPr>
                    <w:pStyle w:val="32"/>
                    <w:widowControl w:val="0"/>
                    <w:spacing w:before="48" w:after="48"/>
                    <w:rPr>
                      <w:szCs w:val="21"/>
                    </w:rPr>
                  </w:pPr>
                </w:p>
              </w:tc>
            </w:tr>
            <w:tr w14:paraId="340FE61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8" w:type="pct"/>
                  <w:vMerge w:val="continue"/>
                  <w:tcBorders>
                    <w:tl2br w:val="nil"/>
                    <w:tr2bl w:val="nil"/>
                  </w:tcBorders>
                  <w:vAlign w:val="center"/>
                </w:tcPr>
                <w:p w14:paraId="76C72E82">
                  <w:pPr>
                    <w:pStyle w:val="32"/>
                    <w:widowControl w:val="0"/>
                    <w:spacing w:before="48" w:after="48"/>
                    <w:rPr>
                      <w:szCs w:val="21"/>
                    </w:rPr>
                  </w:pPr>
                </w:p>
              </w:tc>
              <w:tc>
                <w:tcPr>
                  <w:tcW w:w="905" w:type="pct"/>
                  <w:vMerge w:val="continue"/>
                  <w:tcBorders>
                    <w:tl2br w:val="nil"/>
                    <w:tr2bl w:val="nil"/>
                  </w:tcBorders>
                  <w:vAlign w:val="center"/>
                </w:tcPr>
                <w:p w14:paraId="52EA1C2D">
                  <w:pPr>
                    <w:pStyle w:val="32"/>
                    <w:widowControl w:val="0"/>
                    <w:spacing w:before="48" w:after="48"/>
                    <w:rPr>
                      <w:szCs w:val="21"/>
                    </w:rPr>
                  </w:pPr>
                </w:p>
              </w:tc>
              <w:tc>
                <w:tcPr>
                  <w:tcW w:w="1069" w:type="pct"/>
                  <w:tcBorders>
                    <w:tl2br w:val="nil"/>
                    <w:tr2bl w:val="nil"/>
                  </w:tcBorders>
                  <w:vAlign w:val="center"/>
                </w:tcPr>
                <w:p w14:paraId="3832F544">
                  <w:pPr>
                    <w:pStyle w:val="32"/>
                    <w:widowControl w:val="0"/>
                    <w:spacing w:before="48" w:after="48"/>
                    <w:rPr>
                      <w:szCs w:val="21"/>
                    </w:rPr>
                  </w:pPr>
                  <w:r>
                    <w:rPr>
                      <w:szCs w:val="21"/>
                    </w:rPr>
                    <w:t>氮氧化物</w:t>
                  </w:r>
                </w:p>
              </w:tc>
              <w:tc>
                <w:tcPr>
                  <w:tcW w:w="904" w:type="pct"/>
                  <w:tcBorders>
                    <w:tl2br w:val="nil"/>
                    <w:tr2bl w:val="nil"/>
                  </w:tcBorders>
                  <w:vAlign w:val="center"/>
                </w:tcPr>
                <w:p w14:paraId="1D8137B5">
                  <w:pPr>
                    <w:pStyle w:val="32"/>
                    <w:widowControl w:val="0"/>
                    <w:spacing w:before="48" w:after="48"/>
                    <w:rPr>
                      <w:szCs w:val="21"/>
                    </w:rPr>
                  </w:pPr>
                  <w:r>
                    <w:rPr>
                      <w:szCs w:val="21"/>
                    </w:rPr>
                    <w:t>1次/月</w:t>
                  </w:r>
                </w:p>
              </w:tc>
              <w:tc>
                <w:tcPr>
                  <w:tcW w:w="1541" w:type="pct"/>
                  <w:vMerge w:val="continue"/>
                  <w:tcBorders>
                    <w:tl2br w:val="nil"/>
                    <w:tr2bl w:val="nil"/>
                  </w:tcBorders>
                  <w:vAlign w:val="center"/>
                </w:tcPr>
                <w:p w14:paraId="3D494C62">
                  <w:pPr>
                    <w:pStyle w:val="32"/>
                    <w:widowControl w:val="0"/>
                    <w:spacing w:before="48" w:after="48"/>
                    <w:rPr>
                      <w:szCs w:val="21"/>
                    </w:rPr>
                  </w:pPr>
                </w:p>
              </w:tc>
            </w:tr>
            <w:tr w14:paraId="733DA45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8" w:type="pct"/>
                  <w:vMerge w:val="continue"/>
                  <w:tcBorders>
                    <w:tl2br w:val="nil"/>
                    <w:tr2bl w:val="nil"/>
                  </w:tcBorders>
                  <w:vAlign w:val="center"/>
                </w:tcPr>
                <w:p w14:paraId="00644BD8">
                  <w:pPr>
                    <w:pStyle w:val="32"/>
                    <w:widowControl w:val="0"/>
                    <w:spacing w:before="48" w:after="48"/>
                    <w:rPr>
                      <w:szCs w:val="21"/>
                    </w:rPr>
                  </w:pPr>
                </w:p>
              </w:tc>
              <w:tc>
                <w:tcPr>
                  <w:tcW w:w="905" w:type="pct"/>
                  <w:vMerge w:val="continue"/>
                  <w:tcBorders>
                    <w:tl2br w:val="nil"/>
                    <w:tr2bl w:val="nil"/>
                  </w:tcBorders>
                  <w:vAlign w:val="center"/>
                </w:tcPr>
                <w:p w14:paraId="55A4FB1B">
                  <w:pPr>
                    <w:pStyle w:val="32"/>
                    <w:widowControl w:val="0"/>
                    <w:spacing w:before="48" w:after="48"/>
                    <w:rPr>
                      <w:szCs w:val="21"/>
                    </w:rPr>
                  </w:pPr>
                </w:p>
              </w:tc>
              <w:tc>
                <w:tcPr>
                  <w:tcW w:w="1069" w:type="pct"/>
                  <w:tcBorders>
                    <w:tl2br w:val="nil"/>
                    <w:tr2bl w:val="nil"/>
                  </w:tcBorders>
                  <w:vAlign w:val="center"/>
                </w:tcPr>
                <w:p w14:paraId="64788A2B">
                  <w:pPr>
                    <w:pStyle w:val="32"/>
                    <w:widowControl w:val="0"/>
                    <w:spacing w:before="48" w:after="48"/>
                    <w:rPr>
                      <w:szCs w:val="21"/>
                    </w:rPr>
                  </w:pPr>
                  <w:r>
                    <w:rPr>
                      <w:szCs w:val="21"/>
                    </w:rPr>
                    <w:t>林格曼黑度</w:t>
                  </w:r>
                </w:p>
              </w:tc>
              <w:tc>
                <w:tcPr>
                  <w:tcW w:w="904" w:type="pct"/>
                  <w:tcBorders>
                    <w:tl2br w:val="nil"/>
                    <w:tr2bl w:val="nil"/>
                  </w:tcBorders>
                  <w:vAlign w:val="center"/>
                </w:tcPr>
                <w:p w14:paraId="3180D906">
                  <w:pPr>
                    <w:pStyle w:val="32"/>
                    <w:widowControl w:val="0"/>
                    <w:spacing w:before="48" w:after="48"/>
                    <w:rPr>
                      <w:szCs w:val="21"/>
                    </w:rPr>
                  </w:pPr>
                  <w:r>
                    <w:rPr>
                      <w:szCs w:val="21"/>
                    </w:rPr>
                    <w:t>1次/年</w:t>
                  </w:r>
                </w:p>
              </w:tc>
              <w:tc>
                <w:tcPr>
                  <w:tcW w:w="1541" w:type="pct"/>
                  <w:vMerge w:val="continue"/>
                  <w:tcBorders>
                    <w:tl2br w:val="nil"/>
                    <w:tr2bl w:val="nil"/>
                  </w:tcBorders>
                  <w:vAlign w:val="center"/>
                </w:tcPr>
                <w:p w14:paraId="2503F874">
                  <w:pPr>
                    <w:pStyle w:val="32"/>
                    <w:widowControl w:val="0"/>
                    <w:spacing w:before="48" w:after="48"/>
                    <w:rPr>
                      <w:szCs w:val="21"/>
                    </w:rPr>
                  </w:pPr>
                </w:p>
              </w:tc>
            </w:tr>
            <w:tr w14:paraId="25D16CF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8" w:type="pct"/>
                  <w:vMerge w:val="continue"/>
                  <w:tcBorders>
                    <w:tl2br w:val="nil"/>
                    <w:tr2bl w:val="nil"/>
                  </w:tcBorders>
                  <w:vAlign w:val="center"/>
                </w:tcPr>
                <w:p w14:paraId="388EB35F">
                  <w:pPr>
                    <w:pStyle w:val="32"/>
                    <w:widowControl w:val="0"/>
                    <w:spacing w:before="48" w:after="48"/>
                    <w:rPr>
                      <w:szCs w:val="21"/>
                    </w:rPr>
                  </w:pPr>
                </w:p>
              </w:tc>
              <w:tc>
                <w:tcPr>
                  <w:tcW w:w="905" w:type="pct"/>
                  <w:vMerge w:val="continue"/>
                  <w:tcBorders>
                    <w:tl2br w:val="nil"/>
                    <w:tr2bl w:val="nil"/>
                  </w:tcBorders>
                  <w:vAlign w:val="center"/>
                </w:tcPr>
                <w:p w14:paraId="42D09B1D">
                  <w:pPr>
                    <w:pStyle w:val="32"/>
                    <w:widowControl w:val="0"/>
                    <w:spacing w:before="48" w:after="48"/>
                    <w:rPr>
                      <w:szCs w:val="21"/>
                    </w:rPr>
                  </w:pPr>
                </w:p>
              </w:tc>
              <w:tc>
                <w:tcPr>
                  <w:tcW w:w="1069" w:type="pct"/>
                  <w:tcBorders>
                    <w:tl2br w:val="nil"/>
                    <w:tr2bl w:val="nil"/>
                  </w:tcBorders>
                  <w:vAlign w:val="center"/>
                </w:tcPr>
                <w:p w14:paraId="7D5CEBB9">
                  <w:pPr>
                    <w:pStyle w:val="32"/>
                    <w:widowControl w:val="0"/>
                    <w:spacing w:before="48" w:after="48"/>
                    <w:rPr>
                      <w:szCs w:val="21"/>
                    </w:rPr>
                  </w:pPr>
                  <w:r>
                    <w:rPr>
                      <w:szCs w:val="21"/>
                    </w:rPr>
                    <w:t>非甲烷总烃</w:t>
                  </w:r>
                </w:p>
              </w:tc>
              <w:tc>
                <w:tcPr>
                  <w:tcW w:w="904" w:type="pct"/>
                  <w:tcBorders>
                    <w:tl2br w:val="nil"/>
                    <w:tr2bl w:val="nil"/>
                  </w:tcBorders>
                  <w:vAlign w:val="center"/>
                </w:tcPr>
                <w:p w14:paraId="15E0AB93">
                  <w:pPr>
                    <w:pStyle w:val="32"/>
                    <w:widowControl w:val="0"/>
                    <w:spacing w:before="48" w:after="48"/>
                    <w:rPr>
                      <w:szCs w:val="21"/>
                    </w:rPr>
                  </w:pPr>
                  <w:r>
                    <w:rPr>
                      <w:szCs w:val="21"/>
                    </w:rPr>
                    <w:t>1次/年</w:t>
                  </w:r>
                </w:p>
              </w:tc>
              <w:tc>
                <w:tcPr>
                  <w:tcW w:w="1541" w:type="pct"/>
                  <w:tcBorders>
                    <w:tl2br w:val="nil"/>
                    <w:tr2bl w:val="nil"/>
                  </w:tcBorders>
                  <w:vAlign w:val="center"/>
                </w:tcPr>
                <w:p w14:paraId="42047AE9">
                  <w:pPr>
                    <w:pStyle w:val="32"/>
                    <w:widowControl w:val="0"/>
                    <w:spacing w:before="48" w:after="48"/>
                    <w:rPr>
                      <w:color w:val="FF0000"/>
                      <w:szCs w:val="21"/>
                    </w:rPr>
                  </w:pPr>
                  <w:r>
                    <w:rPr>
                      <w:color w:val="FF0000"/>
                    </w:rPr>
                    <w:t>《</w:t>
                  </w:r>
                  <w:r>
                    <w:rPr>
                      <w:rFonts w:hint="eastAsia"/>
                      <w:color w:val="FF0000"/>
                      <w:lang w:eastAsia="zh-CN"/>
                    </w:rPr>
                    <w:t>大气污染物综合排放标准</w:t>
                  </w:r>
                  <w:r>
                    <w:rPr>
                      <w:color w:val="FF0000"/>
                    </w:rPr>
                    <w:t>》（GB</w:t>
                  </w:r>
                  <w:r>
                    <w:rPr>
                      <w:rFonts w:hint="eastAsia"/>
                      <w:color w:val="FF0000"/>
                      <w:lang w:val="en-US" w:eastAsia="zh-CN"/>
                    </w:rPr>
                    <w:t>16297-1996</w:t>
                  </w:r>
                  <w:r>
                    <w:rPr>
                      <w:color w:val="FF0000"/>
                    </w:rPr>
                    <w:t>）</w:t>
                  </w:r>
                </w:p>
              </w:tc>
            </w:tr>
            <w:tr w14:paraId="33C1A0A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8" w:type="pct"/>
                  <w:vMerge w:val="restart"/>
                  <w:tcBorders>
                    <w:tl2br w:val="nil"/>
                    <w:tr2bl w:val="nil"/>
                  </w:tcBorders>
                  <w:vAlign w:val="center"/>
                </w:tcPr>
                <w:p w14:paraId="7B18FFCD">
                  <w:pPr>
                    <w:pStyle w:val="32"/>
                    <w:widowControl w:val="0"/>
                    <w:spacing w:before="48" w:after="48"/>
                    <w:rPr>
                      <w:szCs w:val="21"/>
                    </w:rPr>
                  </w:pPr>
                  <w:r>
                    <w:rPr>
                      <w:szCs w:val="21"/>
                    </w:rPr>
                    <w:t>3</w:t>
                  </w:r>
                </w:p>
              </w:tc>
              <w:tc>
                <w:tcPr>
                  <w:tcW w:w="905" w:type="pct"/>
                  <w:vMerge w:val="restart"/>
                  <w:tcBorders>
                    <w:tl2br w:val="nil"/>
                    <w:tr2bl w:val="nil"/>
                  </w:tcBorders>
                  <w:vAlign w:val="center"/>
                </w:tcPr>
                <w:p w14:paraId="3A11A5E2">
                  <w:pPr>
                    <w:pStyle w:val="32"/>
                    <w:widowControl w:val="0"/>
                    <w:spacing w:before="48" w:after="48"/>
                    <w:rPr>
                      <w:szCs w:val="21"/>
                    </w:rPr>
                  </w:pPr>
                  <w:r>
                    <w:rPr>
                      <w:szCs w:val="21"/>
                    </w:rPr>
                    <w:t>厂界四周</w:t>
                  </w:r>
                </w:p>
              </w:tc>
              <w:tc>
                <w:tcPr>
                  <w:tcW w:w="1069" w:type="pct"/>
                  <w:tcBorders>
                    <w:tl2br w:val="nil"/>
                    <w:tr2bl w:val="nil"/>
                  </w:tcBorders>
                  <w:vAlign w:val="center"/>
                </w:tcPr>
                <w:p w14:paraId="24683FFB">
                  <w:pPr>
                    <w:pStyle w:val="32"/>
                    <w:widowControl w:val="0"/>
                    <w:spacing w:before="48" w:after="48"/>
                    <w:rPr>
                      <w:szCs w:val="21"/>
                    </w:rPr>
                  </w:pPr>
                  <w:r>
                    <w:rPr>
                      <w:szCs w:val="21"/>
                    </w:rPr>
                    <w:t>非甲烷总烃</w:t>
                  </w:r>
                </w:p>
              </w:tc>
              <w:tc>
                <w:tcPr>
                  <w:tcW w:w="904" w:type="pct"/>
                  <w:tcBorders>
                    <w:tl2br w:val="nil"/>
                    <w:tr2bl w:val="nil"/>
                  </w:tcBorders>
                  <w:vAlign w:val="center"/>
                </w:tcPr>
                <w:p w14:paraId="0110278D">
                  <w:pPr>
                    <w:pStyle w:val="32"/>
                    <w:widowControl w:val="0"/>
                    <w:spacing w:before="48" w:after="48"/>
                    <w:rPr>
                      <w:szCs w:val="21"/>
                    </w:rPr>
                  </w:pPr>
                  <w:r>
                    <w:rPr>
                      <w:szCs w:val="21"/>
                    </w:rPr>
                    <w:t>1次/年</w:t>
                  </w:r>
                </w:p>
              </w:tc>
              <w:tc>
                <w:tcPr>
                  <w:tcW w:w="1541" w:type="pct"/>
                  <w:tcBorders>
                    <w:tl2br w:val="nil"/>
                    <w:tr2bl w:val="nil"/>
                  </w:tcBorders>
                  <w:vAlign w:val="center"/>
                </w:tcPr>
                <w:p w14:paraId="2FDD5A9E">
                  <w:pPr>
                    <w:pStyle w:val="32"/>
                    <w:widowControl w:val="0"/>
                    <w:spacing w:before="48" w:after="48"/>
                    <w:rPr>
                      <w:szCs w:val="21"/>
                    </w:rPr>
                  </w:pPr>
                  <w:r>
                    <w:rPr>
                      <w:color w:val="FF0000"/>
                    </w:rPr>
                    <w:t>《</w:t>
                  </w:r>
                  <w:r>
                    <w:rPr>
                      <w:rFonts w:hint="eastAsia"/>
                      <w:color w:val="FF0000"/>
                      <w:lang w:eastAsia="zh-CN"/>
                    </w:rPr>
                    <w:t>大气污染物综合排放标准</w:t>
                  </w:r>
                  <w:r>
                    <w:rPr>
                      <w:color w:val="FF0000"/>
                    </w:rPr>
                    <w:t>》（GB</w:t>
                  </w:r>
                  <w:r>
                    <w:rPr>
                      <w:rFonts w:hint="eastAsia"/>
                      <w:color w:val="FF0000"/>
                      <w:lang w:val="en-US" w:eastAsia="zh-CN"/>
                    </w:rPr>
                    <w:t>16297-1996</w:t>
                  </w:r>
                  <w:r>
                    <w:rPr>
                      <w:color w:val="FF0000"/>
                    </w:rPr>
                    <w:t>）</w:t>
                  </w:r>
                </w:p>
              </w:tc>
            </w:tr>
            <w:tr w14:paraId="79AD2ED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8" w:type="pct"/>
                  <w:vMerge w:val="continue"/>
                  <w:tcBorders>
                    <w:tl2br w:val="nil"/>
                    <w:tr2bl w:val="nil"/>
                  </w:tcBorders>
                  <w:vAlign w:val="center"/>
                </w:tcPr>
                <w:p w14:paraId="5963410D">
                  <w:pPr>
                    <w:pStyle w:val="32"/>
                    <w:widowControl w:val="0"/>
                    <w:spacing w:before="48" w:after="48"/>
                    <w:rPr>
                      <w:szCs w:val="21"/>
                    </w:rPr>
                  </w:pPr>
                </w:p>
              </w:tc>
              <w:tc>
                <w:tcPr>
                  <w:tcW w:w="905" w:type="pct"/>
                  <w:vMerge w:val="continue"/>
                  <w:tcBorders>
                    <w:tl2br w:val="nil"/>
                    <w:tr2bl w:val="nil"/>
                  </w:tcBorders>
                  <w:vAlign w:val="center"/>
                </w:tcPr>
                <w:p w14:paraId="73B5423C">
                  <w:pPr>
                    <w:pStyle w:val="32"/>
                    <w:widowControl w:val="0"/>
                    <w:spacing w:before="48" w:after="48"/>
                    <w:rPr>
                      <w:szCs w:val="21"/>
                    </w:rPr>
                  </w:pPr>
                </w:p>
              </w:tc>
              <w:tc>
                <w:tcPr>
                  <w:tcW w:w="1069" w:type="pct"/>
                  <w:tcBorders>
                    <w:tl2br w:val="nil"/>
                    <w:tr2bl w:val="nil"/>
                  </w:tcBorders>
                  <w:vAlign w:val="center"/>
                </w:tcPr>
                <w:p w14:paraId="28E2820C">
                  <w:pPr>
                    <w:pStyle w:val="32"/>
                    <w:widowControl w:val="0"/>
                    <w:spacing w:before="48" w:after="48"/>
                    <w:rPr>
                      <w:szCs w:val="21"/>
                    </w:rPr>
                  </w:pPr>
                  <w:r>
                    <w:rPr>
                      <w:szCs w:val="21"/>
                    </w:rPr>
                    <w:t>颗粒物</w:t>
                  </w:r>
                </w:p>
              </w:tc>
              <w:tc>
                <w:tcPr>
                  <w:tcW w:w="904" w:type="pct"/>
                  <w:tcBorders>
                    <w:tl2br w:val="nil"/>
                    <w:tr2bl w:val="nil"/>
                  </w:tcBorders>
                  <w:vAlign w:val="center"/>
                </w:tcPr>
                <w:p w14:paraId="022DDD70">
                  <w:pPr>
                    <w:pStyle w:val="32"/>
                    <w:widowControl w:val="0"/>
                    <w:spacing w:before="48" w:after="48"/>
                    <w:rPr>
                      <w:szCs w:val="21"/>
                    </w:rPr>
                  </w:pPr>
                  <w:r>
                    <w:rPr>
                      <w:szCs w:val="21"/>
                    </w:rPr>
                    <w:t>1次/年</w:t>
                  </w:r>
                </w:p>
              </w:tc>
              <w:tc>
                <w:tcPr>
                  <w:tcW w:w="1541" w:type="pct"/>
                  <w:tcBorders>
                    <w:tl2br w:val="nil"/>
                    <w:tr2bl w:val="nil"/>
                  </w:tcBorders>
                  <w:vAlign w:val="center"/>
                </w:tcPr>
                <w:p w14:paraId="5F28EE15">
                  <w:pPr>
                    <w:pStyle w:val="32"/>
                    <w:widowControl w:val="0"/>
                    <w:spacing w:before="48" w:after="48"/>
                    <w:rPr>
                      <w:bCs/>
                      <w:szCs w:val="21"/>
                    </w:rPr>
                  </w:pPr>
                  <w:r>
                    <w:rPr>
                      <w:szCs w:val="21"/>
                    </w:rPr>
                    <w:t>《水泥工业大气污染物排放标准》（GB4915-2013）</w:t>
                  </w:r>
                </w:p>
              </w:tc>
            </w:tr>
          </w:tbl>
          <w:p w14:paraId="567A836A">
            <w:pPr>
              <w:spacing w:line="240" w:lineRule="auto"/>
              <w:ind w:firstLine="0" w:firstLineChars="0"/>
              <w:rPr>
                <w:sz w:val="21"/>
                <w:szCs w:val="21"/>
              </w:rPr>
            </w:pPr>
          </w:p>
          <w:p w14:paraId="5F876810">
            <w:pPr>
              <w:pStyle w:val="6"/>
              <w:numPr>
                <w:ilvl w:val="0"/>
                <w:numId w:val="2"/>
              </w:numPr>
              <w:spacing w:before="120" w:after="120"/>
              <w:ind w:firstLine="482" w:firstLineChars="0"/>
            </w:pPr>
            <w:r>
              <w:t>污染防治治理措施可行性</w:t>
            </w:r>
          </w:p>
          <w:p w14:paraId="0B3EAA5D">
            <w:pPr>
              <w:ind w:firstLine="480"/>
              <w:rPr>
                <w:color w:val="FF0000"/>
              </w:rPr>
            </w:pPr>
            <w:r>
              <w:rPr>
                <w:color w:val="FF0000"/>
              </w:rPr>
              <w:t>项目切割工序产生的粉尘采用旋风除尘+袋式除尘处理后经15m高排气筒排放，根据</w:t>
            </w:r>
            <w:r>
              <w:rPr>
                <w:bCs/>
                <w:color w:val="FF0000"/>
              </w:rPr>
              <w:t>《排污许可证申请与核发技术规范 陶瓷砖瓦工业》（HJ 954-2018）中“表31 隔热和隔音材料工业排污单位废气污染防治可行技术”知，切割工序产生的</w:t>
            </w:r>
            <w:r>
              <w:rPr>
                <w:color w:val="FF0000"/>
              </w:rPr>
              <w:t>粉尘采用旋风除尘+袋式除尘处理是可行性技术。根据《水泥工业大气污染物排放标准》（GB4915-2013）中“4.3.3 除储库底、地坑及物料转运点单机除尘设施外，其他排气筒高度应不低于15m。排气筒高度应高出本体建（构）筑物3m 以上。”则设置15m高排气筒是可行的。</w:t>
            </w:r>
          </w:p>
          <w:p w14:paraId="29A6B43F">
            <w:pPr>
              <w:ind w:firstLine="480"/>
              <w:rPr>
                <w:color w:val="FF0000"/>
              </w:rPr>
            </w:pPr>
            <w:r>
              <w:rPr>
                <w:color w:val="FF0000"/>
              </w:rPr>
              <w:t>根据建设单位提供的资料</w:t>
            </w:r>
            <w:r>
              <w:rPr>
                <w:rFonts w:hint="eastAsia"/>
                <w:color w:val="FF0000"/>
                <w:lang w:eastAsia="zh-CN"/>
              </w:rPr>
              <w:t>可</w:t>
            </w:r>
            <w:r>
              <w:rPr>
                <w:color w:val="FF0000"/>
              </w:rPr>
              <w:t>知，项目发泡工序整个过程为密闭状态，废气收集率为98%，发泡工序产生的废气（蒸汽+非甲烷总烃）经管道收集进入蒸汽冷凝吸收塔，用水把90%以上的蒸汽冷凝成水送到搅拌工序使用，用水主要是起到换热传质的作用，此时水温在50℃以上，有利于搅拌成型，剩下的戊烷气体（戊烷沸点为36℃）及蒸汽余汽一起送进生物质蒸汽发生器炉膛中进行燃烧处理。该废气进入炉膛停留2秒以上，炉膛温度可达到800-1200℃，该蒸汽发生器的特点是水从炉后进入，蒸汽是炉膛中前端出汽，炉膛燃烧火焰经炉膛上端进入第一受热室，然后向下进入第二受热室，向上进入第三受热室，最后进入第四受热室，之后进入烟道风机入口，因此该炉的火焰长度可达4000mm以上，火焰宽度可达500mm，戊烷的闪点为-40℃，引燃温度为260℃，所以废气经炉膛燃烧条件充分。生物质锅炉要先运行达到正常运行供应蒸汽时发泡工序才能开始生产，发泡工序停止生产后锅炉才能停止生产。不正常生产时如果锅炉事故停产发泡工序也要同时停止生产。因此能够保证产生的有机废气始终能得到燃烧处理。项目产生的非甲烷总烃采用生物质蒸汽发生器炉膛燃烧处理的效果等同于热力燃烧，</w:t>
            </w:r>
            <w:r>
              <w:rPr>
                <w:rFonts w:hint="eastAsia"/>
                <w:color w:val="FF0000"/>
                <w:sz w:val="24"/>
                <w:szCs w:val="24"/>
                <w:lang w:eastAsia="zh-CN"/>
              </w:rPr>
              <w:t>由于</w:t>
            </w:r>
            <w:r>
              <w:rPr>
                <w:bCs/>
                <w:color w:val="FF0000"/>
                <w:sz w:val="24"/>
                <w:szCs w:val="24"/>
              </w:rPr>
              <w:t>《排污许可证申请与核发技术规范 陶瓷砖瓦工业》（HJ 954-2018）</w:t>
            </w:r>
            <w:r>
              <w:rPr>
                <w:rFonts w:hint="eastAsia"/>
                <w:bCs/>
                <w:color w:val="FF0000"/>
                <w:sz w:val="24"/>
                <w:szCs w:val="24"/>
                <w:lang w:eastAsia="zh-CN"/>
              </w:rPr>
              <w:t>内无发泡工序，则项目参照</w:t>
            </w:r>
            <w:r>
              <w:rPr>
                <w:color w:val="FF0000"/>
              </w:rPr>
              <w:t>《排污许可证申请与核发技术规范 橡胶和塑料制品工业》（HJ1122-2020）中“表A.2 塑料制品工业排污单位废气污染防治可行技术参考表”知，采用生物质蒸汽发生器炉膛燃烧处理是可行性技术。</w:t>
            </w:r>
          </w:p>
          <w:p w14:paraId="22BDD6DA">
            <w:pPr>
              <w:ind w:firstLine="480"/>
              <w:rPr>
                <w:color w:val="FF0000"/>
              </w:rPr>
            </w:pPr>
            <w:r>
              <w:rPr>
                <w:color w:val="FF0000"/>
              </w:rPr>
              <w:t>生物质蒸汽发生器产生的废气采用经低氮燃烧+旋风除尘+袋式除尘处理后通过30m高排气筒排放。根据</w:t>
            </w:r>
            <w:r>
              <w:rPr>
                <w:bCs/>
                <w:color w:val="FF0000"/>
              </w:rPr>
              <w:t>《排污许可证申请与核发技术规范 锅炉》（HJ 953-2018）中“表7 锅炉烟气污染防治可行技术”知，废气采用的</w:t>
            </w:r>
            <w:r>
              <w:rPr>
                <w:color w:val="FF0000"/>
              </w:rPr>
              <w:t>低氮燃烧+旋风除尘+袋式除尘技术是可行性技术。根据《锅炉大气污染物排放标准》（GB13271-2014）知，生物质蒸汽发生器参照燃煤锅炉排放控制要求执行，项目生物质蒸汽发生器是2t/h，则设置30m高排气筒是可行的。</w:t>
            </w:r>
          </w:p>
          <w:p w14:paraId="4E6B1DCB">
            <w:pPr>
              <w:pStyle w:val="6"/>
              <w:numPr>
                <w:ilvl w:val="0"/>
                <w:numId w:val="2"/>
              </w:numPr>
              <w:spacing w:before="120" w:after="120"/>
              <w:ind w:left="0" w:firstLine="482" w:firstLineChars="0"/>
            </w:pPr>
            <w:r>
              <w:t>废气排放环境影响分析</w:t>
            </w:r>
          </w:p>
          <w:p w14:paraId="431FCF4E">
            <w:pPr>
              <w:ind w:firstLine="480"/>
            </w:pPr>
            <w:r>
              <w:t>本项目运营期废气主要是切割工序产生的粉尘，发泡工序产生的非甲烷总烃、生物质蒸汽发生器产生的废气以及粉煤灰投料工序产生的粉尘。</w:t>
            </w:r>
          </w:p>
          <w:p w14:paraId="73ABEDAE">
            <w:pPr>
              <w:ind w:firstLine="480"/>
            </w:pPr>
            <w:r>
              <w:t>按照《环境影响评价技术导则--大气环境》（HJ2.2-2018）要求，本次预测采用导则所推荐的估算模式 AERSCREEN的计算结果作为本评价预测结果，切割工序颗粒物下风向最大落地浓度为0.0456μg/m³；非甲烷总烃下风向最大落地浓度为49.5350μg/m³；蒸汽发生器颗粒物下风向最大落地浓度为0.0197μg/m³，二氧化硫下风向最大落地浓度为1.3659μg/m³，氮氧化物下风向最大落地浓度为2.7824μg/m³，非甲烷总烃下风向最大落地浓度为0.4857μg/m³；投料工序颗粒物下风向最大落地浓度为49.5350μg/m³；水泥料仓粉尘下风向最大落地浓度为73.2160μg/m³。故颗粒物、二氧化硫、氮氧化物满足《环境空气质量标准》（GB3095-2012）及修改单中的二级标准要求，非甲烷总烃满足《大气污染物综合排放标准详解》相应标准。</w:t>
            </w:r>
          </w:p>
          <w:p w14:paraId="0ED8F608">
            <w:pPr>
              <w:ind w:firstLine="480"/>
            </w:pPr>
            <w:r>
              <w:t>根据预测结果，非甲烷总烃厂界浓度为46.3350μg/m³，满足</w:t>
            </w:r>
            <w:r>
              <w:rPr>
                <w:color w:val="FF0000"/>
              </w:rPr>
              <w:t>《</w:t>
            </w:r>
            <w:r>
              <w:rPr>
                <w:rFonts w:hint="eastAsia"/>
                <w:color w:val="FF0000"/>
                <w:lang w:eastAsia="zh-CN"/>
              </w:rPr>
              <w:t>大气污染物综合排放标准</w:t>
            </w:r>
            <w:r>
              <w:rPr>
                <w:color w:val="FF0000"/>
              </w:rPr>
              <w:t>》（GB</w:t>
            </w:r>
            <w:r>
              <w:rPr>
                <w:rFonts w:hint="eastAsia"/>
                <w:color w:val="FF0000"/>
                <w:lang w:val="en-US" w:eastAsia="zh-CN"/>
              </w:rPr>
              <w:t>16297-1996</w:t>
            </w:r>
            <w:r>
              <w:rPr>
                <w:color w:val="FF0000"/>
              </w:rPr>
              <w:t>）</w:t>
            </w:r>
            <w:r>
              <w:rPr>
                <w:bCs/>
              </w:rPr>
              <w:t>中相关要求；颗粒物厂界浓度为68.1334</w:t>
            </w:r>
            <w:r>
              <w:t>μg/m³，满足</w:t>
            </w:r>
            <w:r>
              <w:rPr>
                <w:szCs w:val="21"/>
              </w:rPr>
              <w:t>《水泥工业大气污染物排放标准》（GB4915-2013）中相关要求</w:t>
            </w:r>
            <w:r>
              <w:t>。</w:t>
            </w:r>
          </w:p>
          <w:p w14:paraId="582EABFA">
            <w:pPr>
              <w:ind w:firstLine="480"/>
            </w:pPr>
            <w:r>
              <w:t>经上述分析，有组织排放的切割粉尘、生物质蒸汽发生器排放的颗粒物、二氧化硫、氮氧化物、非甲烷总烃均能够达标排放；无组织排放的非甲烷总烃和颗粒物均能实现厂界达标排放。综上分析，项目对周围环境影响较小。</w:t>
            </w:r>
          </w:p>
          <w:p w14:paraId="4CAD8AAA">
            <w:pPr>
              <w:pStyle w:val="5"/>
              <w:numPr>
                <w:ilvl w:val="0"/>
                <w:numId w:val="3"/>
              </w:numPr>
              <w:spacing w:before="120" w:after="120"/>
            </w:pPr>
            <w:r>
              <w:t>废水</w:t>
            </w:r>
          </w:p>
          <w:p w14:paraId="4993C3EA">
            <w:pPr>
              <w:ind w:firstLine="480"/>
              <w:rPr>
                <w:color w:val="FF0000"/>
              </w:rPr>
            </w:pPr>
            <w:r>
              <w:t>本项目</w:t>
            </w:r>
            <w:r>
              <w:rPr>
                <w:szCs w:val="22"/>
              </w:rPr>
              <w:t>搅拌机冲洗废水回用于搅拌工序用水，不外排；蒸汽发生器废水回用于搅拌工序用水，不外排；冷凝吸附设施蒸汽冷却为冷凝水回用于搅拌工序不外排。</w:t>
            </w:r>
            <w:r>
              <w:t>本项目废水主要为生活污水，排放量为2.81m</w:t>
            </w:r>
            <w:r>
              <w:rPr>
                <w:vertAlign w:val="superscript"/>
              </w:rPr>
              <w:t>3</w:t>
            </w:r>
            <w:r>
              <w:t>/d，841.5m</w:t>
            </w:r>
            <w:r>
              <w:rPr>
                <w:vertAlign w:val="superscript"/>
              </w:rPr>
              <w:t>3</w:t>
            </w:r>
            <w:r>
              <w:t>/a。生活污水主要污染因子为化学需氧量和氨氮，化学需氧量、氨氮的排放浓度分别为250mg/L、25mg/L，化学需氧量、氨氮的排放量分别为0.21t/a、0.021t/a。</w:t>
            </w:r>
            <w:r>
              <w:rPr>
                <w:color w:val="FF0000"/>
              </w:rPr>
              <w:t>生活污水经厂区现有化粪池处理满足《辽宁省污水综合排放标准》（DB21/1627-2008）排入污水处理厂标准后排入园区污水处理厂。</w:t>
            </w:r>
          </w:p>
          <w:p w14:paraId="74DA001A">
            <w:pPr>
              <w:ind w:firstLine="480"/>
              <w:rPr>
                <w:color w:val="FF0000"/>
              </w:rPr>
            </w:pPr>
            <w:r>
              <w:rPr>
                <w:color w:val="FF0000"/>
              </w:rPr>
              <w:t>辽宁新材料产业经济开发区园区污水处理厂采用了“水解酸化+A/O＋二沉池+溶气气浮+纤维转盘滤池”工艺的处理工艺，各项指标满足《城镇污水处理厂污染物排放标准》（GB18918-2002）中的一级A标准。园区污水处理厂处理能力为</w:t>
            </w:r>
            <w:r>
              <w:rPr>
                <w:bCs/>
                <w:color w:val="FF0000"/>
              </w:rPr>
              <w:t>5000m</w:t>
            </w:r>
            <w:r>
              <w:rPr>
                <w:bCs/>
                <w:color w:val="FF0000"/>
                <w:vertAlign w:val="superscript"/>
              </w:rPr>
              <w:t>3</w:t>
            </w:r>
            <w:r>
              <w:rPr>
                <w:bCs/>
                <w:color w:val="FF0000"/>
              </w:rPr>
              <w:t>/d，</w:t>
            </w:r>
            <w:r>
              <w:rPr>
                <w:color w:val="FF0000"/>
              </w:rPr>
              <w:t>富余处理能力约为1500</w:t>
            </w:r>
            <w:r>
              <w:rPr>
                <w:bCs/>
                <w:color w:val="FF0000"/>
              </w:rPr>
              <w:t xml:space="preserve"> m</w:t>
            </w:r>
            <w:r>
              <w:rPr>
                <w:bCs/>
                <w:color w:val="FF0000"/>
                <w:vertAlign w:val="superscript"/>
              </w:rPr>
              <w:t>3</w:t>
            </w:r>
            <w:r>
              <w:rPr>
                <w:bCs/>
                <w:color w:val="FF0000"/>
              </w:rPr>
              <w:t>/d，</w:t>
            </w:r>
            <w:r>
              <w:rPr>
                <w:color w:val="FF0000"/>
              </w:rPr>
              <w:t>本项目生活污水量为2.81m</w:t>
            </w:r>
            <w:r>
              <w:rPr>
                <w:color w:val="FF0000"/>
                <w:vertAlign w:val="superscript"/>
              </w:rPr>
              <w:t>3</w:t>
            </w:r>
            <w:r>
              <w:rPr>
                <w:color w:val="FF0000"/>
              </w:rPr>
              <w:t>/d，生活污水的排放浓度满足园区污水处理厂进水水质要求，园区污水处理厂的处理工艺能处理本项目产生的生活污水，且本项目污水排放量较小，水质简单，不会对园区污水处理厂出水造成较大影响。园区污水处理厂出水排入绕阳河。园区污水处理厂已通过环保验收。项目生活污水依托园区污水处理厂可行。园区污水处理厂位置见附图6。</w:t>
            </w:r>
          </w:p>
          <w:p w14:paraId="281DD16D">
            <w:pPr>
              <w:pStyle w:val="37"/>
              <w:spacing w:beforeLines="0"/>
              <w:rPr>
                <w:rFonts w:hint="default"/>
                <w:color w:val="FF0000"/>
              </w:rPr>
            </w:pPr>
            <w:r>
              <w:rPr>
                <w:rFonts w:hint="default"/>
                <w:color w:val="FF0000"/>
              </w:rPr>
              <w:t>表24  废水间接排放口基本情况表</w:t>
            </w:r>
          </w:p>
          <w:tbl>
            <w:tblPr>
              <w:tblStyle w:val="25"/>
              <w:tblW w:w="4997"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2"/>
              <w:gridCol w:w="698"/>
              <w:gridCol w:w="1221"/>
              <w:gridCol w:w="1110"/>
              <w:gridCol w:w="888"/>
              <w:gridCol w:w="542"/>
              <w:gridCol w:w="642"/>
              <w:gridCol w:w="840"/>
              <w:gridCol w:w="639"/>
              <w:gridCol w:w="1137"/>
            </w:tblGrid>
            <w:tr w14:paraId="0E4C8FC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241" w:type="pct"/>
                  <w:vMerge w:val="restart"/>
                  <w:tcBorders>
                    <w:tl2br w:val="nil"/>
                    <w:tr2bl w:val="nil"/>
                  </w:tcBorders>
                  <w:vAlign w:val="center"/>
                </w:tcPr>
                <w:p w14:paraId="755687D2">
                  <w:pPr>
                    <w:pStyle w:val="32"/>
                    <w:widowControl w:val="0"/>
                    <w:spacing w:before="48" w:after="48"/>
                    <w:rPr>
                      <w:color w:val="FF0000"/>
                      <w:szCs w:val="21"/>
                    </w:rPr>
                  </w:pPr>
                  <w:r>
                    <w:rPr>
                      <w:color w:val="FF0000"/>
                      <w:szCs w:val="21"/>
                    </w:rPr>
                    <w:t>序号</w:t>
                  </w:r>
                </w:p>
              </w:tc>
              <w:tc>
                <w:tcPr>
                  <w:tcW w:w="430" w:type="pct"/>
                  <w:vMerge w:val="restart"/>
                  <w:tcBorders>
                    <w:tl2br w:val="nil"/>
                    <w:tr2bl w:val="nil"/>
                  </w:tcBorders>
                  <w:vAlign w:val="center"/>
                </w:tcPr>
                <w:p w14:paraId="628447C2">
                  <w:pPr>
                    <w:pStyle w:val="32"/>
                    <w:widowControl w:val="0"/>
                    <w:spacing w:before="48" w:after="48"/>
                    <w:rPr>
                      <w:color w:val="FF0000"/>
                      <w:szCs w:val="21"/>
                    </w:rPr>
                  </w:pPr>
                  <w:r>
                    <w:rPr>
                      <w:color w:val="FF0000"/>
                      <w:szCs w:val="21"/>
                    </w:rPr>
                    <w:t>排放口编号</w:t>
                  </w:r>
                </w:p>
              </w:tc>
              <w:tc>
                <w:tcPr>
                  <w:tcW w:w="1436" w:type="pct"/>
                  <w:gridSpan w:val="2"/>
                  <w:tcBorders>
                    <w:tl2br w:val="nil"/>
                    <w:tr2bl w:val="nil"/>
                  </w:tcBorders>
                  <w:vAlign w:val="center"/>
                </w:tcPr>
                <w:p w14:paraId="712D6692">
                  <w:pPr>
                    <w:pStyle w:val="32"/>
                    <w:widowControl w:val="0"/>
                    <w:spacing w:before="48" w:after="48"/>
                    <w:rPr>
                      <w:color w:val="FF0000"/>
                      <w:szCs w:val="21"/>
                    </w:rPr>
                  </w:pPr>
                  <w:r>
                    <w:rPr>
                      <w:color w:val="FF0000"/>
                      <w:szCs w:val="21"/>
                    </w:rPr>
                    <w:t>排放口地理坐标</w:t>
                  </w:r>
                </w:p>
              </w:tc>
              <w:tc>
                <w:tcPr>
                  <w:tcW w:w="547" w:type="pct"/>
                  <w:vMerge w:val="restart"/>
                  <w:tcBorders>
                    <w:tl2br w:val="nil"/>
                    <w:tr2bl w:val="nil"/>
                  </w:tcBorders>
                  <w:vAlign w:val="center"/>
                </w:tcPr>
                <w:p w14:paraId="7F14B6BA">
                  <w:pPr>
                    <w:pStyle w:val="32"/>
                    <w:widowControl w:val="0"/>
                    <w:spacing w:before="48" w:after="48"/>
                    <w:rPr>
                      <w:color w:val="FF0000"/>
                      <w:szCs w:val="21"/>
                    </w:rPr>
                  </w:pPr>
                  <w:r>
                    <w:rPr>
                      <w:color w:val="FF0000"/>
                      <w:szCs w:val="21"/>
                    </w:rPr>
                    <w:t>废水排放量/（万t/a）</w:t>
                  </w:r>
                </w:p>
              </w:tc>
              <w:tc>
                <w:tcPr>
                  <w:tcW w:w="334" w:type="pct"/>
                  <w:vMerge w:val="restart"/>
                  <w:tcBorders>
                    <w:tl2br w:val="nil"/>
                    <w:tr2bl w:val="nil"/>
                  </w:tcBorders>
                  <w:vAlign w:val="center"/>
                </w:tcPr>
                <w:p w14:paraId="18C54925">
                  <w:pPr>
                    <w:pStyle w:val="32"/>
                    <w:widowControl w:val="0"/>
                    <w:spacing w:before="48" w:after="48"/>
                    <w:rPr>
                      <w:color w:val="FF0000"/>
                      <w:szCs w:val="21"/>
                    </w:rPr>
                  </w:pPr>
                  <w:r>
                    <w:rPr>
                      <w:color w:val="FF0000"/>
                      <w:szCs w:val="21"/>
                    </w:rPr>
                    <w:t>排放去向</w:t>
                  </w:r>
                </w:p>
              </w:tc>
              <w:tc>
                <w:tcPr>
                  <w:tcW w:w="396" w:type="pct"/>
                  <w:vMerge w:val="restart"/>
                  <w:tcBorders>
                    <w:tl2br w:val="nil"/>
                    <w:tr2bl w:val="nil"/>
                  </w:tcBorders>
                  <w:vAlign w:val="center"/>
                </w:tcPr>
                <w:p w14:paraId="719F0408">
                  <w:pPr>
                    <w:pStyle w:val="32"/>
                    <w:widowControl w:val="0"/>
                    <w:spacing w:before="48" w:after="48"/>
                    <w:rPr>
                      <w:color w:val="FF0000"/>
                      <w:szCs w:val="21"/>
                    </w:rPr>
                  </w:pPr>
                  <w:r>
                    <w:rPr>
                      <w:color w:val="FF0000"/>
                      <w:szCs w:val="21"/>
                    </w:rPr>
                    <w:t>排放规律</w:t>
                  </w:r>
                </w:p>
              </w:tc>
              <w:tc>
                <w:tcPr>
                  <w:tcW w:w="1613" w:type="pct"/>
                  <w:gridSpan w:val="3"/>
                  <w:tcBorders>
                    <w:tl2br w:val="nil"/>
                    <w:tr2bl w:val="nil"/>
                  </w:tcBorders>
                  <w:vAlign w:val="center"/>
                </w:tcPr>
                <w:p w14:paraId="68E34D38">
                  <w:pPr>
                    <w:pStyle w:val="32"/>
                    <w:widowControl w:val="0"/>
                    <w:spacing w:before="48" w:after="48"/>
                    <w:rPr>
                      <w:color w:val="FF0000"/>
                      <w:szCs w:val="21"/>
                    </w:rPr>
                  </w:pPr>
                  <w:r>
                    <w:rPr>
                      <w:color w:val="FF0000"/>
                      <w:szCs w:val="21"/>
                    </w:rPr>
                    <w:t>受纳污水处理厂信息</w:t>
                  </w:r>
                </w:p>
              </w:tc>
            </w:tr>
            <w:tr w14:paraId="39B9E2A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241" w:type="pct"/>
                  <w:vMerge w:val="continue"/>
                  <w:tcBorders>
                    <w:tl2br w:val="nil"/>
                    <w:tr2bl w:val="nil"/>
                  </w:tcBorders>
                  <w:vAlign w:val="center"/>
                </w:tcPr>
                <w:p w14:paraId="5A10105E">
                  <w:pPr>
                    <w:pStyle w:val="32"/>
                    <w:widowControl w:val="0"/>
                    <w:spacing w:before="48" w:after="48"/>
                    <w:rPr>
                      <w:color w:val="FF0000"/>
                      <w:szCs w:val="21"/>
                    </w:rPr>
                  </w:pPr>
                </w:p>
              </w:tc>
              <w:tc>
                <w:tcPr>
                  <w:tcW w:w="430" w:type="pct"/>
                  <w:vMerge w:val="continue"/>
                  <w:tcBorders>
                    <w:tl2br w:val="nil"/>
                    <w:tr2bl w:val="nil"/>
                  </w:tcBorders>
                  <w:vAlign w:val="center"/>
                </w:tcPr>
                <w:p w14:paraId="6ADFC80D">
                  <w:pPr>
                    <w:pStyle w:val="32"/>
                    <w:widowControl w:val="0"/>
                    <w:spacing w:before="48" w:after="48"/>
                    <w:rPr>
                      <w:color w:val="FF0000"/>
                      <w:szCs w:val="21"/>
                    </w:rPr>
                  </w:pPr>
                </w:p>
              </w:tc>
              <w:tc>
                <w:tcPr>
                  <w:tcW w:w="752" w:type="pct"/>
                  <w:tcBorders>
                    <w:tl2br w:val="nil"/>
                    <w:tr2bl w:val="nil"/>
                  </w:tcBorders>
                  <w:vAlign w:val="center"/>
                </w:tcPr>
                <w:p w14:paraId="75DF63F8">
                  <w:pPr>
                    <w:pStyle w:val="32"/>
                    <w:widowControl w:val="0"/>
                    <w:spacing w:before="48" w:after="48"/>
                    <w:rPr>
                      <w:color w:val="FF0000"/>
                      <w:szCs w:val="21"/>
                    </w:rPr>
                  </w:pPr>
                  <w:r>
                    <w:rPr>
                      <w:color w:val="FF0000"/>
                      <w:szCs w:val="21"/>
                    </w:rPr>
                    <w:t>经度</w:t>
                  </w:r>
                </w:p>
              </w:tc>
              <w:tc>
                <w:tcPr>
                  <w:tcW w:w="683" w:type="pct"/>
                  <w:tcBorders>
                    <w:tl2br w:val="nil"/>
                    <w:tr2bl w:val="nil"/>
                  </w:tcBorders>
                  <w:vAlign w:val="center"/>
                </w:tcPr>
                <w:p w14:paraId="55B3165C">
                  <w:pPr>
                    <w:pStyle w:val="32"/>
                    <w:widowControl w:val="0"/>
                    <w:spacing w:before="48" w:after="48"/>
                    <w:rPr>
                      <w:color w:val="FF0000"/>
                      <w:szCs w:val="21"/>
                    </w:rPr>
                  </w:pPr>
                  <w:r>
                    <w:rPr>
                      <w:color w:val="FF0000"/>
                      <w:szCs w:val="21"/>
                    </w:rPr>
                    <w:t>纬度</w:t>
                  </w:r>
                </w:p>
              </w:tc>
              <w:tc>
                <w:tcPr>
                  <w:tcW w:w="547" w:type="pct"/>
                  <w:vMerge w:val="continue"/>
                  <w:tcBorders>
                    <w:tl2br w:val="nil"/>
                    <w:tr2bl w:val="nil"/>
                  </w:tcBorders>
                  <w:vAlign w:val="center"/>
                </w:tcPr>
                <w:p w14:paraId="7AB167B7">
                  <w:pPr>
                    <w:pStyle w:val="32"/>
                    <w:widowControl w:val="0"/>
                    <w:spacing w:before="48" w:after="48"/>
                    <w:rPr>
                      <w:color w:val="FF0000"/>
                      <w:szCs w:val="21"/>
                    </w:rPr>
                  </w:pPr>
                </w:p>
              </w:tc>
              <w:tc>
                <w:tcPr>
                  <w:tcW w:w="334" w:type="pct"/>
                  <w:vMerge w:val="continue"/>
                  <w:tcBorders>
                    <w:tl2br w:val="nil"/>
                    <w:tr2bl w:val="nil"/>
                  </w:tcBorders>
                  <w:vAlign w:val="center"/>
                </w:tcPr>
                <w:p w14:paraId="4E18DF8A">
                  <w:pPr>
                    <w:pStyle w:val="32"/>
                    <w:widowControl w:val="0"/>
                    <w:spacing w:before="48" w:after="48"/>
                    <w:rPr>
                      <w:color w:val="FF0000"/>
                      <w:szCs w:val="21"/>
                    </w:rPr>
                  </w:pPr>
                </w:p>
              </w:tc>
              <w:tc>
                <w:tcPr>
                  <w:tcW w:w="396" w:type="pct"/>
                  <w:vMerge w:val="continue"/>
                  <w:tcBorders>
                    <w:tl2br w:val="nil"/>
                    <w:tr2bl w:val="nil"/>
                  </w:tcBorders>
                  <w:vAlign w:val="center"/>
                </w:tcPr>
                <w:p w14:paraId="079869B6">
                  <w:pPr>
                    <w:pStyle w:val="32"/>
                    <w:widowControl w:val="0"/>
                    <w:spacing w:before="48" w:after="48"/>
                    <w:rPr>
                      <w:color w:val="FF0000"/>
                      <w:szCs w:val="21"/>
                    </w:rPr>
                  </w:pPr>
                </w:p>
              </w:tc>
              <w:tc>
                <w:tcPr>
                  <w:tcW w:w="518" w:type="pct"/>
                  <w:tcBorders>
                    <w:tl2br w:val="nil"/>
                    <w:tr2bl w:val="nil"/>
                  </w:tcBorders>
                  <w:vAlign w:val="center"/>
                </w:tcPr>
                <w:p w14:paraId="31997F45">
                  <w:pPr>
                    <w:pStyle w:val="32"/>
                    <w:widowControl w:val="0"/>
                    <w:spacing w:before="48" w:after="48"/>
                    <w:rPr>
                      <w:color w:val="FF0000"/>
                      <w:szCs w:val="21"/>
                    </w:rPr>
                  </w:pPr>
                  <w:r>
                    <w:rPr>
                      <w:color w:val="FF0000"/>
                      <w:szCs w:val="21"/>
                    </w:rPr>
                    <w:t>名称</w:t>
                  </w:r>
                </w:p>
              </w:tc>
              <w:tc>
                <w:tcPr>
                  <w:tcW w:w="394" w:type="pct"/>
                  <w:tcBorders>
                    <w:tl2br w:val="nil"/>
                    <w:tr2bl w:val="nil"/>
                  </w:tcBorders>
                  <w:vAlign w:val="center"/>
                </w:tcPr>
                <w:p w14:paraId="76334025">
                  <w:pPr>
                    <w:pStyle w:val="32"/>
                    <w:widowControl w:val="0"/>
                    <w:spacing w:before="48" w:after="48"/>
                    <w:rPr>
                      <w:color w:val="FF0000"/>
                      <w:szCs w:val="21"/>
                    </w:rPr>
                  </w:pPr>
                  <w:r>
                    <w:rPr>
                      <w:color w:val="FF0000"/>
                      <w:szCs w:val="21"/>
                    </w:rPr>
                    <w:t>污染物种类</w:t>
                  </w:r>
                </w:p>
              </w:tc>
              <w:tc>
                <w:tcPr>
                  <w:tcW w:w="701" w:type="pct"/>
                  <w:tcBorders>
                    <w:tl2br w:val="nil"/>
                    <w:tr2bl w:val="nil"/>
                  </w:tcBorders>
                  <w:vAlign w:val="center"/>
                </w:tcPr>
                <w:p w14:paraId="4C9F2895">
                  <w:pPr>
                    <w:pStyle w:val="32"/>
                    <w:widowControl w:val="0"/>
                    <w:spacing w:before="48" w:after="48"/>
                    <w:rPr>
                      <w:color w:val="FF0000"/>
                      <w:szCs w:val="21"/>
                    </w:rPr>
                  </w:pPr>
                  <w:r>
                    <w:rPr>
                      <w:color w:val="FF0000"/>
                      <w:szCs w:val="21"/>
                    </w:rPr>
                    <w:t>国家或地方污染物排放标准浓度限值</w:t>
                  </w:r>
                </w:p>
              </w:tc>
            </w:tr>
            <w:tr w14:paraId="038BF0F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41" w:type="pct"/>
                  <w:vMerge w:val="restart"/>
                  <w:tcBorders>
                    <w:tl2br w:val="nil"/>
                    <w:tr2bl w:val="nil"/>
                  </w:tcBorders>
                  <w:vAlign w:val="center"/>
                </w:tcPr>
                <w:p w14:paraId="4B893710">
                  <w:pPr>
                    <w:pStyle w:val="32"/>
                    <w:widowControl w:val="0"/>
                    <w:spacing w:before="48" w:after="48"/>
                    <w:rPr>
                      <w:color w:val="FF0000"/>
                      <w:szCs w:val="21"/>
                    </w:rPr>
                  </w:pPr>
                  <w:r>
                    <w:rPr>
                      <w:color w:val="FF0000"/>
                      <w:szCs w:val="21"/>
                    </w:rPr>
                    <w:t>1</w:t>
                  </w:r>
                </w:p>
              </w:tc>
              <w:tc>
                <w:tcPr>
                  <w:tcW w:w="430" w:type="pct"/>
                  <w:vMerge w:val="restart"/>
                  <w:tcBorders>
                    <w:tl2br w:val="nil"/>
                    <w:tr2bl w:val="nil"/>
                  </w:tcBorders>
                  <w:vAlign w:val="center"/>
                </w:tcPr>
                <w:p w14:paraId="759E07E4">
                  <w:pPr>
                    <w:pStyle w:val="32"/>
                    <w:widowControl w:val="0"/>
                    <w:spacing w:before="48" w:after="48"/>
                    <w:rPr>
                      <w:color w:val="FF0000"/>
                      <w:szCs w:val="21"/>
                    </w:rPr>
                  </w:pPr>
                  <w:r>
                    <w:rPr>
                      <w:color w:val="FF0000"/>
                      <w:szCs w:val="21"/>
                    </w:rPr>
                    <w:t>DW001</w:t>
                  </w:r>
                </w:p>
              </w:tc>
              <w:tc>
                <w:tcPr>
                  <w:tcW w:w="752" w:type="pct"/>
                  <w:vMerge w:val="restart"/>
                  <w:tcBorders>
                    <w:tl2br w:val="nil"/>
                    <w:tr2bl w:val="nil"/>
                  </w:tcBorders>
                  <w:vAlign w:val="center"/>
                </w:tcPr>
                <w:p w14:paraId="1FD3CBAB">
                  <w:pPr>
                    <w:pStyle w:val="32"/>
                    <w:widowControl w:val="0"/>
                    <w:spacing w:before="48" w:after="48"/>
                    <w:rPr>
                      <w:color w:val="FF0000"/>
                      <w:szCs w:val="21"/>
                    </w:rPr>
                  </w:pPr>
                  <w:r>
                    <w:rPr>
                      <w:color w:val="FF0000"/>
                      <w:szCs w:val="21"/>
                    </w:rPr>
                    <w:t>121°59′50.40″</w:t>
                  </w:r>
                </w:p>
              </w:tc>
              <w:tc>
                <w:tcPr>
                  <w:tcW w:w="683" w:type="pct"/>
                  <w:vMerge w:val="restart"/>
                  <w:tcBorders>
                    <w:tl2br w:val="nil"/>
                    <w:tr2bl w:val="nil"/>
                  </w:tcBorders>
                  <w:vAlign w:val="center"/>
                </w:tcPr>
                <w:p w14:paraId="31804D8C">
                  <w:pPr>
                    <w:pStyle w:val="32"/>
                    <w:widowControl w:val="0"/>
                    <w:spacing w:before="48" w:after="48"/>
                    <w:rPr>
                      <w:color w:val="FF0000"/>
                      <w:szCs w:val="21"/>
                    </w:rPr>
                  </w:pPr>
                  <w:r>
                    <w:rPr>
                      <w:color w:val="FF0000"/>
                      <w:szCs w:val="21"/>
                    </w:rPr>
                    <w:t>41°14′46.62″</w:t>
                  </w:r>
                </w:p>
              </w:tc>
              <w:tc>
                <w:tcPr>
                  <w:tcW w:w="547" w:type="pct"/>
                  <w:vMerge w:val="restart"/>
                  <w:tcBorders>
                    <w:tl2br w:val="nil"/>
                    <w:tr2bl w:val="nil"/>
                  </w:tcBorders>
                  <w:vAlign w:val="center"/>
                </w:tcPr>
                <w:p w14:paraId="2A38F48A">
                  <w:pPr>
                    <w:pStyle w:val="32"/>
                    <w:widowControl w:val="0"/>
                    <w:spacing w:before="48" w:after="48"/>
                    <w:rPr>
                      <w:color w:val="FF0000"/>
                      <w:szCs w:val="21"/>
                    </w:rPr>
                  </w:pPr>
                  <w:r>
                    <w:rPr>
                      <w:color w:val="FF0000"/>
                      <w:szCs w:val="21"/>
                    </w:rPr>
                    <w:t>0.08415</w:t>
                  </w:r>
                </w:p>
              </w:tc>
              <w:tc>
                <w:tcPr>
                  <w:tcW w:w="334" w:type="pct"/>
                  <w:vMerge w:val="restart"/>
                  <w:tcBorders>
                    <w:tl2br w:val="nil"/>
                    <w:tr2bl w:val="nil"/>
                  </w:tcBorders>
                  <w:vAlign w:val="center"/>
                </w:tcPr>
                <w:p w14:paraId="50BADBD5">
                  <w:pPr>
                    <w:pStyle w:val="32"/>
                    <w:widowControl w:val="0"/>
                    <w:spacing w:before="48" w:after="48"/>
                    <w:rPr>
                      <w:color w:val="FF0000"/>
                      <w:szCs w:val="21"/>
                    </w:rPr>
                  </w:pPr>
                  <w:r>
                    <w:rPr>
                      <w:color w:val="FF0000"/>
                      <w:szCs w:val="21"/>
                    </w:rPr>
                    <w:t>园区污水处理厂</w:t>
                  </w:r>
                </w:p>
              </w:tc>
              <w:tc>
                <w:tcPr>
                  <w:tcW w:w="396" w:type="pct"/>
                  <w:vMerge w:val="restart"/>
                  <w:tcBorders>
                    <w:tl2br w:val="nil"/>
                    <w:tr2bl w:val="nil"/>
                  </w:tcBorders>
                  <w:vAlign w:val="center"/>
                </w:tcPr>
                <w:p w14:paraId="5C870D3C">
                  <w:pPr>
                    <w:pStyle w:val="32"/>
                    <w:widowControl w:val="0"/>
                    <w:spacing w:before="48" w:after="48"/>
                    <w:rPr>
                      <w:color w:val="FF0000"/>
                      <w:szCs w:val="21"/>
                    </w:rPr>
                  </w:pPr>
                  <w:r>
                    <w:rPr>
                      <w:color w:val="FF0000"/>
                      <w:szCs w:val="21"/>
                    </w:rPr>
                    <w:t>间断排放</w:t>
                  </w:r>
                </w:p>
              </w:tc>
              <w:tc>
                <w:tcPr>
                  <w:tcW w:w="518" w:type="pct"/>
                  <w:vMerge w:val="restart"/>
                  <w:tcBorders>
                    <w:tl2br w:val="nil"/>
                    <w:tr2bl w:val="nil"/>
                  </w:tcBorders>
                  <w:vAlign w:val="center"/>
                </w:tcPr>
                <w:p w14:paraId="2FF09C84">
                  <w:pPr>
                    <w:pStyle w:val="32"/>
                    <w:widowControl w:val="0"/>
                    <w:spacing w:before="48" w:after="48"/>
                    <w:rPr>
                      <w:color w:val="FF0000"/>
                      <w:szCs w:val="21"/>
                    </w:rPr>
                  </w:pPr>
                  <w:r>
                    <w:rPr>
                      <w:color w:val="FF0000"/>
                      <w:szCs w:val="21"/>
                    </w:rPr>
                    <w:t>辽宁新材料产业经济开发区园区污水处理厂</w:t>
                  </w:r>
                </w:p>
              </w:tc>
              <w:tc>
                <w:tcPr>
                  <w:tcW w:w="394" w:type="pct"/>
                  <w:tcBorders>
                    <w:tl2br w:val="nil"/>
                    <w:tr2bl w:val="nil"/>
                  </w:tcBorders>
                  <w:vAlign w:val="center"/>
                </w:tcPr>
                <w:p w14:paraId="4DFE3BE0">
                  <w:pPr>
                    <w:pStyle w:val="32"/>
                    <w:widowControl w:val="0"/>
                    <w:spacing w:before="48" w:after="48"/>
                    <w:rPr>
                      <w:color w:val="FF0000"/>
                      <w:szCs w:val="21"/>
                    </w:rPr>
                  </w:pPr>
                  <w:r>
                    <w:rPr>
                      <w:color w:val="FF0000"/>
                      <w:szCs w:val="21"/>
                    </w:rPr>
                    <w:t>pH</w:t>
                  </w:r>
                </w:p>
              </w:tc>
              <w:tc>
                <w:tcPr>
                  <w:tcW w:w="701" w:type="pct"/>
                  <w:tcBorders>
                    <w:tl2br w:val="nil"/>
                    <w:tr2bl w:val="nil"/>
                  </w:tcBorders>
                  <w:vAlign w:val="center"/>
                </w:tcPr>
                <w:p w14:paraId="32AD92FD">
                  <w:pPr>
                    <w:pStyle w:val="32"/>
                    <w:widowControl w:val="0"/>
                    <w:spacing w:before="48" w:after="48"/>
                    <w:rPr>
                      <w:color w:val="FF0000"/>
                      <w:szCs w:val="21"/>
                    </w:rPr>
                  </w:pPr>
                  <w:r>
                    <w:rPr>
                      <w:color w:val="FF0000"/>
                      <w:szCs w:val="21"/>
                    </w:rPr>
                    <w:t>6-9</w:t>
                  </w:r>
                </w:p>
              </w:tc>
            </w:tr>
            <w:tr w14:paraId="048CA2E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41" w:type="pct"/>
                  <w:vMerge w:val="continue"/>
                  <w:tcBorders>
                    <w:tl2br w:val="nil"/>
                    <w:tr2bl w:val="nil"/>
                  </w:tcBorders>
                  <w:vAlign w:val="center"/>
                </w:tcPr>
                <w:p w14:paraId="145F5DBE">
                  <w:pPr>
                    <w:pStyle w:val="32"/>
                    <w:widowControl w:val="0"/>
                    <w:spacing w:before="48" w:after="48"/>
                    <w:rPr>
                      <w:color w:val="FF0000"/>
                      <w:szCs w:val="21"/>
                    </w:rPr>
                  </w:pPr>
                </w:p>
              </w:tc>
              <w:tc>
                <w:tcPr>
                  <w:tcW w:w="430" w:type="pct"/>
                  <w:vMerge w:val="continue"/>
                  <w:tcBorders>
                    <w:tl2br w:val="nil"/>
                    <w:tr2bl w:val="nil"/>
                  </w:tcBorders>
                  <w:vAlign w:val="center"/>
                </w:tcPr>
                <w:p w14:paraId="5C80D5DB">
                  <w:pPr>
                    <w:pStyle w:val="32"/>
                    <w:widowControl w:val="0"/>
                    <w:spacing w:before="48" w:after="48"/>
                    <w:rPr>
                      <w:color w:val="FF0000"/>
                      <w:szCs w:val="21"/>
                    </w:rPr>
                  </w:pPr>
                </w:p>
              </w:tc>
              <w:tc>
                <w:tcPr>
                  <w:tcW w:w="752" w:type="pct"/>
                  <w:vMerge w:val="continue"/>
                  <w:tcBorders>
                    <w:tl2br w:val="nil"/>
                    <w:tr2bl w:val="nil"/>
                  </w:tcBorders>
                  <w:vAlign w:val="center"/>
                </w:tcPr>
                <w:p w14:paraId="733DF550">
                  <w:pPr>
                    <w:pStyle w:val="32"/>
                    <w:widowControl w:val="0"/>
                    <w:spacing w:before="48" w:after="48"/>
                    <w:rPr>
                      <w:color w:val="FF0000"/>
                      <w:szCs w:val="21"/>
                    </w:rPr>
                  </w:pPr>
                </w:p>
              </w:tc>
              <w:tc>
                <w:tcPr>
                  <w:tcW w:w="683" w:type="pct"/>
                  <w:vMerge w:val="continue"/>
                  <w:tcBorders>
                    <w:tl2br w:val="nil"/>
                    <w:tr2bl w:val="nil"/>
                  </w:tcBorders>
                  <w:vAlign w:val="center"/>
                </w:tcPr>
                <w:p w14:paraId="720A707B">
                  <w:pPr>
                    <w:pStyle w:val="32"/>
                    <w:widowControl w:val="0"/>
                    <w:spacing w:before="48" w:after="48"/>
                    <w:rPr>
                      <w:color w:val="FF0000"/>
                      <w:szCs w:val="21"/>
                    </w:rPr>
                  </w:pPr>
                </w:p>
              </w:tc>
              <w:tc>
                <w:tcPr>
                  <w:tcW w:w="547" w:type="pct"/>
                  <w:vMerge w:val="continue"/>
                  <w:tcBorders>
                    <w:tl2br w:val="nil"/>
                    <w:tr2bl w:val="nil"/>
                  </w:tcBorders>
                  <w:vAlign w:val="center"/>
                </w:tcPr>
                <w:p w14:paraId="103A05F6">
                  <w:pPr>
                    <w:pStyle w:val="32"/>
                    <w:widowControl w:val="0"/>
                    <w:spacing w:before="48" w:after="48"/>
                    <w:rPr>
                      <w:color w:val="FF0000"/>
                      <w:szCs w:val="21"/>
                    </w:rPr>
                  </w:pPr>
                </w:p>
              </w:tc>
              <w:tc>
                <w:tcPr>
                  <w:tcW w:w="334" w:type="pct"/>
                  <w:vMerge w:val="continue"/>
                  <w:tcBorders>
                    <w:tl2br w:val="nil"/>
                    <w:tr2bl w:val="nil"/>
                  </w:tcBorders>
                  <w:vAlign w:val="center"/>
                </w:tcPr>
                <w:p w14:paraId="70BB406B">
                  <w:pPr>
                    <w:pStyle w:val="32"/>
                    <w:widowControl w:val="0"/>
                    <w:spacing w:before="48" w:after="48"/>
                    <w:rPr>
                      <w:color w:val="FF0000"/>
                      <w:szCs w:val="21"/>
                    </w:rPr>
                  </w:pPr>
                </w:p>
              </w:tc>
              <w:tc>
                <w:tcPr>
                  <w:tcW w:w="396" w:type="pct"/>
                  <w:vMerge w:val="continue"/>
                  <w:tcBorders>
                    <w:tl2br w:val="nil"/>
                    <w:tr2bl w:val="nil"/>
                  </w:tcBorders>
                  <w:vAlign w:val="center"/>
                </w:tcPr>
                <w:p w14:paraId="1DF393D2">
                  <w:pPr>
                    <w:pStyle w:val="32"/>
                    <w:widowControl w:val="0"/>
                    <w:spacing w:before="48" w:after="48"/>
                    <w:rPr>
                      <w:color w:val="FF0000"/>
                      <w:szCs w:val="21"/>
                    </w:rPr>
                  </w:pPr>
                </w:p>
              </w:tc>
              <w:tc>
                <w:tcPr>
                  <w:tcW w:w="518" w:type="pct"/>
                  <w:vMerge w:val="continue"/>
                  <w:tcBorders>
                    <w:tl2br w:val="nil"/>
                    <w:tr2bl w:val="nil"/>
                  </w:tcBorders>
                  <w:vAlign w:val="center"/>
                </w:tcPr>
                <w:p w14:paraId="073DFD04">
                  <w:pPr>
                    <w:pStyle w:val="32"/>
                    <w:widowControl w:val="0"/>
                    <w:spacing w:before="48" w:after="48"/>
                    <w:rPr>
                      <w:color w:val="FF0000"/>
                      <w:szCs w:val="21"/>
                    </w:rPr>
                  </w:pPr>
                </w:p>
              </w:tc>
              <w:tc>
                <w:tcPr>
                  <w:tcW w:w="394" w:type="pct"/>
                  <w:tcBorders>
                    <w:tl2br w:val="nil"/>
                    <w:tr2bl w:val="nil"/>
                  </w:tcBorders>
                  <w:vAlign w:val="center"/>
                </w:tcPr>
                <w:p w14:paraId="6E6D892A">
                  <w:pPr>
                    <w:pStyle w:val="32"/>
                    <w:widowControl w:val="0"/>
                    <w:spacing w:before="48" w:after="48"/>
                    <w:rPr>
                      <w:color w:val="FF0000"/>
                      <w:szCs w:val="21"/>
                    </w:rPr>
                  </w:pPr>
                  <w:r>
                    <w:rPr>
                      <w:color w:val="FF0000"/>
                      <w:szCs w:val="21"/>
                    </w:rPr>
                    <w:t>总氮</w:t>
                  </w:r>
                </w:p>
              </w:tc>
              <w:tc>
                <w:tcPr>
                  <w:tcW w:w="701" w:type="pct"/>
                  <w:tcBorders>
                    <w:tl2br w:val="nil"/>
                    <w:tr2bl w:val="nil"/>
                  </w:tcBorders>
                  <w:vAlign w:val="center"/>
                </w:tcPr>
                <w:p w14:paraId="083D3B07">
                  <w:pPr>
                    <w:pStyle w:val="32"/>
                    <w:widowControl w:val="0"/>
                    <w:spacing w:before="48" w:after="48"/>
                    <w:rPr>
                      <w:color w:val="FF0000"/>
                      <w:szCs w:val="21"/>
                    </w:rPr>
                  </w:pPr>
                  <w:r>
                    <w:rPr>
                      <w:color w:val="FF0000"/>
                      <w:szCs w:val="21"/>
                    </w:rPr>
                    <w:t>15mg/L</w:t>
                  </w:r>
                </w:p>
              </w:tc>
            </w:tr>
            <w:tr w14:paraId="434627A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41" w:type="pct"/>
                  <w:vMerge w:val="continue"/>
                  <w:tcBorders>
                    <w:tl2br w:val="nil"/>
                    <w:tr2bl w:val="nil"/>
                  </w:tcBorders>
                  <w:vAlign w:val="center"/>
                </w:tcPr>
                <w:p w14:paraId="35F1CAED">
                  <w:pPr>
                    <w:pStyle w:val="32"/>
                    <w:widowControl w:val="0"/>
                    <w:spacing w:before="48" w:after="48"/>
                    <w:rPr>
                      <w:color w:val="FF0000"/>
                      <w:szCs w:val="21"/>
                    </w:rPr>
                  </w:pPr>
                </w:p>
              </w:tc>
              <w:tc>
                <w:tcPr>
                  <w:tcW w:w="430" w:type="pct"/>
                  <w:vMerge w:val="continue"/>
                  <w:tcBorders>
                    <w:tl2br w:val="nil"/>
                    <w:tr2bl w:val="nil"/>
                  </w:tcBorders>
                  <w:vAlign w:val="center"/>
                </w:tcPr>
                <w:p w14:paraId="7401FEF8">
                  <w:pPr>
                    <w:pStyle w:val="32"/>
                    <w:widowControl w:val="0"/>
                    <w:spacing w:before="48" w:after="48"/>
                    <w:rPr>
                      <w:color w:val="FF0000"/>
                      <w:szCs w:val="21"/>
                    </w:rPr>
                  </w:pPr>
                </w:p>
              </w:tc>
              <w:tc>
                <w:tcPr>
                  <w:tcW w:w="752" w:type="pct"/>
                  <w:vMerge w:val="continue"/>
                  <w:tcBorders>
                    <w:tl2br w:val="nil"/>
                    <w:tr2bl w:val="nil"/>
                  </w:tcBorders>
                  <w:vAlign w:val="center"/>
                </w:tcPr>
                <w:p w14:paraId="656B630B">
                  <w:pPr>
                    <w:pStyle w:val="32"/>
                    <w:widowControl w:val="0"/>
                    <w:spacing w:before="48" w:after="48"/>
                    <w:rPr>
                      <w:color w:val="FF0000"/>
                      <w:szCs w:val="21"/>
                    </w:rPr>
                  </w:pPr>
                </w:p>
              </w:tc>
              <w:tc>
                <w:tcPr>
                  <w:tcW w:w="683" w:type="pct"/>
                  <w:vMerge w:val="continue"/>
                  <w:tcBorders>
                    <w:tl2br w:val="nil"/>
                    <w:tr2bl w:val="nil"/>
                  </w:tcBorders>
                  <w:vAlign w:val="center"/>
                </w:tcPr>
                <w:p w14:paraId="0158C13F">
                  <w:pPr>
                    <w:pStyle w:val="32"/>
                    <w:widowControl w:val="0"/>
                    <w:spacing w:before="48" w:after="48"/>
                    <w:rPr>
                      <w:color w:val="FF0000"/>
                      <w:szCs w:val="21"/>
                    </w:rPr>
                  </w:pPr>
                </w:p>
              </w:tc>
              <w:tc>
                <w:tcPr>
                  <w:tcW w:w="547" w:type="pct"/>
                  <w:vMerge w:val="continue"/>
                  <w:tcBorders>
                    <w:tl2br w:val="nil"/>
                    <w:tr2bl w:val="nil"/>
                  </w:tcBorders>
                  <w:vAlign w:val="center"/>
                </w:tcPr>
                <w:p w14:paraId="1DF4F0B7">
                  <w:pPr>
                    <w:pStyle w:val="32"/>
                    <w:widowControl w:val="0"/>
                    <w:spacing w:before="48" w:after="48"/>
                    <w:rPr>
                      <w:color w:val="FF0000"/>
                      <w:szCs w:val="21"/>
                    </w:rPr>
                  </w:pPr>
                </w:p>
              </w:tc>
              <w:tc>
                <w:tcPr>
                  <w:tcW w:w="334" w:type="pct"/>
                  <w:vMerge w:val="continue"/>
                  <w:tcBorders>
                    <w:tl2br w:val="nil"/>
                    <w:tr2bl w:val="nil"/>
                  </w:tcBorders>
                  <w:vAlign w:val="center"/>
                </w:tcPr>
                <w:p w14:paraId="763224A6">
                  <w:pPr>
                    <w:pStyle w:val="32"/>
                    <w:widowControl w:val="0"/>
                    <w:spacing w:before="48" w:after="48"/>
                    <w:rPr>
                      <w:color w:val="FF0000"/>
                      <w:szCs w:val="21"/>
                    </w:rPr>
                  </w:pPr>
                </w:p>
              </w:tc>
              <w:tc>
                <w:tcPr>
                  <w:tcW w:w="396" w:type="pct"/>
                  <w:vMerge w:val="continue"/>
                  <w:tcBorders>
                    <w:tl2br w:val="nil"/>
                    <w:tr2bl w:val="nil"/>
                  </w:tcBorders>
                  <w:vAlign w:val="center"/>
                </w:tcPr>
                <w:p w14:paraId="503A837E">
                  <w:pPr>
                    <w:pStyle w:val="32"/>
                    <w:widowControl w:val="0"/>
                    <w:spacing w:before="48" w:after="48"/>
                    <w:rPr>
                      <w:color w:val="FF0000"/>
                      <w:szCs w:val="21"/>
                    </w:rPr>
                  </w:pPr>
                </w:p>
              </w:tc>
              <w:tc>
                <w:tcPr>
                  <w:tcW w:w="518" w:type="pct"/>
                  <w:vMerge w:val="continue"/>
                  <w:tcBorders>
                    <w:tl2br w:val="nil"/>
                    <w:tr2bl w:val="nil"/>
                  </w:tcBorders>
                  <w:vAlign w:val="center"/>
                </w:tcPr>
                <w:p w14:paraId="1844F71B">
                  <w:pPr>
                    <w:pStyle w:val="32"/>
                    <w:widowControl w:val="0"/>
                    <w:spacing w:before="48" w:after="48"/>
                    <w:rPr>
                      <w:color w:val="FF0000"/>
                      <w:szCs w:val="21"/>
                    </w:rPr>
                  </w:pPr>
                </w:p>
              </w:tc>
              <w:tc>
                <w:tcPr>
                  <w:tcW w:w="394" w:type="pct"/>
                  <w:tcBorders>
                    <w:tl2br w:val="nil"/>
                    <w:tr2bl w:val="nil"/>
                  </w:tcBorders>
                  <w:vAlign w:val="center"/>
                </w:tcPr>
                <w:p w14:paraId="78BF6E76">
                  <w:pPr>
                    <w:pStyle w:val="32"/>
                    <w:widowControl w:val="0"/>
                    <w:spacing w:before="48" w:after="48"/>
                    <w:rPr>
                      <w:color w:val="FF0000"/>
                      <w:szCs w:val="21"/>
                    </w:rPr>
                  </w:pPr>
                  <w:r>
                    <w:rPr>
                      <w:color w:val="FF0000"/>
                      <w:szCs w:val="21"/>
                    </w:rPr>
                    <w:t>生化需氧量</w:t>
                  </w:r>
                </w:p>
              </w:tc>
              <w:tc>
                <w:tcPr>
                  <w:tcW w:w="701" w:type="pct"/>
                  <w:tcBorders>
                    <w:tl2br w:val="nil"/>
                    <w:tr2bl w:val="nil"/>
                  </w:tcBorders>
                  <w:vAlign w:val="center"/>
                </w:tcPr>
                <w:p w14:paraId="2DE81621">
                  <w:pPr>
                    <w:pStyle w:val="32"/>
                    <w:widowControl w:val="0"/>
                    <w:spacing w:before="48" w:after="48"/>
                    <w:rPr>
                      <w:color w:val="FF0000"/>
                      <w:szCs w:val="21"/>
                    </w:rPr>
                  </w:pPr>
                  <w:r>
                    <w:rPr>
                      <w:color w:val="FF0000"/>
                      <w:szCs w:val="21"/>
                    </w:rPr>
                    <w:t>10mg/L</w:t>
                  </w:r>
                </w:p>
              </w:tc>
            </w:tr>
            <w:tr w14:paraId="048B235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41" w:type="pct"/>
                  <w:vMerge w:val="continue"/>
                  <w:tcBorders>
                    <w:tl2br w:val="nil"/>
                    <w:tr2bl w:val="nil"/>
                  </w:tcBorders>
                  <w:vAlign w:val="center"/>
                </w:tcPr>
                <w:p w14:paraId="6C957E39">
                  <w:pPr>
                    <w:pStyle w:val="32"/>
                    <w:widowControl w:val="0"/>
                    <w:spacing w:before="48" w:after="48"/>
                    <w:rPr>
                      <w:color w:val="FF0000"/>
                      <w:szCs w:val="21"/>
                    </w:rPr>
                  </w:pPr>
                </w:p>
              </w:tc>
              <w:tc>
                <w:tcPr>
                  <w:tcW w:w="430" w:type="pct"/>
                  <w:vMerge w:val="continue"/>
                  <w:tcBorders>
                    <w:tl2br w:val="nil"/>
                    <w:tr2bl w:val="nil"/>
                  </w:tcBorders>
                  <w:vAlign w:val="center"/>
                </w:tcPr>
                <w:p w14:paraId="20FAE0C6">
                  <w:pPr>
                    <w:pStyle w:val="32"/>
                    <w:widowControl w:val="0"/>
                    <w:spacing w:before="48" w:after="48"/>
                    <w:rPr>
                      <w:color w:val="FF0000"/>
                      <w:szCs w:val="21"/>
                    </w:rPr>
                  </w:pPr>
                </w:p>
              </w:tc>
              <w:tc>
                <w:tcPr>
                  <w:tcW w:w="752" w:type="pct"/>
                  <w:vMerge w:val="continue"/>
                  <w:tcBorders>
                    <w:tl2br w:val="nil"/>
                    <w:tr2bl w:val="nil"/>
                  </w:tcBorders>
                  <w:vAlign w:val="center"/>
                </w:tcPr>
                <w:p w14:paraId="02A8DB70">
                  <w:pPr>
                    <w:pStyle w:val="32"/>
                    <w:widowControl w:val="0"/>
                    <w:spacing w:before="48" w:after="48"/>
                    <w:rPr>
                      <w:color w:val="FF0000"/>
                      <w:szCs w:val="21"/>
                    </w:rPr>
                  </w:pPr>
                </w:p>
              </w:tc>
              <w:tc>
                <w:tcPr>
                  <w:tcW w:w="683" w:type="pct"/>
                  <w:vMerge w:val="continue"/>
                  <w:tcBorders>
                    <w:tl2br w:val="nil"/>
                    <w:tr2bl w:val="nil"/>
                  </w:tcBorders>
                  <w:vAlign w:val="center"/>
                </w:tcPr>
                <w:p w14:paraId="6728BDF3">
                  <w:pPr>
                    <w:pStyle w:val="32"/>
                    <w:widowControl w:val="0"/>
                    <w:spacing w:before="48" w:after="48"/>
                    <w:rPr>
                      <w:color w:val="FF0000"/>
                      <w:szCs w:val="21"/>
                    </w:rPr>
                  </w:pPr>
                </w:p>
              </w:tc>
              <w:tc>
                <w:tcPr>
                  <w:tcW w:w="547" w:type="pct"/>
                  <w:vMerge w:val="continue"/>
                  <w:tcBorders>
                    <w:tl2br w:val="nil"/>
                    <w:tr2bl w:val="nil"/>
                  </w:tcBorders>
                  <w:vAlign w:val="center"/>
                </w:tcPr>
                <w:p w14:paraId="23446D82">
                  <w:pPr>
                    <w:pStyle w:val="32"/>
                    <w:widowControl w:val="0"/>
                    <w:spacing w:before="48" w:after="48"/>
                    <w:rPr>
                      <w:color w:val="FF0000"/>
                      <w:szCs w:val="21"/>
                    </w:rPr>
                  </w:pPr>
                </w:p>
              </w:tc>
              <w:tc>
                <w:tcPr>
                  <w:tcW w:w="334" w:type="pct"/>
                  <w:vMerge w:val="continue"/>
                  <w:tcBorders>
                    <w:tl2br w:val="nil"/>
                    <w:tr2bl w:val="nil"/>
                  </w:tcBorders>
                  <w:vAlign w:val="center"/>
                </w:tcPr>
                <w:p w14:paraId="0AEE25A0">
                  <w:pPr>
                    <w:pStyle w:val="32"/>
                    <w:widowControl w:val="0"/>
                    <w:spacing w:before="48" w:after="48"/>
                    <w:rPr>
                      <w:color w:val="FF0000"/>
                      <w:szCs w:val="21"/>
                    </w:rPr>
                  </w:pPr>
                </w:p>
              </w:tc>
              <w:tc>
                <w:tcPr>
                  <w:tcW w:w="396" w:type="pct"/>
                  <w:vMerge w:val="continue"/>
                  <w:tcBorders>
                    <w:tl2br w:val="nil"/>
                    <w:tr2bl w:val="nil"/>
                  </w:tcBorders>
                  <w:vAlign w:val="center"/>
                </w:tcPr>
                <w:p w14:paraId="06912201">
                  <w:pPr>
                    <w:pStyle w:val="32"/>
                    <w:widowControl w:val="0"/>
                    <w:spacing w:before="48" w:after="48"/>
                    <w:rPr>
                      <w:color w:val="FF0000"/>
                      <w:szCs w:val="21"/>
                    </w:rPr>
                  </w:pPr>
                </w:p>
              </w:tc>
              <w:tc>
                <w:tcPr>
                  <w:tcW w:w="518" w:type="pct"/>
                  <w:vMerge w:val="continue"/>
                  <w:tcBorders>
                    <w:tl2br w:val="nil"/>
                    <w:tr2bl w:val="nil"/>
                  </w:tcBorders>
                  <w:vAlign w:val="center"/>
                </w:tcPr>
                <w:p w14:paraId="76BDC9B1">
                  <w:pPr>
                    <w:pStyle w:val="32"/>
                    <w:widowControl w:val="0"/>
                    <w:spacing w:before="48" w:after="48"/>
                    <w:rPr>
                      <w:color w:val="FF0000"/>
                      <w:szCs w:val="21"/>
                    </w:rPr>
                  </w:pPr>
                </w:p>
              </w:tc>
              <w:tc>
                <w:tcPr>
                  <w:tcW w:w="394" w:type="pct"/>
                  <w:tcBorders>
                    <w:tl2br w:val="nil"/>
                    <w:tr2bl w:val="nil"/>
                  </w:tcBorders>
                  <w:vAlign w:val="center"/>
                </w:tcPr>
                <w:p w14:paraId="0B3288C0">
                  <w:pPr>
                    <w:pStyle w:val="32"/>
                    <w:widowControl w:val="0"/>
                    <w:spacing w:before="48" w:after="48"/>
                    <w:rPr>
                      <w:color w:val="FF0000"/>
                      <w:szCs w:val="21"/>
                    </w:rPr>
                  </w:pPr>
                  <w:r>
                    <w:rPr>
                      <w:color w:val="FF0000"/>
                      <w:szCs w:val="21"/>
                    </w:rPr>
                    <w:t>COD</w:t>
                  </w:r>
                </w:p>
              </w:tc>
              <w:tc>
                <w:tcPr>
                  <w:tcW w:w="701" w:type="pct"/>
                  <w:tcBorders>
                    <w:tl2br w:val="nil"/>
                    <w:tr2bl w:val="nil"/>
                  </w:tcBorders>
                  <w:vAlign w:val="center"/>
                </w:tcPr>
                <w:p w14:paraId="506132D2">
                  <w:pPr>
                    <w:pStyle w:val="32"/>
                    <w:widowControl w:val="0"/>
                    <w:spacing w:before="48" w:after="48"/>
                    <w:rPr>
                      <w:color w:val="FF0000"/>
                      <w:szCs w:val="21"/>
                    </w:rPr>
                  </w:pPr>
                  <w:r>
                    <w:rPr>
                      <w:color w:val="FF0000"/>
                      <w:szCs w:val="21"/>
                    </w:rPr>
                    <w:t>50mg/L</w:t>
                  </w:r>
                </w:p>
              </w:tc>
            </w:tr>
            <w:tr w14:paraId="45319E9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371" w:hRule="atLeast"/>
              </w:trPr>
              <w:tc>
                <w:tcPr>
                  <w:tcW w:w="241" w:type="pct"/>
                  <w:vMerge w:val="continue"/>
                  <w:tcBorders>
                    <w:tl2br w:val="nil"/>
                    <w:tr2bl w:val="nil"/>
                  </w:tcBorders>
                  <w:vAlign w:val="center"/>
                </w:tcPr>
                <w:p w14:paraId="6CA5A721">
                  <w:pPr>
                    <w:pStyle w:val="32"/>
                    <w:widowControl w:val="0"/>
                    <w:spacing w:before="48" w:after="48"/>
                    <w:rPr>
                      <w:color w:val="FF0000"/>
                      <w:szCs w:val="21"/>
                    </w:rPr>
                  </w:pPr>
                </w:p>
              </w:tc>
              <w:tc>
                <w:tcPr>
                  <w:tcW w:w="430" w:type="pct"/>
                  <w:vMerge w:val="continue"/>
                  <w:tcBorders>
                    <w:tl2br w:val="nil"/>
                    <w:tr2bl w:val="nil"/>
                  </w:tcBorders>
                  <w:vAlign w:val="center"/>
                </w:tcPr>
                <w:p w14:paraId="0896B3DD">
                  <w:pPr>
                    <w:pStyle w:val="32"/>
                    <w:widowControl w:val="0"/>
                    <w:spacing w:before="48" w:after="48"/>
                    <w:rPr>
                      <w:color w:val="FF0000"/>
                      <w:szCs w:val="21"/>
                    </w:rPr>
                  </w:pPr>
                </w:p>
              </w:tc>
              <w:tc>
                <w:tcPr>
                  <w:tcW w:w="752" w:type="pct"/>
                  <w:vMerge w:val="continue"/>
                  <w:tcBorders>
                    <w:tl2br w:val="nil"/>
                    <w:tr2bl w:val="nil"/>
                  </w:tcBorders>
                  <w:vAlign w:val="center"/>
                </w:tcPr>
                <w:p w14:paraId="3FCBC244">
                  <w:pPr>
                    <w:pStyle w:val="32"/>
                    <w:widowControl w:val="0"/>
                    <w:spacing w:before="48" w:after="48"/>
                    <w:rPr>
                      <w:color w:val="FF0000"/>
                      <w:szCs w:val="21"/>
                    </w:rPr>
                  </w:pPr>
                </w:p>
              </w:tc>
              <w:tc>
                <w:tcPr>
                  <w:tcW w:w="683" w:type="pct"/>
                  <w:vMerge w:val="continue"/>
                  <w:tcBorders>
                    <w:tl2br w:val="nil"/>
                    <w:tr2bl w:val="nil"/>
                  </w:tcBorders>
                  <w:vAlign w:val="center"/>
                </w:tcPr>
                <w:p w14:paraId="31A05586">
                  <w:pPr>
                    <w:pStyle w:val="32"/>
                    <w:widowControl w:val="0"/>
                    <w:spacing w:before="48" w:after="48"/>
                    <w:rPr>
                      <w:color w:val="FF0000"/>
                      <w:szCs w:val="21"/>
                    </w:rPr>
                  </w:pPr>
                </w:p>
              </w:tc>
              <w:tc>
                <w:tcPr>
                  <w:tcW w:w="547" w:type="pct"/>
                  <w:vMerge w:val="continue"/>
                  <w:tcBorders>
                    <w:tl2br w:val="nil"/>
                    <w:tr2bl w:val="nil"/>
                  </w:tcBorders>
                  <w:vAlign w:val="center"/>
                </w:tcPr>
                <w:p w14:paraId="7E5BBE1A">
                  <w:pPr>
                    <w:pStyle w:val="32"/>
                    <w:widowControl w:val="0"/>
                    <w:spacing w:before="48" w:after="48"/>
                    <w:rPr>
                      <w:color w:val="FF0000"/>
                      <w:szCs w:val="21"/>
                    </w:rPr>
                  </w:pPr>
                </w:p>
              </w:tc>
              <w:tc>
                <w:tcPr>
                  <w:tcW w:w="334" w:type="pct"/>
                  <w:vMerge w:val="continue"/>
                  <w:tcBorders>
                    <w:tl2br w:val="nil"/>
                    <w:tr2bl w:val="nil"/>
                  </w:tcBorders>
                  <w:vAlign w:val="center"/>
                </w:tcPr>
                <w:p w14:paraId="6EF550B2">
                  <w:pPr>
                    <w:pStyle w:val="32"/>
                    <w:widowControl w:val="0"/>
                    <w:spacing w:before="48" w:after="48"/>
                    <w:rPr>
                      <w:color w:val="FF0000"/>
                      <w:szCs w:val="21"/>
                    </w:rPr>
                  </w:pPr>
                </w:p>
              </w:tc>
              <w:tc>
                <w:tcPr>
                  <w:tcW w:w="396" w:type="pct"/>
                  <w:vMerge w:val="continue"/>
                  <w:tcBorders>
                    <w:tl2br w:val="nil"/>
                    <w:tr2bl w:val="nil"/>
                  </w:tcBorders>
                  <w:vAlign w:val="center"/>
                </w:tcPr>
                <w:p w14:paraId="0599C095">
                  <w:pPr>
                    <w:pStyle w:val="32"/>
                    <w:widowControl w:val="0"/>
                    <w:spacing w:before="48" w:after="48"/>
                    <w:rPr>
                      <w:color w:val="FF0000"/>
                      <w:szCs w:val="21"/>
                    </w:rPr>
                  </w:pPr>
                </w:p>
              </w:tc>
              <w:tc>
                <w:tcPr>
                  <w:tcW w:w="518" w:type="pct"/>
                  <w:vMerge w:val="continue"/>
                  <w:tcBorders>
                    <w:tl2br w:val="nil"/>
                    <w:tr2bl w:val="nil"/>
                  </w:tcBorders>
                  <w:vAlign w:val="center"/>
                </w:tcPr>
                <w:p w14:paraId="1A03734B">
                  <w:pPr>
                    <w:pStyle w:val="32"/>
                    <w:widowControl w:val="0"/>
                    <w:spacing w:before="48" w:after="48"/>
                    <w:rPr>
                      <w:color w:val="FF0000"/>
                      <w:szCs w:val="21"/>
                    </w:rPr>
                  </w:pPr>
                </w:p>
              </w:tc>
              <w:tc>
                <w:tcPr>
                  <w:tcW w:w="394" w:type="pct"/>
                  <w:tcBorders>
                    <w:tl2br w:val="nil"/>
                    <w:tr2bl w:val="nil"/>
                  </w:tcBorders>
                  <w:vAlign w:val="center"/>
                </w:tcPr>
                <w:p w14:paraId="2F208909">
                  <w:pPr>
                    <w:pStyle w:val="32"/>
                    <w:widowControl w:val="0"/>
                    <w:spacing w:before="48" w:after="48"/>
                    <w:rPr>
                      <w:color w:val="FF0000"/>
                      <w:szCs w:val="21"/>
                    </w:rPr>
                  </w:pPr>
                  <w:r>
                    <w:rPr>
                      <w:color w:val="FF0000"/>
                      <w:szCs w:val="21"/>
                    </w:rPr>
                    <w:t>SS</w:t>
                  </w:r>
                </w:p>
              </w:tc>
              <w:tc>
                <w:tcPr>
                  <w:tcW w:w="701" w:type="pct"/>
                  <w:tcBorders>
                    <w:tl2br w:val="nil"/>
                    <w:tr2bl w:val="nil"/>
                  </w:tcBorders>
                  <w:vAlign w:val="center"/>
                </w:tcPr>
                <w:p w14:paraId="705AD784">
                  <w:pPr>
                    <w:pStyle w:val="32"/>
                    <w:widowControl w:val="0"/>
                    <w:spacing w:before="48" w:after="48"/>
                    <w:rPr>
                      <w:color w:val="FF0000"/>
                      <w:szCs w:val="21"/>
                    </w:rPr>
                  </w:pPr>
                  <w:r>
                    <w:rPr>
                      <w:color w:val="FF0000"/>
                      <w:szCs w:val="21"/>
                    </w:rPr>
                    <w:t>10mg/L</w:t>
                  </w:r>
                </w:p>
              </w:tc>
            </w:tr>
            <w:tr w14:paraId="35D70DF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41" w:type="pct"/>
                  <w:vMerge w:val="continue"/>
                  <w:tcBorders>
                    <w:tl2br w:val="nil"/>
                    <w:tr2bl w:val="nil"/>
                  </w:tcBorders>
                  <w:vAlign w:val="center"/>
                </w:tcPr>
                <w:p w14:paraId="593F74C7">
                  <w:pPr>
                    <w:pStyle w:val="32"/>
                    <w:widowControl w:val="0"/>
                    <w:spacing w:before="48" w:after="48"/>
                    <w:rPr>
                      <w:color w:val="FF0000"/>
                      <w:szCs w:val="21"/>
                    </w:rPr>
                  </w:pPr>
                </w:p>
              </w:tc>
              <w:tc>
                <w:tcPr>
                  <w:tcW w:w="430" w:type="pct"/>
                  <w:vMerge w:val="continue"/>
                  <w:tcBorders>
                    <w:tl2br w:val="nil"/>
                    <w:tr2bl w:val="nil"/>
                  </w:tcBorders>
                  <w:vAlign w:val="center"/>
                </w:tcPr>
                <w:p w14:paraId="5BEDABB0">
                  <w:pPr>
                    <w:pStyle w:val="32"/>
                    <w:widowControl w:val="0"/>
                    <w:spacing w:before="48" w:after="48"/>
                    <w:rPr>
                      <w:color w:val="FF0000"/>
                      <w:szCs w:val="21"/>
                    </w:rPr>
                  </w:pPr>
                </w:p>
              </w:tc>
              <w:tc>
                <w:tcPr>
                  <w:tcW w:w="752" w:type="pct"/>
                  <w:vMerge w:val="continue"/>
                  <w:tcBorders>
                    <w:tl2br w:val="nil"/>
                    <w:tr2bl w:val="nil"/>
                  </w:tcBorders>
                  <w:vAlign w:val="center"/>
                </w:tcPr>
                <w:p w14:paraId="60278052">
                  <w:pPr>
                    <w:pStyle w:val="32"/>
                    <w:widowControl w:val="0"/>
                    <w:spacing w:before="48" w:after="48"/>
                    <w:rPr>
                      <w:color w:val="FF0000"/>
                      <w:szCs w:val="21"/>
                    </w:rPr>
                  </w:pPr>
                </w:p>
              </w:tc>
              <w:tc>
                <w:tcPr>
                  <w:tcW w:w="683" w:type="pct"/>
                  <w:vMerge w:val="continue"/>
                  <w:tcBorders>
                    <w:tl2br w:val="nil"/>
                    <w:tr2bl w:val="nil"/>
                  </w:tcBorders>
                  <w:vAlign w:val="center"/>
                </w:tcPr>
                <w:p w14:paraId="0E743A50">
                  <w:pPr>
                    <w:pStyle w:val="32"/>
                    <w:widowControl w:val="0"/>
                    <w:spacing w:before="48" w:after="48"/>
                    <w:rPr>
                      <w:color w:val="FF0000"/>
                      <w:szCs w:val="21"/>
                    </w:rPr>
                  </w:pPr>
                </w:p>
              </w:tc>
              <w:tc>
                <w:tcPr>
                  <w:tcW w:w="547" w:type="pct"/>
                  <w:vMerge w:val="continue"/>
                  <w:tcBorders>
                    <w:tl2br w:val="nil"/>
                    <w:tr2bl w:val="nil"/>
                  </w:tcBorders>
                  <w:vAlign w:val="center"/>
                </w:tcPr>
                <w:p w14:paraId="0EE9E2E8">
                  <w:pPr>
                    <w:pStyle w:val="32"/>
                    <w:widowControl w:val="0"/>
                    <w:spacing w:before="48" w:after="48"/>
                    <w:rPr>
                      <w:color w:val="FF0000"/>
                      <w:szCs w:val="21"/>
                    </w:rPr>
                  </w:pPr>
                </w:p>
              </w:tc>
              <w:tc>
                <w:tcPr>
                  <w:tcW w:w="334" w:type="pct"/>
                  <w:vMerge w:val="continue"/>
                  <w:tcBorders>
                    <w:tl2br w:val="nil"/>
                    <w:tr2bl w:val="nil"/>
                  </w:tcBorders>
                  <w:vAlign w:val="center"/>
                </w:tcPr>
                <w:p w14:paraId="434B4556">
                  <w:pPr>
                    <w:pStyle w:val="32"/>
                    <w:widowControl w:val="0"/>
                    <w:spacing w:before="48" w:after="48"/>
                    <w:rPr>
                      <w:color w:val="FF0000"/>
                      <w:szCs w:val="21"/>
                    </w:rPr>
                  </w:pPr>
                </w:p>
              </w:tc>
              <w:tc>
                <w:tcPr>
                  <w:tcW w:w="396" w:type="pct"/>
                  <w:vMerge w:val="continue"/>
                  <w:tcBorders>
                    <w:tl2br w:val="nil"/>
                    <w:tr2bl w:val="nil"/>
                  </w:tcBorders>
                  <w:vAlign w:val="center"/>
                </w:tcPr>
                <w:p w14:paraId="0E4831C7">
                  <w:pPr>
                    <w:pStyle w:val="32"/>
                    <w:widowControl w:val="0"/>
                    <w:spacing w:before="48" w:after="48"/>
                    <w:rPr>
                      <w:color w:val="FF0000"/>
                      <w:szCs w:val="21"/>
                    </w:rPr>
                  </w:pPr>
                </w:p>
              </w:tc>
              <w:tc>
                <w:tcPr>
                  <w:tcW w:w="518" w:type="pct"/>
                  <w:vMerge w:val="continue"/>
                  <w:tcBorders>
                    <w:tl2br w:val="nil"/>
                    <w:tr2bl w:val="nil"/>
                  </w:tcBorders>
                  <w:vAlign w:val="center"/>
                </w:tcPr>
                <w:p w14:paraId="5F62C383">
                  <w:pPr>
                    <w:pStyle w:val="32"/>
                    <w:widowControl w:val="0"/>
                    <w:spacing w:before="48" w:after="48"/>
                    <w:rPr>
                      <w:color w:val="FF0000"/>
                      <w:szCs w:val="21"/>
                    </w:rPr>
                  </w:pPr>
                </w:p>
              </w:tc>
              <w:tc>
                <w:tcPr>
                  <w:tcW w:w="394" w:type="pct"/>
                  <w:tcBorders>
                    <w:tl2br w:val="nil"/>
                    <w:tr2bl w:val="nil"/>
                  </w:tcBorders>
                  <w:vAlign w:val="center"/>
                </w:tcPr>
                <w:p w14:paraId="2EE7D992">
                  <w:pPr>
                    <w:pStyle w:val="32"/>
                    <w:widowControl w:val="0"/>
                    <w:spacing w:before="48" w:after="48"/>
                    <w:rPr>
                      <w:color w:val="FF0000"/>
                      <w:szCs w:val="21"/>
                    </w:rPr>
                  </w:pPr>
                  <w:r>
                    <w:rPr>
                      <w:color w:val="FF0000"/>
                      <w:szCs w:val="21"/>
                    </w:rPr>
                    <w:t>NH</w:t>
                  </w:r>
                  <w:r>
                    <w:rPr>
                      <w:color w:val="FF0000"/>
                      <w:szCs w:val="21"/>
                      <w:vertAlign w:val="subscript"/>
                    </w:rPr>
                    <w:t>3</w:t>
                  </w:r>
                  <w:r>
                    <w:rPr>
                      <w:color w:val="FF0000"/>
                      <w:szCs w:val="21"/>
                    </w:rPr>
                    <w:t>-N</w:t>
                  </w:r>
                </w:p>
              </w:tc>
              <w:tc>
                <w:tcPr>
                  <w:tcW w:w="701" w:type="pct"/>
                  <w:tcBorders>
                    <w:tl2br w:val="nil"/>
                    <w:tr2bl w:val="nil"/>
                  </w:tcBorders>
                  <w:vAlign w:val="center"/>
                </w:tcPr>
                <w:p w14:paraId="61815FD2">
                  <w:pPr>
                    <w:pStyle w:val="32"/>
                    <w:widowControl w:val="0"/>
                    <w:spacing w:before="48" w:after="48"/>
                    <w:rPr>
                      <w:color w:val="FF0000"/>
                      <w:szCs w:val="21"/>
                    </w:rPr>
                  </w:pPr>
                  <w:r>
                    <w:rPr>
                      <w:color w:val="FF0000"/>
                      <w:szCs w:val="21"/>
                    </w:rPr>
                    <w:t>5mg/L</w:t>
                  </w:r>
                </w:p>
              </w:tc>
            </w:tr>
          </w:tbl>
          <w:p w14:paraId="40C201CB">
            <w:pPr>
              <w:ind w:firstLine="480"/>
            </w:pPr>
            <w:r>
              <w:t>本项目生活污水主要污染物为化学需氧量、氨氮，根据《排污单位自行监测技术指南 总则》（HJ819-2017）</w:t>
            </w:r>
            <w:r>
              <w:rPr>
                <w:bCs/>
              </w:rPr>
              <w:t>和《排污许可证申请与核发技术规范 陶瓷砖瓦工业》（HJ 954-2018）</w:t>
            </w:r>
            <w:r>
              <w:t>要求，本项目运行期废水自行监测要求详见下表。</w:t>
            </w:r>
          </w:p>
          <w:p w14:paraId="1ED74CCC">
            <w:pPr>
              <w:pStyle w:val="37"/>
              <w:spacing w:beforeLines="0"/>
              <w:rPr>
                <w:rFonts w:hint="default"/>
              </w:rPr>
            </w:pPr>
            <w:r>
              <w:rPr>
                <w:rFonts w:hint="default"/>
              </w:rPr>
              <w:t>表25  监测点位、监测项目和监测要求</w:t>
            </w:r>
          </w:p>
          <w:tbl>
            <w:tblPr>
              <w:tblStyle w:val="25"/>
              <w:tblW w:w="5000"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470"/>
              <w:gridCol w:w="1736"/>
              <w:gridCol w:w="1469"/>
              <w:gridCol w:w="2499"/>
            </w:tblGrid>
            <w:tr w14:paraId="2284E1E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579" w:type="pct"/>
                  <w:tcBorders>
                    <w:tl2br w:val="nil"/>
                    <w:tr2bl w:val="nil"/>
                  </w:tcBorders>
                  <w:vAlign w:val="center"/>
                </w:tcPr>
                <w:p w14:paraId="5A552FBA">
                  <w:pPr>
                    <w:pStyle w:val="32"/>
                    <w:widowControl w:val="0"/>
                    <w:spacing w:before="48" w:after="48"/>
                  </w:pPr>
                  <w:r>
                    <w:t>序号</w:t>
                  </w:r>
                </w:p>
              </w:tc>
              <w:tc>
                <w:tcPr>
                  <w:tcW w:w="906" w:type="pct"/>
                  <w:tcBorders>
                    <w:tl2br w:val="nil"/>
                    <w:tr2bl w:val="nil"/>
                  </w:tcBorders>
                  <w:vAlign w:val="center"/>
                </w:tcPr>
                <w:p w14:paraId="04357C5E">
                  <w:pPr>
                    <w:pStyle w:val="32"/>
                    <w:widowControl w:val="0"/>
                    <w:spacing w:before="48" w:after="48"/>
                  </w:pPr>
                  <w:r>
                    <w:t>监测点位</w:t>
                  </w:r>
                </w:p>
              </w:tc>
              <w:tc>
                <w:tcPr>
                  <w:tcW w:w="1070" w:type="pct"/>
                  <w:tcBorders>
                    <w:tl2br w:val="nil"/>
                    <w:tr2bl w:val="nil"/>
                  </w:tcBorders>
                  <w:vAlign w:val="center"/>
                </w:tcPr>
                <w:p w14:paraId="5CA9810D">
                  <w:pPr>
                    <w:pStyle w:val="32"/>
                    <w:widowControl w:val="0"/>
                    <w:spacing w:before="48" w:after="48"/>
                  </w:pPr>
                  <w:r>
                    <w:t>监测项目</w:t>
                  </w:r>
                </w:p>
              </w:tc>
              <w:tc>
                <w:tcPr>
                  <w:tcW w:w="905" w:type="pct"/>
                  <w:tcBorders>
                    <w:tl2br w:val="nil"/>
                    <w:tr2bl w:val="nil"/>
                  </w:tcBorders>
                  <w:vAlign w:val="center"/>
                </w:tcPr>
                <w:p w14:paraId="52AF70C3">
                  <w:pPr>
                    <w:pStyle w:val="32"/>
                    <w:widowControl w:val="0"/>
                    <w:spacing w:before="48" w:after="48"/>
                  </w:pPr>
                  <w:r>
                    <w:t>监测频次</w:t>
                  </w:r>
                </w:p>
              </w:tc>
              <w:tc>
                <w:tcPr>
                  <w:tcW w:w="1540" w:type="pct"/>
                  <w:tcBorders>
                    <w:tl2br w:val="nil"/>
                    <w:tr2bl w:val="nil"/>
                  </w:tcBorders>
                  <w:vAlign w:val="center"/>
                </w:tcPr>
                <w:p w14:paraId="3DB7DD40">
                  <w:pPr>
                    <w:pStyle w:val="32"/>
                    <w:widowControl w:val="0"/>
                    <w:spacing w:before="48" w:after="48"/>
                  </w:pPr>
                  <w:r>
                    <w:t>执行标准</w:t>
                  </w:r>
                </w:p>
              </w:tc>
            </w:tr>
            <w:tr w14:paraId="1E1F219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579" w:type="pct"/>
                  <w:tcBorders>
                    <w:tl2br w:val="nil"/>
                    <w:tr2bl w:val="nil"/>
                  </w:tcBorders>
                  <w:vAlign w:val="center"/>
                </w:tcPr>
                <w:p w14:paraId="13DC176F">
                  <w:pPr>
                    <w:pStyle w:val="32"/>
                    <w:widowControl w:val="0"/>
                    <w:spacing w:before="48" w:after="48"/>
                  </w:pPr>
                  <w:r>
                    <w:t>1</w:t>
                  </w:r>
                </w:p>
              </w:tc>
              <w:tc>
                <w:tcPr>
                  <w:tcW w:w="906" w:type="pct"/>
                  <w:tcBorders>
                    <w:tl2br w:val="nil"/>
                    <w:tr2bl w:val="nil"/>
                  </w:tcBorders>
                  <w:vAlign w:val="center"/>
                </w:tcPr>
                <w:p w14:paraId="1A15FA28">
                  <w:pPr>
                    <w:pStyle w:val="32"/>
                    <w:widowControl w:val="0"/>
                    <w:spacing w:before="48" w:after="48"/>
                  </w:pPr>
                  <w:r>
                    <w:t>化粪池外排口</w:t>
                  </w:r>
                </w:p>
              </w:tc>
              <w:tc>
                <w:tcPr>
                  <w:tcW w:w="1070" w:type="pct"/>
                  <w:tcBorders>
                    <w:tl2br w:val="nil"/>
                    <w:tr2bl w:val="nil"/>
                  </w:tcBorders>
                  <w:vAlign w:val="center"/>
                </w:tcPr>
                <w:p w14:paraId="0C969223">
                  <w:pPr>
                    <w:pStyle w:val="32"/>
                    <w:widowControl w:val="0"/>
                    <w:spacing w:before="48" w:after="48"/>
                    <w:rPr>
                      <w:rFonts w:hint="default" w:eastAsia="宋体"/>
                      <w:lang w:val="en-US" w:eastAsia="zh-CN"/>
                    </w:rPr>
                  </w:pPr>
                  <w:r>
                    <w:t>化学需氧量、氨氮、生化需氧量、总氮、SS</w:t>
                  </w:r>
                  <w:r>
                    <w:rPr>
                      <w:rFonts w:hint="eastAsia"/>
                      <w:lang w:eastAsia="zh-CN"/>
                    </w:rPr>
                    <w:t>、</w:t>
                  </w:r>
                  <w:r>
                    <w:rPr>
                      <w:rFonts w:hint="eastAsia"/>
                      <w:lang w:val="en-US" w:eastAsia="zh-CN"/>
                    </w:rPr>
                    <w:t>pH、总磷</w:t>
                  </w:r>
                </w:p>
              </w:tc>
              <w:tc>
                <w:tcPr>
                  <w:tcW w:w="905" w:type="pct"/>
                  <w:tcBorders>
                    <w:tl2br w:val="nil"/>
                    <w:tr2bl w:val="nil"/>
                  </w:tcBorders>
                  <w:vAlign w:val="center"/>
                </w:tcPr>
                <w:p w14:paraId="6F5BB5E6">
                  <w:pPr>
                    <w:pStyle w:val="32"/>
                    <w:widowControl w:val="0"/>
                    <w:spacing w:before="48" w:after="48"/>
                  </w:pPr>
                  <w:r>
                    <w:t>1次/季度</w:t>
                  </w:r>
                </w:p>
              </w:tc>
              <w:tc>
                <w:tcPr>
                  <w:tcW w:w="1540" w:type="pct"/>
                  <w:tcBorders>
                    <w:tl2br w:val="nil"/>
                    <w:tr2bl w:val="nil"/>
                  </w:tcBorders>
                  <w:vAlign w:val="center"/>
                </w:tcPr>
                <w:p w14:paraId="02A89A51">
                  <w:pPr>
                    <w:pStyle w:val="32"/>
                    <w:widowControl w:val="0"/>
                    <w:spacing w:before="48" w:after="48"/>
                  </w:pPr>
                  <w:r>
                    <w:t>《辽宁省污水综合排放标准》（DB21/1627-2008）排入污水处理厂标准</w:t>
                  </w:r>
                </w:p>
              </w:tc>
            </w:tr>
          </w:tbl>
          <w:p w14:paraId="5FC8B3B2">
            <w:pPr>
              <w:pStyle w:val="5"/>
              <w:spacing w:before="120" w:after="120"/>
            </w:pPr>
            <w:r>
              <w:t>三、噪声</w:t>
            </w:r>
          </w:p>
          <w:p w14:paraId="344F3650">
            <w:pPr>
              <w:pStyle w:val="6"/>
              <w:spacing w:before="120" w:after="120"/>
              <w:ind w:firstLine="482"/>
            </w:pPr>
            <w:r>
              <w:t>1、噪声源产生情况</w:t>
            </w:r>
          </w:p>
          <w:p w14:paraId="7361BAF4">
            <w:pPr>
              <w:ind w:firstLine="480"/>
            </w:pPr>
            <w:r>
              <w:t>本项目运营期主要的声环境影响源为生产设备噪声。项目主要噪声源及控制措施见下表。</w:t>
            </w:r>
          </w:p>
          <w:p w14:paraId="353F4998">
            <w:pPr>
              <w:pStyle w:val="33"/>
              <w:spacing w:beforeLines="0"/>
              <w:rPr>
                <w:rFonts w:hint="default"/>
              </w:rPr>
            </w:pPr>
            <w:r>
              <w:rPr>
                <w:rFonts w:hint="default"/>
              </w:rPr>
              <w:t>表26</w:t>
            </w:r>
            <w:r>
              <w:rPr>
                <w:rFonts w:hint="default"/>
              </w:rPr>
              <w:tab/>
            </w:r>
            <w:r>
              <w:rPr>
                <w:rFonts w:hint="default"/>
              </w:rPr>
              <w:t>主要设备噪声源强表</w:t>
            </w:r>
          </w:p>
          <w:tbl>
            <w:tblPr>
              <w:tblStyle w:val="24"/>
              <w:tblW w:w="5000" w:type="pct"/>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39"/>
              <w:gridCol w:w="1061"/>
              <w:gridCol w:w="745"/>
              <w:gridCol w:w="659"/>
              <w:gridCol w:w="766"/>
              <w:gridCol w:w="1298"/>
              <w:gridCol w:w="1211"/>
              <w:gridCol w:w="1147"/>
              <w:gridCol w:w="888"/>
            </w:tblGrid>
            <w:tr w14:paraId="58C5A6D0">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PrEx>
              <w:trPr>
                <w:trHeight w:val="624" w:hRule="atLeast"/>
              </w:trPr>
              <w:tc>
                <w:tcPr>
                  <w:tcW w:w="209" w:type="pct"/>
                  <w:vAlign w:val="center"/>
                </w:tcPr>
                <w:p w14:paraId="4062039A">
                  <w:pPr>
                    <w:pStyle w:val="32"/>
                    <w:spacing w:before="48" w:after="48"/>
                    <w:rPr>
                      <w:szCs w:val="21"/>
                    </w:rPr>
                  </w:pPr>
                  <w:r>
                    <w:rPr>
                      <w:szCs w:val="21"/>
                    </w:rPr>
                    <w:t>序号</w:t>
                  </w:r>
                </w:p>
              </w:tc>
              <w:tc>
                <w:tcPr>
                  <w:tcW w:w="653" w:type="pct"/>
                  <w:vAlign w:val="center"/>
                </w:tcPr>
                <w:p w14:paraId="281902D2">
                  <w:pPr>
                    <w:pStyle w:val="32"/>
                    <w:spacing w:beforeLines="0" w:afterLines="0"/>
                    <w:rPr>
                      <w:szCs w:val="21"/>
                    </w:rPr>
                  </w:pPr>
                  <w:r>
                    <w:rPr>
                      <w:szCs w:val="21"/>
                    </w:rPr>
                    <w:t>设备</w:t>
                  </w:r>
                </w:p>
              </w:tc>
              <w:tc>
                <w:tcPr>
                  <w:tcW w:w="459" w:type="pct"/>
                  <w:vAlign w:val="center"/>
                </w:tcPr>
                <w:p w14:paraId="3E1D1E7A">
                  <w:pPr>
                    <w:pStyle w:val="32"/>
                    <w:spacing w:beforeLines="0" w:afterLines="0"/>
                    <w:rPr>
                      <w:szCs w:val="21"/>
                    </w:rPr>
                  </w:pPr>
                  <w:r>
                    <w:rPr>
                      <w:szCs w:val="21"/>
                    </w:rPr>
                    <w:t>数量（台）</w:t>
                  </w:r>
                </w:p>
              </w:tc>
              <w:tc>
                <w:tcPr>
                  <w:tcW w:w="406" w:type="pct"/>
                  <w:vAlign w:val="center"/>
                </w:tcPr>
                <w:p w14:paraId="0FF1C594">
                  <w:pPr>
                    <w:pStyle w:val="32"/>
                    <w:spacing w:beforeLines="0" w:afterLines="0"/>
                    <w:rPr>
                      <w:szCs w:val="21"/>
                    </w:rPr>
                  </w:pPr>
                  <w:r>
                    <w:rPr>
                      <w:szCs w:val="21"/>
                    </w:rPr>
                    <w:t>噪声声级dB（A）</w:t>
                  </w:r>
                </w:p>
              </w:tc>
              <w:tc>
                <w:tcPr>
                  <w:tcW w:w="472" w:type="pct"/>
                  <w:vAlign w:val="center"/>
                </w:tcPr>
                <w:p w14:paraId="5896CDFD">
                  <w:pPr>
                    <w:pStyle w:val="32"/>
                    <w:spacing w:beforeLines="0" w:afterLines="0"/>
                    <w:rPr>
                      <w:szCs w:val="21"/>
                    </w:rPr>
                  </w:pPr>
                  <w:r>
                    <w:rPr>
                      <w:szCs w:val="21"/>
                    </w:rPr>
                    <w:t>排放特征</w:t>
                  </w:r>
                </w:p>
              </w:tc>
              <w:tc>
                <w:tcPr>
                  <w:tcW w:w="799" w:type="pct"/>
                  <w:vAlign w:val="center"/>
                </w:tcPr>
                <w:p w14:paraId="27A31ABD">
                  <w:pPr>
                    <w:pStyle w:val="32"/>
                    <w:spacing w:beforeLines="0" w:afterLines="0"/>
                    <w:rPr>
                      <w:szCs w:val="21"/>
                    </w:rPr>
                  </w:pPr>
                  <w:r>
                    <w:rPr>
                      <w:szCs w:val="21"/>
                    </w:rPr>
                    <w:t>治理或防护措施</w:t>
                  </w:r>
                </w:p>
              </w:tc>
              <w:tc>
                <w:tcPr>
                  <w:tcW w:w="745" w:type="pct"/>
                  <w:vAlign w:val="center"/>
                </w:tcPr>
                <w:p w14:paraId="4E344B40">
                  <w:pPr>
                    <w:pStyle w:val="32"/>
                    <w:spacing w:beforeLines="0" w:afterLines="0"/>
                    <w:rPr>
                      <w:szCs w:val="21"/>
                    </w:rPr>
                  </w:pPr>
                  <w:r>
                    <w:rPr>
                      <w:szCs w:val="21"/>
                    </w:rPr>
                    <w:t>治理后噪声</w:t>
                  </w:r>
                </w:p>
                <w:p w14:paraId="4D08E9BE">
                  <w:pPr>
                    <w:pStyle w:val="32"/>
                    <w:spacing w:beforeLines="0" w:afterLines="0"/>
                    <w:rPr>
                      <w:szCs w:val="21"/>
                    </w:rPr>
                  </w:pPr>
                  <w:r>
                    <w:rPr>
                      <w:szCs w:val="21"/>
                    </w:rPr>
                    <w:t>声级</w:t>
                  </w:r>
                </w:p>
              </w:tc>
              <w:tc>
                <w:tcPr>
                  <w:tcW w:w="706" w:type="pct"/>
                  <w:vAlign w:val="center"/>
                </w:tcPr>
                <w:p w14:paraId="17A44015">
                  <w:pPr>
                    <w:pStyle w:val="32"/>
                    <w:spacing w:beforeLines="0" w:afterLines="0"/>
                    <w:rPr>
                      <w:szCs w:val="21"/>
                    </w:rPr>
                  </w:pPr>
                  <w:r>
                    <w:rPr>
                      <w:szCs w:val="21"/>
                    </w:rPr>
                    <w:t>叠加噪声源</w:t>
                  </w:r>
                </w:p>
                <w:p w14:paraId="39CBE388">
                  <w:pPr>
                    <w:pStyle w:val="32"/>
                    <w:spacing w:beforeLines="0" w:afterLines="0"/>
                    <w:rPr>
                      <w:szCs w:val="21"/>
                    </w:rPr>
                  </w:pPr>
                  <w:r>
                    <w:rPr>
                      <w:szCs w:val="21"/>
                    </w:rPr>
                    <w:t>dB（A）</w:t>
                  </w:r>
                </w:p>
              </w:tc>
              <w:tc>
                <w:tcPr>
                  <w:tcW w:w="546" w:type="pct"/>
                  <w:vAlign w:val="center"/>
                </w:tcPr>
                <w:p w14:paraId="5401B36D">
                  <w:pPr>
                    <w:pStyle w:val="32"/>
                    <w:spacing w:beforeLines="0" w:afterLines="0"/>
                    <w:rPr>
                      <w:szCs w:val="21"/>
                    </w:rPr>
                  </w:pPr>
                  <w:r>
                    <w:rPr>
                      <w:szCs w:val="21"/>
                    </w:rPr>
                    <w:t>执行标准</w:t>
                  </w:r>
                </w:p>
              </w:tc>
            </w:tr>
            <w:tr w14:paraId="46749F6B">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 w:type="pct"/>
                  <w:vAlign w:val="center"/>
                </w:tcPr>
                <w:p w14:paraId="494F8F82">
                  <w:pPr>
                    <w:pStyle w:val="32"/>
                    <w:spacing w:before="48" w:after="48"/>
                    <w:rPr>
                      <w:szCs w:val="21"/>
                    </w:rPr>
                  </w:pPr>
                  <w:r>
                    <w:rPr>
                      <w:szCs w:val="21"/>
                    </w:rPr>
                    <w:t>1</w:t>
                  </w:r>
                </w:p>
              </w:tc>
              <w:tc>
                <w:tcPr>
                  <w:tcW w:w="653" w:type="pct"/>
                  <w:vAlign w:val="center"/>
                </w:tcPr>
                <w:p w14:paraId="39533EC9">
                  <w:pPr>
                    <w:spacing w:line="240" w:lineRule="auto"/>
                    <w:ind w:firstLine="0" w:firstLineChars="0"/>
                    <w:jc w:val="center"/>
                    <w:rPr>
                      <w:sz w:val="21"/>
                      <w:szCs w:val="21"/>
                    </w:rPr>
                  </w:pPr>
                  <w:r>
                    <w:rPr>
                      <w:sz w:val="21"/>
                      <w:szCs w:val="21"/>
                    </w:rPr>
                    <w:t>混合搅拌机</w:t>
                  </w:r>
                </w:p>
              </w:tc>
              <w:tc>
                <w:tcPr>
                  <w:tcW w:w="459" w:type="pct"/>
                  <w:vAlign w:val="center"/>
                </w:tcPr>
                <w:p w14:paraId="107ACFFB">
                  <w:pPr>
                    <w:spacing w:line="240" w:lineRule="auto"/>
                    <w:ind w:firstLine="0" w:firstLineChars="0"/>
                    <w:jc w:val="center"/>
                    <w:rPr>
                      <w:sz w:val="21"/>
                      <w:szCs w:val="21"/>
                    </w:rPr>
                  </w:pPr>
                  <w:r>
                    <w:rPr>
                      <w:sz w:val="21"/>
                      <w:szCs w:val="21"/>
                    </w:rPr>
                    <w:t>2</w:t>
                  </w:r>
                </w:p>
              </w:tc>
              <w:tc>
                <w:tcPr>
                  <w:tcW w:w="406" w:type="pct"/>
                  <w:vAlign w:val="center"/>
                </w:tcPr>
                <w:p w14:paraId="4295CD56">
                  <w:pPr>
                    <w:pStyle w:val="32"/>
                    <w:spacing w:before="48" w:after="48"/>
                    <w:rPr>
                      <w:szCs w:val="21"/>
                    </w:rPr>
                  </w:pPr>
                  <w:r>
                    <w:rPr>
                      <w:szCs w:val="21"/>
                    </w:rPr>
                    <w:t>85</w:t>
                  </w:r>
                </w:p>
              </w:tc>
              <w:tc>
                <w:tcPr>
                  <w:tcW w:w="472" w:type="pct"/>
                  <w:vAlign w:val="center"/>
                </w:tcPr>
                <w:p w14:paraId="3EA079A9">
                  <w:pPr>
                    <w:pStyle w:val="32"/>
                    <w:spacing w:before="48" w:after="48"/>
                    <w:rPr>
                      <w:szCs w:val="21"/>
                    </w:rPr>
                  </w:pPr>
                  <w:r>
                    <w:rPr>
                      <w:szCs w:val="21"/>
                    </w:rPr>
                    <w:t>连续</w:t>
                  </w:r>
                </w:p>
              </w:tc>
              <w:tc>
                <w:tcPr>
                  <w:tcW w:w="799" w:type="pct"/>
                  <w:vMerge w:val="restart"/>
                  <w:vAlign w:val="center"/>
                </w:tcPr>
                <w:p w14:paraId="6D693D6E">
                  <w:pPr>
                    <w:pStyle w:val="32"/>
                    <w:spacing w:before="48" w:after="48"/>
                    <w:rPr>
                      <w:szCs w:val="21"/>
                    </w:rPr>
                  </w:pPr>
                  <w:r>
                    <w:rPr>
                      <w:szCs w:val="21"/>
                    </w:rPr>
                    <w:t>选用低噪声设备、基础减震、厂房隔声</w:t>
                  </w:r>
                </w:p>
              </w:tc>
              <w:tc>
                <w:tcPr>
                  <w:tcW w:w="745" w:type="pct"/>
                  <w:vAlign w:val="center"/>
                </w:tcPr>
                <w:p w14:paraId="62DC7C4F">
                  <w:pPr>
                    <w:pStyle w:val="32"/>
                    <w:spacing w:before="48" w:after="48"/>
                    <w:rPr>
                      <w:szCs w:val="21"/>
                    </w:rPr>
                  </w:pPr>
                  <w:r>
                    <w:rPr>
                      <w:szCs w:val="21"/>
                    </w:rPr>
                    <w:t>60</w:t>
                  </w:r>
                </w:p>
              </w:tc>
              <w:tc>
                <w:tcPr>
                  <w:tcW w:w="706" w:type="pct"/>
                  <w:vMerge w:val="restart"/>
                  <w:vAlign w:val="center"/>
                </w:tcPr>
                <w:p w14:paraId="7953E5A0">
                  <w:pPr>
                    <w:pStyle w:val="32"/>
                    <w:spacing w:before="48" w:after="48"/>
                    <w:rPr>
                      <w:szCs w:val="21"/>
                    </w:rPr>
                  </w:pPr>
                  <w:r>
                    <w:rPr>
                      <w:szCs w:val="21"/>
                    </w:rPr>
                    <w:t>65.21</w:t>
                  </w:r>
                </w:p>
              </w:tc>
              <w:tc>
                <w:tcPr>
                  <w:tcW w:w="546" w:type="pct"/>
                  <w:vMerge w:val="restart"/>
                  <w:vAlign w:val="center"/>
                </w:tcPr>
                <w:p w14:paraId="3E9B9F9E">
                  <w:pPr>
                    <w:pStyle w:val="32"/>
                    <w:spacing w:before="48" w:after="48"/>
                    <w:rPr>
                      <w:szCs w:val="21"/>
                    </w:rPr>
                  </w:pPr>
                  <w:r>
                    <w:rPr>
                      <w:szCs w:val="21"/>
                    </w:rPr>
                    <w:t>《工业企业厂界环境噪声排放标准》（GB12348-2008）3类标准</w:t>
                  </w:r>
                </w:p>
              </w:tc>
            </w:tr>
            <w:tr w14:paraId="1547BA9A">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9" w:type="pct"/>
                  <w:vAlign w:val="center"/>
                </w:tcPr>
                <w:p w14:paraId="25BBF9D3">
                  <w:pPr>
                    <w:pStyle w:val="32"/>
                    <w:spacing w:before="48" w:after="48"/>
                    <w:rPr>
                      <w:szCs w:val="21"/>
                    </w:rPr>
                  </w:pPr>
                  <w:r>
                    <w:rPr>
                      <w:szCs w:val="21"/>
                    </w:rPr>
                    <w:t>2</w:t>
                  </w:r>
                </w:p>
              </w:tc>
              <w:tc>
                <w:tcPr>
                  <w:tcW w:w="653" w:type="pct"/>
                  <w:vAlign w:val="center"/>
                </w:tcPr>
                <w:p w14:paraId="454A0133">
                  <w:pPr>
                    <w:spacing w:line="240" w:lineRule="auto"/>
                    <w:ind w:firstLine="0" w:firstLineChars="0"/>
                    <w:jc w:val="center"/>
                    <w:rPr>
                      <w:sz w:val="21"/>
                      <w:szCs w:val="21"/>
                    </w:rPr>
                  </w:pPr>
                  <w:r>
                    <w:rPr>
                      <w:sz w:val="21"/>
                      <w:szCs w:val="21"/>
                    </w:rPr>
                    <w:t>EPS发泡机</w:t>
                  </w:r>
                </w:p>
              </w:tc>
              <w:tc>
                <w:tcPr>
                  <w:tcW w:w="459" w:type="pct"/>
                  <w:vAlign w:val="center"/>
                </w:tcPr>
                <w:p w14:paraId="498A03F4">
                  <w:pPr>
                    <w:spacing w:line="240" w:lineRule="auto"/>
                    <w:ind w:firstLine="0" w:firstLineChars="0"/>
                    <w:jc w:val="center"/>
                    <w:rPr>
                      <w:sz w:val="21"/>
                      <w:szCs w:val="21"/>
                    </w:rPr>
                  </w:pPr>
                  <w:r>
                    <w:rPr>
                      <w:sz w:val="21"/>
                      <w:szCs w:val="21"/>
                    </w:rPr>
                    <w:t>2</w:t>
                  </w:r>
                </w:p>
              </w:tc>
              <w:tc>
                <w:tcPr>
                  <w:tcW w:w="406" w:type="pct"/>
                  <w:vAlign w:val="center"/>
                </w:tcPr>
                <w:p w14:paraId="19301124">
                  <w:pPr>
                    <w:pStyle w:val="32"/>
                    <w:spacing w:before="48" w:after="48"/>
                    <w:rPr>
                      <w:szCs w:val="21"/>
                    </w:rPr>
                  </w:pPr>
                  <w:r>
                    <w:rPr>
                      <w:szCs w:val="21"/>
                    </w:rPr>
                    <w:t>80</w:t>
                  </w:r>
                </w:p>
              </w:tc>
              <w:tc>
                <w:tcPr>
                  <w:tcW w:w="472" w:type="pct"/>
                  <w:vAlign w:val="center"/>
                </w:tcPr>
                <w:p w14:paraId="46B21803">
                  <w:pPr>
                    <w:pStyle w:val="32"/>
                    <w:spacing w:before="48" w:after="48"/>
                    <w:rPr>
                      <w:szCs w:val="21"/>
                    </w:rPr>
                  </w:pPr>
                  <w:r>
                    <w:rPr>
                      <w:szCs w:val="21"/>
                    </w:rPr>
                    <w:t>连续</w:t>
                  </w:r>
                </w:p>
              </w:tc>
              <w:tc>
                <w:tcPr>
                  <w:tcW w:w="799" w:type="pct"/>
                  <w:vMerge w:val="continue"/>
                  <w:vAlign w:val="center"/>
                </w:tcPr>
                <w:p w14:paraId="0845EFAA">
                  <w:pPr>
                    <w:pStyle w:val="32"/>
                    <w:spacing w:before="48" w:after="48"/>
                    <w:rPr>
                      <w:szCs w:val="21"/>
                    </w:rPr>
                  </w:pPr>
                </w:p>
              </w:tc>
              <w:tc>
                <w:tcPr>
                  <w:tcW w:w="745" w:type="pct"/>
                  <w:vAlign w:val="center"/>
                </w:tcPr>
                <w:p w14:paraId="76803775">
                  <w:pPr>
                    <w:pStyle w:val="32"/>
                    <w:spacing w:before="48" w:after="48"/>
                    <w:rPr>
                      <w:szCs w:val="21"/>
                    </w:rPr>
                  </w:pPr>
                  <w:r>
                    <w:rPr>
                      <w:szCs w:val="21"/>
                    </w:rPr>
                    <w:t>55</w:t>
                  </w:r>
                </w:p>
              </w:tc>
              <w:tc>
                <w:tcPr>
                  <w:tcW w:w="706" w:type="pct"/>
                  <w:vMerge w:val="continue"/>
                </w:tcPr>
                <w:p w14:paraId="4BD7ADD3">
                  <w:pPr>
                    <w:pStyle w:val="32"/>
                    <w:spacing w:before="48" w:after="48"/>
                    <w:rPr>
                      <w:szCs w:val="21"/>
                    </w:rPr>
                  </w:pPr>
                </w:p>
              </w:tc>
              <w:tc>
                <w:tcPr>
                  <w:tcW w:w="546" w:type="pct"/>
                  <w:vMerge w:val="continue"/>
                  <w:vAlign w:val="center"/>
                </w:tcPr>
                <w:p w14:paraId="6D95D13D">
                  <w:pPr>
                    <w:pStyle w:val="32"/>
                    <w:spacing w:before="48" w:after="48"/>
                    <w:rPr>
                      <w:szCs w:val="21"/>
                    </w:rPr>
                  </w:pPr>
                </w:p>
              </w:tc>
            </w:tr>
            <w:tr w14:paraId="39747C32">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9" w:type="pct"/>
                  <w:vAlign w:val="center"/>
                </w:tcPr>
                <w:p w14:paraId="18F43CCE">
                  <w:pPr>
                    <w:pStyle w:val="32"/>
                    <w:spacing w:before="48" w:after="48"/>
                    <w:rPr>
                      <w:szCs w:val="21"/>
                    </w:rPr>
                  </w:pPr>
                  <w:r>
                    <w:rPr>
                      <w:szCs w:val="21"/>
                    </w:rPr>
                    <w:t>3</w:t>
                  </w:r>
                </w:p>
              </w:tc>
              <w:tc>
                <w:tcPr>
                  <w:tcW w:w="653" w:type="pct"/>
                  <w:vAlign w:val="center"/>
                </w:tcPr>
                <w:p w14:paraId="46AFF88F">
                  <w:pPr>
                    <w:spacing w:line="240" w:lineRule="auto"/>
                    <w:ind w:firstLine="0" w:firstLineChars="0"/>
                    <w:jc w:val="center"/>
                    <w:rPr>
                      <w:sz w:val="21"/>
                      <w:szCs w:val="21"/>
                    </w:rPr>
                  </w:pPr>
                  <w:r>
                    <w:rPr>
                      <w:sz w:val="21"/>
                      <w:szCs w:val="21"/>
                    </w:rPr>
                    <w:t>自动切割机</w:t>
                  </w:r>
                </w:p>
              </w:tc>
              <w:tc>
                <w:tcPr>
                  <w:tcW w:w="459" w:type="pct"/>
                  <w:vAlign w:val="center"/>
                </w:tcPr>
                <w:p w14:paraId="2EC80362">
                  <w:pPr>
                    <w:spacing w:line="240" w:lineRule="auto"/>
                    <w:ind w:firstLine="0" w:firstLineChars="0"/>
                    <w:jc w:val="center"/>
                    <w:rPr>
                      <w:sz w:val="21"/>
                      <w:szCs w:val="21"/>
                    </w:rPr>
                  </w:pPr>
                  <w:r>
                    <w:rPr>
                      <w:sz w:val="21"/>
                      <w:szCs w:val="21"/>
                    </w:rPr>
                    <w:t>1</w:t>
                  </w:r>
                </w:p>
              </w:tc>
              <w:tc>
                <w:tcPr>
                  <w:tcW w:w="406" w:type="pct"/>
                  <w:vAlign w:val="center"/>
                </w:tcPr>
                <w:p w14:paraId="5B9E6663">
                  <w:pPr>
                    <w:pStyle w:val="32"/>
                    <w:spacing w:before="48" w:after="48"/>
                    <w:rPr>
                      <w:szCs w:val="21"/>
                    </w:rPr>
                  </w:pPr>
                  <w:r>
                    <w:rPr>
                      <w:szCs w:val="21"/>
                    </w:rPr>
                    <w:t>85</w:t>
                  </w:r>
                </w:p>
              </w:tc>
              <w:tc>
                <w:tcPr>
                  <w:tcW w:w="472" w:type="pct"/>
                  <w:vAlign w:val="center"/>
                </w:tcPr>
                <w:p w14:paraId="233FA6B1">
                  <w:pPr>
                    <w:pStyle w:val="32"/>
                    <w:spacing w:before="48" w:after="48"/>
                    <w:rPr>
                      <w:szCs w:val="21"/>
                    </w:rPr>
                  </w:pPr>
                  <w:r>
                    <w:rPr>
                      <w:szCs w:val="21"/>
                    </w:rPr>
                    <w:t>连续</w:t>
                  </w:r>
                </w:p>
              </w:tc>
              <w:tc>
                <w:tcPr>
                  <w:tcW w:w="799" w:type="pct"/>
                  <w:vMerge w:val="continue"/>
                  <w:vAlign w:val="center"/>
                </w:tcPr>
                <w:p w14:paraId="2825ECF2">
                  <w:pPr>
                    <w:pStyle w:val="32"/>
                    <w:spacing w:before="48" w:after="48"/>
                    <w:rPr>
                      <w:szCs w:val="21"/>
                    </w:rPr>
                  </w:pPr>
                </w:p>
              </w:tc>
              <w:tc>
                <w:tcPr>
                  <w:tcW w:w="745" w:type="pct"/>
                  <w:vAlign w:val="center"/>
                </w:tcPr>
                <w:p w14:paraId="3678684D">
                  <w:pPr>
                    <w:pStyle w:val="32"/>
                    <w:spacing w:before="48" w:after="48"/>
                    <w:rPr>
                      <w:szCs w:val="21"/>
                    </w:rPr>
                  </w:pPr>
                  <w:r>
                    <w:rPr>
                      <w:szCs w:val="21"/>
                    </w:rPr>
                    <w:t>60</w:t>
                  </w:r>
                </w:p>
              </w:tc>
              <w:tc>
                <w:tcPr>
                  <w:tcW w:w="706" w:type="pct"/>
                  <w:vMerge w:val="continue"/>
                </w:tcPr>
                <w:p w14:paraId="45BDCF2F">
                  <w:pPr>
                    <w:pStyle w:val="32"/>
                    <w:spacing w:before="48" w:after="48"/>
                    <w:rPr>
                      <w:szCs w:val="21"/>
                    </w:rPr>
                  </w:pPr>
                </w:p>
              </w:tc>
              <w:tc>
                <w:tcPr>
                  <w:tcW w:w="546" w:type="pct"/>
                  <w:vMerge w:val="continue"/>
                  <w:vAlign w:val="center"/>
                </w:tcPr>
                <w:p w14:paraId="28FDD016">
                  <w:pPr>
                    <w:pStyle w:val="32"/>
                    <w:spacing w:before="48" w:after="48"/>
                    <w:rPr>
                      <w:szCs w:val="21"/>
                    </w:rPr>
                  </w:pPr>
                </w:p>
              </w:tc>
            </w:tr>
            <w:tr w14:paraId="4DF9B085">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9" w:type="pct"/>
                  <w:vAlign w:val="center"/>
                </w:tcPr>
                <w:p w14:paraId="7122EB80">
                  <w:pPr>
                    <w:pStyle w:val="32"/>
                    <w:spacing w:before="48" w:after="48"/>
                    <w:rPr>
                      <w:szCs w:val="21"/>
                    </w:rPr>
                  </w:pPr>
                  <w:r>
                    <w:rPr>
                      <w:szCs w:val="21"/>
                    </w:rPr>
                    <w:t>4</w:t>
                  </w:r>
                </w:p>
              </w:tc>
              <w:tc>
                <w:tcPr>
                  <w:tcW w:w="653" w:type="pct"/>
                  <w:vAlign w:val="center"/>
                </w:tcPr>
                <w:p w14:paraId="18FA6381">
                  <w:pPr>
                    <w:spacing w:line="240" w:lineRule="auto"/>
                    <w:ind w:firstLine="0" w:firstLineChars="0"/>
                    <w:jc w:val="center"/>
                    <w:rPr>
                      <w:sz w:val="21"/>
                      <w:szCs w:val="21"/>
                    </w:rPr>
                  </w:pPr>
                  <w:r>
                    <w:rPr>
                      <w:sz w:val="21"/>
                      <w:szCs w:val="21"/>
                    </w:rPr>
                    <w:t>生物质蒸汽发生器</w:t>
                  </w:r>
                </w:p>
              </w:tc>
              <w:tc>
                <w:tcPr>
                  <w:tcW w:w="459" w:type="pct"/>
                  <w:vAlign w:val="center"/>
                </w:tcPr>
                <w:p w14:paraId="5E1DD30F">
                  <w:pPr>
                    <w:spacing w:line="240" w:lineRule="auto"/>
                    <w:ind w:firstLine="0" w:firstLineChars="0"/>
                    <w:jc w:val="center"/>
                    <w:rPr>
                      <w:sz w:val="21"/>
                      <w:szCs w:val="21"/>
                    </w:rPr>
                  </w:pPr>
                  <w:r>
                    <w:rPr>
                      <w:sz w:val="21"/>
                      <w:szCs w:val="21"/>
                    </w:rPr>
                    <w:t>1</w:t>
                  </w:r>
                </w:p>
              </w:tc>
              <w:tc>
                <w:tcPr>
                  <w:tcW w:w="406" w:type="pct"/>
                  <w:vAlign w:val="center"/>
                </w:tcPr>
                <w:p w14:paraId="1111A39D">
                  <w:pPr>
                    <w:pStyle w:val="32"/>
                    <w:spacing w:before="48" w:after="48"/>
                    <w:rPr>
                      <w:szCs w:val="21"/>
                    </w:rPr>
                  </w:pPr>
                  <w:r>
                    <w:rPr>
                      <w:szCs w:val="21"/>
                    </w:rPr>
                    <w:t>75</w:t>
                  </w:r>
                </w:p>
              </w:tc>
              <w:tc>
                <w:tcPr>
                  <w:tcW w:w="472" w:type="pct"/>
                  <w:vAlign w:val="center"/>
                </w:tcPr>
                <w:p w14:paraId="3459CDED">
                  <w:pPr>
                    <w:pStyle w:val="32"/>
                    <w:spacing w:before="48" w:after="48"/>
                    <w:rPr>
                      <w:szCs w:val="21"/>
                    </w:rPr>
                  </w:pPr>
                  <w:r>
                    <w:rPr>
                      <w:szCs w:val="21"/>
                    </w:rPr>
                    <w:t>连续</w:t>
                  </w:r>
                </w:p>
              </w:tc>
              <w:tc>
                <w:tcPr>
                  <w:tcW w:w="799" w:type="pct"/>
                  <w:vMerge w:val="continue"/>
                  <w:vAlign w:val="center"/>
                </w:tcPr>
                <w:p w14:paraId="62E842AF">
                  <w:pPr>
                    <w:pStyle w:val="32"/>
                    <w:spacing w:before="48" w:after="48"/>
                    <w:rPr>
                      <w:szCs w:val="21"/>
                    </w:rPr>
                  </w:pPr>
                </w:p>
              </w:tc>
              <w:tc>
                <w:tcPr>
                  <w:tcW w:w="745" w:type="pct"/>
                  <w:vAlign w:val="center"/>
                </w:tcPr>
                <w:p w14:paraId="30F50364">
                  <w:pPr>
                    <w:pStyle w:val="32"/>
                    <w:spacing w:before="48" w:after="48"/>
                    <w:rPr>
                      <w:szCs w:val="21"/>
                    </w:rPr>
                  </w:pPr>
                  <w:r>
                    <w:rPr>
                      <w:szCs w:val="21"/>
                    </w:rPr>
                    <w:t>50</w:t>
                  </w:r>
                </w:p>
              </w:tc>
              <w:tc>
                <w:tcPr>
                  <w:tcW w:w="706" w:type="pct"/>
                  <w:vMerge w:val="continue"/>
                </w:tcPr>
                <w:p w14:paraId="6FFB1FAB">
                  <w:pPr>
                    <w:pStyle w:val="32"/>
                    <w:spacing w:before="48" w:after="48"/>
                    <w:rPr>
                      <w:szCs w:val="21"/>
                    </w:rPr>
                  </w:pPr>
                </w:p>
              </w:tc>
              <w:tc>
                <w:tcPr>
                  <w:tcW w:w="546" w:type="pct"/>
                  <w:vMerge w:val="continue"/>
                  <w:vAlign w:val="center"/>
                </w:tcPr>
                <w:p w14:paraId="1D7EFD02">
                  <w:pPr>
                    <w:pStyle w:val="32"/>
                    <w:spacing w:before="48" w:after="48"/>
                    <w:rPr>
                      <w:szCs w:val="21"/>
                    </w:rPr>
                  </w:pPr>
                </w:p>
              </w:tc>
            </w:tr>
            <w:tr w14:paraId="59DF185D">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PrEx>
              <w:trPr>
                <w:trHeight w:val="311" w:hRule="atLeast"/>
              </w:trPr>
              <w:tc>
                <w:tcPr>
                  <w:tcW w:w="209" w:type="pct"/>
                  <w:vAlign w:val="center"/>
                </w:tcPr>
                <w:p w14:paraId="16C10DDE">
                  <w:pPr>
                    <w:pStyle w:val="32"/>
                    <w:spacing w:before="48" w:after="48"/>
                    <w:rPr>
                      <w:szCs w:val="21"/>
                    </w:rPr>
                  </w:pPr>
                  <w:r>
                    <w:rPr>
                      <w:szCs w:val="21"/>
                    </w:rPr>
                    <w:t>5</w:t>
                  </w:r>
                </w:p>
              </w:tc>
              <w:tc>
                <w:tcPr>
                  <w:tcW w:w="653" w:type="pct"/>
                </w:tcPr>
                <w:p w14:paraId="0DCC7255">
                  <w:pPr>
                    <w:spacing w:line="240" w:lineRule="auto"/>
                    <w:ind w:firstLine="0" w:firstLineChars="0"/>
                    <w:jc w:val="center"/>
                    <w:rPr>
                      <w:sz w:val="21"/>
                      <w:szCs w:val="21"/>
                    </w:rPr>
                  </w:pPr>
                  <w:r>
                    <w:rPr>
                      <w:sz w:val="21"/>
                      <w:szCs w:val="21"/>
                    </w:rPr>
                    <w:t>压膜机</w:t>
                  </w:r>
                </w:p>
              </w:tc>
              <w:tc>
                <w:tcPr>
                  <w:tcW w:w="459" w:type="pct"/>
                  <w:vAlign w:val="center"/>
                </w:tcPr>
                <w:p w14:paraId="3556C848">
                  <w:pPr>
                    <w:spacing w:line="240" w:lineRule="auto"/>
                    <w:ind w:firstLine="0" w:firstLineChars="0"/>
                    <w:jc w:val="center"/>
                    <w:rPr>
                      <w:sz w:val="21"/>
                      <w:szCs w:val="21"/>
                    </w:rPr>
                  </w:pPr>
                  <w:r>
                    <w:rPr>
                      <w:sz w:val="21"/>
                      <w:szCs w:val="21"/>
                    </w:rPr>
                    <w:t>1</w:t>
                  </w:r>
                </w:p>
              </w:tc>
              <w:tc>
                <w:tcPr>
                  <w:tcW w:w="406" w:type="pct"/>
                  <w:vAlign w:val="center"/>
                </w:tcPr>
                <w:p w14:paraId="4DF1D605">
                  <w:pPr>
                    <w:pStyle w:val="32"/>
                    <w:spacing w:before="48" w:after="48"/>
                    <w:rPr>
                      <w:szCs w:val="21"/>
                    </w:rPr>
                  </w:pPr>
                  <w:r>
                    <w:rPr>
                      <w:szCs w:val="21"/>
                    </w:rPr>
                    <w:t>75</w:t>
                  </w:r>
                </w:p>
              </w:tc>
              <w:tc>
                <w:tcPr>
                  <w:tcW w:w="472" w:type="pct"/>
                  <w:vAlign w:val="center"/>
                </w:tcPr>
                <w:p w14:paraId="10A9B7C6">
                  <w:pPr>
                    <w:pStyle w:val="32"/>
                    <w:spacing w:before="48" w:after="48"/>
                    <w:rPr>
                      <w:szCs w:val="21"/>
                    </w:rPr>
                  </w:pPr>
                  <w:r>
                    <w:rPr>
                      <w:szCs w:val="21"/>
                    </w:rPr>
                    <w:t>连续</w:t>
                  </w:r>
                </w:p>
              </w:tc>
              <w:tc>
                <w:tcPr>
                  <w:tcW w:w="799" w:type="pct"/>
                  <w:vMerge w:val="continue"/>
                  <w:vAlign w:val="center"/>
                </w:tcPr>
                <w:p w14:paraId="5CDF052D">
                  <w:pPr>
                    <w:pStyle w:val="32"/>
                    <w:spacing w:before="48" w:after="48"/>
                    <w:rPr>
                      <w:szCs w:val="21"/>
                    </w:rPr>
                  </w:pPr>
                </w:p>
              </w:tc>
              <w:tc>
                <w:tcPr>
                  <w:tcW w:w="745" w:type="pct"/>
                  <w:vAlign w:val="center"/>
                </w:tcPr>
                <w:p w14:paraId="5B44AC8A">
                  <w:pPr>
                    <w:pStyle w:val="32"/>
                    <w:spacing w:before="48" w:after="48"/>
                    <w:rPr>
                      <w:szCs w:val="21"/>
                    </w:rPr>
                  </w:pPr>
                  <w:r>
                    <w:rPr>
                      <w:szCs w:val="21"/>
                    </w:rPr>
                    <w:t>50</w:t>
                  </w:r>
                </w:p>
              </w:tc>
              <w:tc>
                <w:tcPr>
                  <w:tcW w:w="706" w:type="pct"/>
                  <w:vMerge w:val="continue"/>
                </w:tcPr>
                <w:p w14:paraId="28AFF595">
                  <w:pPr>
                    <w:pStyle w:val="32"/>
                    <w:spacing w:before="48" w:after="48"/>
                    <w:rPr>
                      <w:szCs w:val="21"/>
                    </w:rPr>
                  </w:pPr>
                </w:p>
              </w:tc>
              <w:tc>
                <w:tcPr>
                  <w:tcW w:w="546" w:type="pct"/>
                  <w:vMerge w:val="continue"/>
                  <w:vAlign w:val="center"/>
                </w:tcPr>
                <w:p w14:paraId="7BB616D5">
                  <w:pPr>
                    <w:pStyle w:val="32"/>
                    <w:spacing w:before="48" w:after="48"/>
                    <w:rPr>
                      <w:szCs w:val="21"/>
                    </w:rPr>
                  </w:pPr>
                </w:p>
              </w:tc>
            </w:tr>
            <w:tr w14:paraId="3E0C47E3">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9" w:type="pct"/>
                  <w:vAlign w:val="center"/>
                </w:tcPr>
                <w:p w14:paraId="564DC420">
                  <w:pPr>
                    <w:pStyle w:val="32"/>
                    <w:spacing w:before="48" w:after="48"/>
                    <w:rPr>
                      <w:szCs w:val="21"/>
                    </w:rPr>
                  </w:pPr>
                  <w:r>
                    <w:rPr>
                      <w:szCs w:val="21"/>
                    </w:rPr>
                    <w:t>6</w:t>
                  </w:r>
                </w:p>
              </w:tc>
              <w:tc>
                <w:tcPr>
                  <w:tcW w:w="653" w:type="pct"/>
                </w:tcPr>
                <w:p w14:paraId="569905F1">
                  <w:pPr>
                    <w:spacing w:line="240" w:lineRule="auto"/>
                    <w:ind w:firstLine="0" w:firstLineChars="0"/>
                    <w:jc w:val="center"/>
                    <w:rPr>
                      <w:sz w:val="21"/>
                      <w:szCs w:val="21"/>
                    </w:rPr>
                  </w:pPr>
                  <w:r>
                    <w:rPr>
                      <w:sz w:val="21"/>
                      <w:szCs w:val="21"/>
                    </w:rPr>
                    <w:t>脱模机</w:t>
                  </w:r>
                </w:p>
              </w:tc>
              <w:tc>
                <w:tcPr>
                  <w:tcW w:w="459" w:type="pct"/>
                  <w:vAlign w:val="center"/>
                </w:tcPr>
                <w:p w14:paraId="5E3F1BE8">
                  <w:pPr>
                    <w:spacing w:line="240" w:lineRule="auto"/>
                    <w:ind w:firstLine="0" w:firstLineChars="0"/>
                    <w:jc w:val="center"/>
                    <w:rPr>
                      <w:sz w:val="21"/>
                      <w:szCs w:val="21"/>
                    </w:rPr>
                  </w:pPr>
                  <w:r>
                    <w:rPr>
                      <w:sz w:val="21"/>
                      <w:szCs w:val="21"/>
                    </w:rPr>
                    <w:t>1</w:t>
                  </w:r>
                </w:p>
              </w:tc>
              <w:tc>
                <w:tcPr>
                  <w:tcW w:w="406" w:type="pct"/>
                  <w:vAlign w:val="center"/>
                </w:tcPr>
                <w:p w14:paraId="2C5B0902">
                  <w:pPr>
                    <w:pStyle w:val="32"/>
                    <w:spacing w:before="48" w:after="48"/>
                    <w:rPr>
                      <w:szCs w:val="21"/>
                    </w:rPr>
                  </w:pPr>
                  <w:r>
                    <w:rPr>
                      <w:szCs w:val="21"/>
                    </w:rPr>
                    <w:t>75</w:t>
                  </w:r>
                </w:p>
              </w:tc>
              <w:tc>
                <w:tcPr>
                  <w:tcW w:w="472" w:type="pct"/>
                  <w:vAlign w:val="center"/>
                </w:tcPr>
                <w:p w14:paraId="22194F00">
                  <w:pPr>
                    <w:pStyle w:val="32"/>
                    <w:spacing w:before="48" w:after="48"/>
                    <w:rPr>
                      <w:szCs w:val="21"/>
                    </w:rPr>
                  </w:pPr>
                  <w:r>
                    <w:rPr>
                      <w:szCs w:val="21"/>
                    </w:rPr>
                    <w:t>连续</w:t>
                  </w:r>
                </w:p>
              </w:tc>
              <w:tc>
                <w:tcPr>
                  <w:tcW w:w="799" w:type="pct"/>
                  <w:vMerge w:val="continue"/>
                  <w:vAlign w:val="center"/>
                </w:tcPr>
                <w:p w14:paraId="1534E82B">
                  <w:pPr>
                    <w:pStyle w:val="32"/>
                    <w:spacing w:before="48" w:after="48"/>
                    <w:rPr>
                      <w:szCs w:val="21"/>
                    </w:rPr>
                  </w:pPr>
                </w:p>
              </w:tc>
              <w:tc>
                <w:tcPr>
                  <w:tcW w:w="745" w:type="pct"/>
                  <w:vAlign w:val="center"/>
                </w:tcPr>
                <w:p w14:paraId="60EF369F">
                  <w:pPr>
                    <w:pStyle w:val="32"/>
                    <w:spacing w:before="48" w:after="48"/>
                    <w:rPr>
                      <w:szCs w:val="21"/>
                    </w:rPr>
                  </w:pPr>
                  <w:r>
                    <w:rPr>
                      <w:szCs w:val="21"/>
                    </w:rPr>
                    <w:t>50</w:t>
                  </w:r>
                </w:p>
              </w:tc>
              <w:tc>
                <w:tcPr>
                  <w:tcW w:w="706" w:type="pct"/>
                  <w:vMerge w:val="continue"/>
                </w:tcPr>
                <w:p w14:paraId="63528540">
                  <w:pPr>
                    <w:pStyle w:val="32"/>
                    <w:spacing w:before="48" w:after="48"/>
                    <w:rPr>
                      <w:szCs w:val="21"/>
                    </w:rPr>
                  </w:pPr>
                </w:p>
              </w:tc>
              <w:tc>
                <w:tcPr>
                  <w:tcW w:w="546" w:type="pct"/>
                  <w:vMerge w:val="continue"/>
                  <w:vAlign w:val="center"/>
                </w:tcPr>
                <w:p w14:paraId="0DF46A43">
                  <w:pPr>
                    <w:pStyle w:val="32"/>
                    <w:spacing w:before="48" w:after="48"/>
                    <w:rPr>
                      <w:szCs w:val="21"/>
                    </w:rPr>
                  </w:pPr>
                </w:p>
              </w:tc>
            </w:tr>
            <w:tr w14:paraId="008ABFC7">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9" w:type="pct"/>
                  <w:vAlign w:val="center"/>
                </w:tcPr>
                <w:p w14:paraId="735BA470">
                  <w:pPr>
                    <w:pStyle w:val="32"/>
                    <w:spacing w:before="48" w:after="48"/>
                    <w:rPr>
                      <w:szCs w:val="21"/>
                    </w:rPr>
                  </w:pPr>
                  <w:r>
                    <w:rPr>
                      <w:szCs w:val="21"/>
                    </w:rPr>
                    <w:t>7</w:t>
                  </w:r>
                </w:p>
              </w:tc>
              <w:tc>
                <w:tcPr>
                  <w:tcW w:w="653" w:type="pct"/>
                </w:tcPr>
                <w:p w14:paraId="6E4B1F3B">
                  <w:pPr>
                    <w:spacing w:line="240" w:lineRule="auto"/>
                    <w:ind w:firstLine="0" w:firstLineChars="0"/>
                    <w:jc w:val="center"/>
                    <w:rPr>
                      <w:sz w:val="21"/>
                      <w:szCs w:val="21"/>
                    </w:rPr>
                  </w:pPr>
                  <w:r>
                    <w:rPr>
                      <w:sz w:val="21"/>
                      <w:szCs w:val="21"/>
                    </w:rPr>
                    <w:t>浆料输送泵</w:t>
                  </w:r>
                </w:p>
              </w:tc>
              <w:tc>
                <w:tcPr>
                  <w:tcW w:w="459" w:type="pct"/>
                  <w:vAlign w:val="center"/>
                </w:tcPr>
                <w:p w14:paraId="045D0414">
                  <w:pPr>
                    <w:spacing w:line="240" w:lineRule="auto"/>
                    <w:ind w:firstLine="0" w:firstLineChars="0"/>
                    <w:jc w:val="center"/>
                    <w:rPr>
                      <w:sz w:val="21"/>
                      <w:szCs w:val="21"/>
                    </w:rPr>
                  </w:pPr>
                  <w:r>
                    <w:rPr>
                      <w:sz w:val="21"/>
                      <w:szCs w:val="21"/>
                    </w:rPr>
                    <w:t>1</w:t>
                  </w:r>
                </w:p>
              </w:tc>
              <w:tc>
                <w:tcPr>
                  <w:tcW w:w="406" w:type="pct"/>
                  <w:vAlign w:val="center"/>
                </w:tcPr>
                <w:p w14:paraId="2544B7FA">
                  <w:pPr>
                    <w:pStyle w:val="32"/>
                    <w:spacing w:before="48" w:after="48"/>
                    <w:rPr>
                      <w:szCs w:val="21"/>
                    </w:rPr>
                  </w:pPr>
                  <w:r>
                    <w:rPr>
                      <w:szCs w:val="21"/>
                    </w:rPr>
                    <w:t>75</w:t>
                  </w:r>
                </w:p>
              </w:tc>
              <w:tc>
                <w:tcPr>
                  <w:tcW w:w="472" w:type="pct"/>
                  <w:vAlign w:val="center"/>
                </w:tcPr>
                <w:p w14:paraId="53CFE933">
                  <w:pPr>
                    <w:pStyle w:val="32"/>
                    <w:spacing w:before="48" w:after="48"/>
                    <w:rPr>
                      <w:szCs w:val="21"/>
                    </w:rPr>
                  </w:pPr>
                  <w:r>
                    <w:rPr>
                      <w:szCs w:val="21"/>
                    </w:rPr>
                    <w:t>连续</w:t>
                  </w:r>
                </w:p>
              </w:tc>
              <w:tc>
                <w:tcPr>
                  <w:tcW w:w="799" w:type="pct"/>
                  <w:vMerge w:val="continue"/>
                  <w:vAlign w:val="center"/>
                </w:tcPr>
                <w:p w14:paraId="11FFD5B5">
                  <w:pPr>
                    <w:pStyle w:val="32"/>
                    <w:spacing w:before="48" w:after="48"/>
                    <w:rPr>
                      <w:szCs w:val="21"/>
                    </w:rPr>
                  </w:pPr>
                </w:p>
              </w:tc>
              <w:tc>
                <w:tcPr>
                  <w:tcW w:w="745" w:type="pct"/>
                  <w:vAlign w:val="center"/>
                </w:tcPr>
                <w:p w14:paraId="16B4BBE2">
                  <w:pPr>
                    <w:pStyle w:val="32"/>
                    <w:spacing w:before="48" w:after="48"/>
                    <w:rPr>
                      <w:szCs w:val="21"/>
                    </w:rPr>
                  </w:pPr>
                  <w:r>
                    <w:rPr>
                      <w:szCs w:val="21"/>
                    </w:rPr>
                    <w:t>50</w:t>
                  </w:r>
                </w:p>
              </w:tc>
              <w:tc>
                <w:tcPr>
                  <w:tcW w:w="706" w:type="pct"/>
                  <w:vMerge w:val="continue"/>
                </w:tcPr>
                <w:p w14:paraId="29F71160">
                  <w:pPr>
                    <w:pStyle w:val="32"/>
                    <w:spacing w:before="48" w:after="48"/>
                    <w:rPr>
                      <w:szCs w:val="21"/>
                    </w:rPr>
                  </w:pPr>
                </w:p>
              </w:tc>
              <w:tc>
                <w:tcPr>
                  <w:tcW w:w="546" w:type="pct"/>
                  <w:vMerge w:val="continue"/>
                  <w:vAlign w:val="center"/>
                </w:tcPr>
                <w:p w14:paraId="3050EECC">
                  <w:pPr>
                    <w:pStyle w:val="32"/>
                    <w:spacing w:before="48" w:after="48"/>
                    <w:rPr>
                      <w:szCs w:val="21"/>
                    </w:rPr>
                  </w:pPr>
                </w:p>
              </w:tc>
            </w:tr>
            <w:tr w14:paraId="7C3E4A67">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9" w:type="pct"/>
                  <w:vAlign w:val="center"/>
                </w:tcPr>
                <w:p w14:paraId="16F09FEA">
                  <w:pPr>
                    <w:pStyle w:val="32"/>
                    <w:spacing w:before="48" w:after="48"/>
                    <w:rPr>
                      <w:szCs w:val="21"/>
                    </w:rPr>
                  </w:pPr>
                  <w:r>
                    <w:rPr>
                      <w:szCs w:val="21"/>
                    </w:rPr>
                    <w:t>8</w:t>
                  </w:r>
                </w:p>
              </w:tc>
              <w:tc>
                <w:tcPr>
                  <w:tcW w:w="653" w:type="pct"/>
                </w:tcPr>
                <w:p w14:paraId="250C6299">
                  <w:pPr>
                    <w:spacing w:line="240" w:lineRule="auto"/>
                    <w:ind w:firstLine="0" w:firstLineChars="0"/>
                    <w:jc w:val="center"/>
                    <w:rPr>
                      <w:sz w:val="21"/>
                      <w:szCs w:val="21"/>
                    </w:rPr>
                  </w:pPr>
                  <w:r>
                    <w:rPr>
                      <w:sz w:val="21"/>
                      <w:szCs w:val="21"/>
                    </w:rPr>
                    <w:t>软化水装置</w:t>
                  </w:r>
                </w:p>
              </w:tc>
              <w:tc>
                <w:tcPr>
                  <w:tcW w:w="459" w:type="pct"/>
                  <w:vAlign w:val="center"/>
                </w:tcPr>
                <w:p w14:paraId="46352A0B">
                  <w:pPr>
                    <w:spacing w:line="240" w:lineRule="auto"/>
                    <w:ind w:firstLine="0" w:firstLineChars="0"/>
                    <w:jc w:val="center"/>
                    <w:rPr>
                      <w:sz w:val="21"/>
                      <w:szCs w:val="21"/>
                    </w:rPr>
                  </w:pPr>
                  <w:r>
                    <w:rPr>
                      <w:sz w:val="21"/>
                      <w:szCs w:val="21"/>
                    </w:rPr>
                    <w:t>1</w:t>
                  </w:r>
                </w:p>
              </w:tc>
              <w:tc>
                <w:tcPr>
                  <w:tcW w:w="406" w:type="pct"/>
                  <w:vAlign w:val="center"/>
                </w:tcPr>
                <w:p w14:paraId="550B9B91">
                  <w:pPr>
                    <w:pStyle w:val="32"/>
                    <w:spacing w:before="48" w:after="48"/>
                    <w:rPr>
                      <w:szCs w:val="21"/>
                    </w:rPr>
                  </w:pPr>
                  <w:r>
                    <w:rPr>
                      <w:szCs w:val="21"/>
                    </w:rPr>
                    <w:t>75</w:t>
                  </w:r>
                </w:p>
              </w:tc>
              <w:tc>
                <w:tcPr>
                  <w:tcW w:w="472" w:type="pct"/>
                  <w:vAlign w:val="center"/>
                </w:tcPr>
                <w:p w14:paraId="26140FBC">
                  <w:pPr>
                    <w:pStyle w:val="32"/>
                    <w:spacing w:before="48" w:after="48"/>
                    <w:rPr>
                      <w:szCs w:val="21"/>
                    </w:rPr>
                  </w:pPr>
                  <w:r>
                    <w:rPr>
                      <w:szCs w:val="21"/>
                    </w:rPr>
                    <w:t>连续</w:t>
                  </w:r>
                </w:p>
              </w:tc>
              <w:tc>
                <w:tcPr>
                  <w:tcW w:w="799" w:type="pct"/>
                  <w:vMerge w:val="continue"/>
                  <w:vAlign w:val="center"/>
                </w:tcPr>
                <w:p w14:paraId="0F50DC42">
                  <w:pPr>
                    <w:pStyle w:val="32"/>
                    <w:spacing w:before="48" w:after="48"/>
                    <w:rPr>
                      <w:szCs w:val="21"/>
                    </w:rPr>
                  </w:pPr>
                </w:p>
              </w:tc>
              <w:tc>
                <w:tcPr>
                  <w:tcW w:w="745" w:type="pct"/>
                  <w:vAlign w:val="center"/>
                </w:tcPr>
                <w:p w14:paraId="36D4CAD9">
                  <w:pPr>
                    <w:pStyle w:val="32"/>
                    <w:spacing w:before="48" w:after="48"/>
                    <w:rPr>
                      <w:szCs w:val="21"/>
                    </w:rPr>
                  </w:pPr>
                  <w:r>
                    <w:rPr>
                      <w:szCs w:val="21"/>
                    </w:rPr>
                    <w:t>50</w:t>
                  </w:r>
                </w:p>
              </w:tc>
              <w:tc>
                <w:tcPr>
                  <w:tcW w:w="706" w:type="pct"/>
                  <w:vMerge w:val="continue"/>
                </w:tcPr>
                <w:p w14:paraId="544C747F">
                  <w:pPr>
                    <w:pStyle w:val="32"/>
                    <w:spacing w:before="48" w:after="48"/>
                    <w:rPr>
                      <w:szCs w:val="21"/>
                    </w:rPr>
                  </w:pPr>
                </w:p>
              </w:tc>
              <w:tc>
                <w:tcPr>
                  <w:tcW w:w="546" w:type="pct"/>
                  <w:vMerge w:val="continue"/>
                  <w:vAlign w:val="center"/>
                </w:tcPr>
                <w:p w14:paraId="0A7CDB61">
                  <w:pPr>
                    <w:pStyle w:val="32"/>
                    <w:spacing w:before="48" w:after="48"/>
                    <w:rPr>
                      <w:szCs w:val="21"/>
                    </w:rPr>
                  </w:pPr>
                </w:p>
              </w:tc>
            </w:tr>
            <w:tr w14:paraId="30A963C9">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9" w:type="pct"/>
                  <w:vAlign w:val="center"/>
                </w:tcPr>
                <w:p w14:paraId="6B4DE211">
                  <w:pPr>
                    <w:pStyle w:val="32"/>
                    <w:spacing w:before="48" w:after="48"/>
                    <w:rPr>
                      <w:szCs w:val="21"/>
                    </w:rPr>
                  </w:pPr>
                  <w:r>
                    <w:rPr>
                      <w:szCs w:val="21"/>
                    </w:rPr>
                    <w:t>9</w:t>
                  </w:r>
                </w:p>
              </w:tc>
              <w:tc>
                <w:tcPr>
                  <w:tcW w:w="653" w:type="pct"/>
                </w:tcPr>
                <w:p w14:paraId="1FA6FB4B">
                  <w:pPr>
                    <w:spacing w:line="240" w:lineRule="auto"/>
                    <w:ind w:firstLine="0" w:firstLineChars="0"/>
                    <w:jc w:val="center"/>
                    <w:rPr>
                      <w:sz w:val="21"/>
                      <w:szCs w:val="21"/>
                    </w:rPr>
                  </w:pPr>
                  <w:r>
                    <w:rPr>
                      <w:sz w:val="21"/>
                      <w:szCs w:val="21"/>
                    </w:rPr>
                    <w:t>空压机</w:t>
                  </w:r>
                </w:p>
              </w:tc>
              <w:tc>
                <w:tcPr>
                  <w:tcW w:w="459" w:type="pct"/>
                  <w:vAlign w:val="center"/>
                </w:tcPr>
                <w:p w14:paraId="6444D7AD">
                  <w:pPr>
                    <w:spacing w:line="240" w:lineRule="auto"/>
                    <w:ind w:firstLine="0" w:firstLineChars="0"/>
                    <w:jc w:val="center"/>
                    <w:rPr>
                      <w:sz w:val="21"/>
                      <w:szCs w:val="21"/>
                    </w:rPr>
                  </w:pPr>
                  <w:r>
                    <w:rPr>
                      <w:sz w:val="21"/>
                      <w:szCs w:val="21"/>
                    </w:rPr>
                    <w:t>1</w:t>
                  </w:r>
                </w:p>
              </w:tc>
              <w:tc>
                <w:tcPr>
                  <w:tcW w:w="406" w:type="pct"/>
                  <w:vAlign w:val="center"/>
                </w:tcPr>
                <w:p w14:paraId="224B67E8">
                  <w:pPr>
                    <w:pStyle w:val="32"/>
                    <w:spacing w:before="48" w:after="48"/>
                    <w:rPr>
                      <w:szCs w:val="21"/>
                    </w:rPr>
                  </w:pPr>
                  <w:r>
                    <w:rPr>
                      <w:szCs w:val="21"/>
                    </w:rPr>
                    <w:t>75</w:t>
                  </w:r>
                </w:p>
              </w:tc>
              <w:tc>
                <w:tcPr>
                  <w:tcW w:w="472" w:type="pct"/>
                  <w:vAlign w:val="center"/>
                </w:tcPr>
                <w:p w14:paraId="0645F583">
                  <w:pPr>
                    <w:pStyle w:val="32"/>
                    <w:spacing w:before="48" w:after="48"/>
                    <w:rPr>
                      <w:szCs w:val="21"/>
                    </w:rPr>
                  </w:pPr>
                  <w:r>
                    <w:rPr>
                      <w:szCs w:val="21"/>
                    </w:rPr>
                    <w:t>连续</w:t>
                  </w:r>
                </w:p>
              </w:tc>
              <w:tc>
                <w:tcPr>
                  <w:tcW w:w="799" w:type="pct"/>
                  <w:vMerge w:val="continue"/>
                  <w:vAlign w:val="center"/>
                </w:tcPr>
                <w:p w14:paraId="63BA0975">
                  <w:pPr>
                    <w:pStyle w:val="32"/>
                    <w:spacing w:before="48" w:after="48"/>
                    <w:rPr>
                      <w:szCs w:val="21"/>
                    </w:rPr>
                  </w:pPr>
                </w:p>
              </w:tc>
              <w:tc>
                <w:tcPr>
                  <w:tcW w:w="745" w:type="pct"/>
                  <w:vAlign w:val="center"/>
                </w:tcPr>
                <w:p w14:paraId="6EA43B9A">
                  <w:pPr>
                    <w:pStyle w:val="32"/>
                    <w:spacing w:before="48" w:after="48"/>
                    <w:rPr>
                      <w:szCs w:val="21"/>
                    </w:rPr>
                  </w:pPr>
                  <w:r>
                    <w:rPr>
                      <w:szCs w:val="21"/>
                    </w:rPr>
                    <w:t>50</w:t>
                  </w:r>
                </w:p>
              </w:tc>
              <w:tc>
                <w:tcPr>
                  <w:tcW w:w="706" w:type="pct"/>
                  <w:vMerge w:val="continue"/>
                </w:tcPr>
                <w:p w14:paraId="5744C525">
                  <w:pPr>
                    <w:pStyle w:val="32"/>
                    <w:spacing w:before="48" w:after="48"/>
                    <w:rPr>
                      <w:szCs w:val="21"/>
                    </w:rPr>
                  </w:pPr>
                </w:p>
              </w:tc>
              <w:tc>
                <w:tcPr>
                  <w:tcW w:w="546" w:type="pct"/>
                  <w:vMerge w:val="continue"/>
                  <w:vAlign w:val="center"/>
                </w:tcPr>
                <w:p w14:paraId="76E22018">
                  <w:pPr>
                    <w:pStyle w:val="32"/>
                    <w:spacing w:before="48" w:after="48"/>
                    <w:rPr>
                      <w:szCs w:val="21"/>
                    </w:rPr>
                  </w:pPr>
                </w:p>
              </w:tc>
            </w:tr>
            <w:tr w14:paraId="1C11265B">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9" w:type="pct"/>
                  <w:vAlign w:val="center"/>
                </w:tcPr>
                <w:p w14:paraId="1BEF613D">
                  <w:pPr>
                    <w:pStyle w:val="32"/>
                    <w:spacing w:before="48" w:after="48"/>
                    <w:rPr>
                      <w:szCs w:val="21"/>
                    </w:rPr>
                  </w:pPr>
                  <w:r>
                    <w:rPr>
                      <w:szCs w:val="21"/>
                    </w:rPr>
                    <w:t>10</w:t>
                  </w:r>
                </w:p>
              </w:tc>
              <w:tc>
                <w:tcPr>
                  <w:tcW w:w="653" w:type="pct"/>
                </w:tcPr>
                <w:p w14:paraId="47B59505">
                  <w:pPr>
                    <w:spacing w:line="240" w:lineRule="auto"/>
                    <w:ind w:firstLine="0" w:firstLineChars="0"/>
                    <w:jc w:val="center"/>
                    <w:rPr>
                      <w:sz w:val="21"/>
                      <w:szCs w:val="21"/>
                    </w:rPr>
                  </w:pPr>
                  <w:r>
                    <w:rPr>
                      <w:sz w:val="21"/>
                      <w:szCs w:val="21"/>
                    </w:rPr>
                    <w:t>起重臂</w:t>
                  </w:r>
                </w:p>
              </w:tc>
              <w:tc>
                <w:tcPr>
                  <w:tcW w:w="459" w:type="pct"/>
                  <w:vAlign w:val="center"/>
                </w:tcPr>
                <w:p w14:paraId="672FB1FA">
                  <w:pPr>
                    <w:spacing w:line="240" w:lineRule="auto"/>
                    <w:ind w:firstLine="0" w:firstLineChars="0"/>
                    <w:jc w:val="center"/>
                    <w:rPr>
                      <w:sz w:val="21"/>
                      <w:szCs w:val="21"/>
                    </w:rPr>
                  </w:pPr>
                  <w:r>
                    <w:rPr>
                      <w:sz w:val="21"/>
                      <w:szCs w:val="21"/>
                    </w:rPr>
                    <w:t>1</w:t>
                  </w:r>
                </w:p>
              </w:tc>
              <w:tc>
                <w:tcPr>
                  <w:tcW w:w="406" w:type="pct"/>
                  <w:vAlign w:val="center"/>
                </w:tcPr>
                <w:p w14:paraId="0C2FF6FF">
                  <w:pPr>
                    <w:pStyle w:val="32"/>
                    <w:spacing w:before="48" w:after="48"/>
                    <w:rPr>
                      <w:szCs w:val="21"/>
                    </w:rPr>
                  </w:pPr>
                  <w:r>
                    <w:rPr>
                      <w:szCs w:val="21"/>
                    </w:rPr>
                    <w:t>75</w:t>
                  </w:r>
                </w:p>
              </w:tc>
              <w:tc>
                <w:tcPr>
                  <w:tcW w:w="472" w:type="pct"/>
                  <w:vAlign w:val="center"/>
                </w:tcPr>
                <w:p w14:paraId="5950153E">
                  <w:pPr>
                    <w:pStyle w:val="32"/>
                    <w:spacing w:before="48" w:after="48"/>
                    <w:rPr>
                      <w:szCs w:val="21"/>
                    </w:rPr>
                  </w:pPr>
                  <w:r>
                    <w:rPr>
                      <w:szCs w:val="21"/>
                    </w:rPr>
                    <w:t>连续</w:t>
                  </w:r>
                </w:p>
              </w:tc>
              <w:tc>
                <w:tcPr>
                  <w:tcW w:w="799" w:type="pct"/>
                  <w:vMerge w:val="continue"/>
                  <w:vAlign w:val="center"/>
                </w:tcPr>
                <w:p w14:paraId="4EF5DA14">
                  <w:pPr>
                    <w:pStyle w:val="32"/>
                    <w:spacing w:before="48" w:after="48"/>
                    <w:rPr>
                      <w:szCs w:val="21"/>
                    </w:rPr>
                  </w:pPr>
                </w:p>
              </w:tc>
              <w:tc>
                <w:tcPr>
                  <w:tcW w:w="745" w:type="pct"/>
                  <w:vAlign w:val="center"/>
                </w:tcPr>
                <w:p w14:paraId="6B209F6E">
                  <w:pPr>
                    <w:pStyle w:val="32"/>
                    <w:spacing w:before="48" w:after="48"/>
                    <w:rPr>
                      <w:szCs w:val="21"/>
                    </w:rPr>
                  </w:pPr>
                  <w:r>
                    <w:rPr>
                      <w:szCs w:val="21"/>
                    </w:rPr>
                    <w:t>50</w:t>
                  </w:r>
                </w:p>
              </w:tc>
              <w:tc>
                <w:tcPr>
                  <w:tcW w:w="706" w:type="pct"/>
                  <w:vMerge w:val="continue"/>
                </w:tcPr>
                <w:p w14:paraId="0D58051A">
                  <w:pPr>
                    <w:pStyle w:val="32"/>
                    <w:spacing w:before="48" w:after="48"/>
                    <w:rPr>
                      <w:szCs w:val="21"/>
                    </w:rPr>
                  </w:pPr>
                </w:p>
              </w:tc>
              <w:tc>
                <w:tcPr>
                  <w:tcW w:w="546" w:type="pct"/>
                  <w:vMerge w:val="continue"/>
                  <w:vAlign w:val="center"/>
                </w:tcPr>
                <w:p w14:paraId="60BD7ABE">
                  <w:pPr>
                    <w:pStyle w:val="32"/>
                    <w:spacing w:before="48" w:after="48"/>
                    <w:rPr>
                      <w:szCs w:val="21"/>
                    </w:rPr>
                  </w:pPr>
                </w:p>
              </w:tc>
            </w:tr>
          </w:tbl>
          <w:p w14:paraId="6CDF2BCC">
            <w:pPr>
              <w:pStyle w:val="6"/>
              <w:numPr>
                <w:ilvl w:val="0"/>
                <w:numId w:val="4"/>
              </w:numPr>
              <w:spacing w:before="120" w:after="120"/>
              <w:ind w:firstLine="482"/>
            </w:pPr>
            <w:r>
              <w:t>厂界达标情况分析</w:t>
            </w:r>
          </w:p>
          <w:p w14:paraId="4217F6C5">
            <w:pPr>
              <w:ind w:firstLine="480"/>
            </w:pPr>
            <w:r>
              <w:t>本项目运营期主要噪声源为生产设备运行，其噪声源强为75~85dB(A)。根据项目主要声源源强，计算厂界噪声影响，预测模式如下：</w:t>
            </w:r>
          </w:p>
          <w:p w14:paraId="69063881">
            <w:pPr>
              <w:ind w:firstLine="480"/>
            </w:pPr>
            <w:r>
              <w:t>噪声衰减公式：</w:t>
            </w:r>
          </w:p>
          <w:p w14:paraId="7A254447">
            <w:pPr>
              <w:ind w:firstLine="480"/>
            </w:pPr>
            <w:r>
              <w:drawing>
                <wp:inline distT="0" distB="0" distL="114300" distR="114300">
                  <wp:extent cx="2262505" cy="547370"/>
                  <wp:effectExtent l="0" t="0" r="8255" b="127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3" cstate="print"/>
                          <a:stretch>
                            <a:fillRect/>
                          </a:stretch>
                        </pic:blipFill>
                        <pic:spPr>
                          <a:xfrm>
                            <a:off x="0" y="0"/>
                            <a:ext cx="2262505" cy="547370"/>
                          </a:xfrm>
                          <a:prstGeom prst="rect">
                            <a:avLst/>
                          </a:prstGeom>
                          <a:noFill/>
                          <a:ln>
                            <a:noFill/>
                          </a:ln>
                        </pic:spPr>
                      </pic:pic>
                    </a:graphicData>
                  </a:graphic>
                </wp:inline>
              </w:drawing>
            </w:r>
          </w:p>
          <w:p w14:paraId="6E4A71EB">
            <w:pPr>
              <w:ind w:firstLine="480"/>
            </w:pPr>
            <w:r>
              <w:t>其中：L(r)—距声源r处等效A声级；</w:t>
            </w:r>
          </w:p>
          <w:p w14:paraId="44BCE57F">
            <w:pPr>
              <w:ind w:firstLine="480"/>
            </w:pPr>
            <w:r>
              <w:t>L(r0)—r0处等效A声级；</w:t>
            </w:r>
          </w:p>
          <w:p w14:paraId="2BA27A5A">
            <w:pPr>
              <w:ind w:firstLine="480"/>
            </w:pPr>
            <w:r>
              <w:t>r—声源距受声点距离；</w:t>
            </w:r>
          </w:p>
          <w:p w14:paraId="1D6816E7">
            <w:pPr>
              <w:ind w:firstLine="480"/>
            </w:pPr>
            <w:r>
              <w:t>Ae—衰减量，dB(A)。</w:t>
            </w:r>
          </w:p>
          <w:p w14:paraId="397D5F66">
            <w:pPr>
              <w:ind w:firstLine="480"/>
            </w:pPr>
            <w:r>
              <w:t>噪声叠加公式：</w:t>
            </w:r>
          </w:p>
          <w:p w14:paraId="635562CF">
            <w:pPr>
              <w:ind w:firstLine="480"/>
            </w:pPr>
            <w:r>
              <w:drawing>
                <wp:inline distT="0" distB="0" distL="114300" distR="114300">
                  <wp:extent cx="1961515" cy="589280"/>
                  <wp:effectExtent l="0" t="0" r="4445" b="508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24" cstate="print"/>
                          <a:srcRect l="10592"/>
                          <a:stretch>
                            <a:fillRect/>
                          </a:stretch>
                        </pic:blipFill>
                        <pic:spPr>
                          <a:xfrm>
                            <a:off x="0" y="0"/>
                            <a:ext cx="1961515" cy="589280"/>
                          </a:xfrm>
                          <a:prstGeom prst="rect">
                            <a:avLst/>
                          </a:prstGeom>
                          <a:noFill/>
                          <a:ln>
                            <a:noFill/>
                          </a:ln>
                        </pic:spPr>
                      </pic:pic>
                    </a:graphicData>
                  </a:graphic>
                </wp:inline>
              </w:drawing>
            </w:r>
          </w:p>
          <w:p w14:paraId="09129DBA">
            <w:pPr>
              <w:ind w:firstLine="480"/>
            </w:pPr>
            <w:r>
              <w:t>其中：Li——室内i声源声压级，dB(A)；</w:t>
            </w:r>
          </w:p>
          <w:p w14:paraId="49887E9E">
            <w:pPr>
              <w:ind w:firstLine="480"/>
            </w:pPr>
            <w:r>
              <w:t>n——室内声源总数。</w:t>
            </w:r>
          </w:p>
          <w:p w14:paraId="4C779C4D">
            <w:pPr>
              <w:ind w:firstLine="480"/>
            </w:pPr>
            <w:r>
              <w:t>该项目运营后，主要噪声源对厂界噪声的预测结果见下表。</w:t>
            </w:r>
          </w:p>
          <w:p w14:paraId="13426CC2">
            <w:pPr>
              <w:pStyle w:val="33"/>
              <w:spacing w:beforeLines="0"/>
              <w:rPr>
                <w:rFonts w:hint="default"/>
              </w:rPr>
            </w:pPr>
            <w:r>
              <w:rPr>
                <w:rFonts w:hint="default"/>
              </w:rPr>
              <w:t>表27 厂界达标预测</w:t>
            </w:r>
          </w:p>
          <w:tbl>
            <w:tblPr>
              <w:tblStyle w:val="24"/>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740"/>
              <w:gridCol w:w="1578"/>
              <w:gridCol w:w="1750"/>
              <w:gridCol w:w="1535"/>
            </w:tblGrid>
            <w:tr w14:paraId="7999301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29" w:type="pct"/>
                  <w:vMerge w:val="restart"/>
                  <w:vAlign w:val="center"/>
                </w:tcPr>
                <w:p w14:paraId="0D12C171">
                  <w:pPr>
                    <w:pStyle w:val="32"/>
                    <w:spacing w:before="48" w:after="48"/>
                    <w:rPr>
                      <w:szCs w:val="21"/>
                    </w:rPr>
                  </w:pPr>
                  <w:r>
                    <w:rPr>
                      <w:szCs w:val="21"/>
                    </w:rPr>
                    <w:t>预测点位</w:t>
                  </w:r>
                </w:p>
              </w:tc>
              <w:tc>
                <w:tcPr>
                  <w:tcW w:w="2045" w:type="pct"/>
                  <w:gridSpan w:val="2"/>
                  <w:vAlign w:val="center"/>
                </w:tcPr>
                <w:p w14:paraId="4A9613FC">
                  <w:pPr>
                    <w:pStyle w:val="32"/>
                    <w:spacing w:before="48" w:after="48"/>
                    <w:rPr>
                      <w:szCs w:val="21"/>
                    </w:rPr>
                  </w:pPr>
                  <w:r>
                    <w:rPr>
                      <w:szCs w:val="21"/>
                    </w:rPr>
                    <w:t>昼间</w:t>
                  </w:r>
                </w:p>
              </w:tc>
              <w:tc>
                <w:tcPr>
                  <w:tcW w:w="2025" w:type="pct"/>
                  <w:gridSpan w:val="2"/>
                  <w:vAlign w:val="center"/>
                </w:tcPr>
                <w:p w14:paraId="21A235E7">
                  <w:pPr>
                    <w:pStyle w:val="32"/>
                    <w:spacing w:before="48" w:after="48"/>
                    <w:rPr>
                      <w:szCs w:val="21"/>
                    </w:rPr>
                  </w:pPr>
                  <w:r>
                    <w:rPr>
                      <w:szCs w:val="21"/>
                    </w:rPr>
                    <w:t>夜间</w:t>
                  </w:r>
                </w:p>
              </w:tc>
            </w:tr>
            <w:tr w14:paraId="016D13C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29" w:type="pct"/>
                  <w:vMerge w:val="continue"/>
                  <w:vAlign w:val="center"/>
                </w:tcPr>
                <w:p w14:paraId="75DDC78D">
                  <w:pPr>
                    <w:pStyle w:val="32"/>
                    <w:spacing w:before="48" w:after="48"/>
                    <w:rPr>
                      <w:szCs w:val="21"/>
                    </w:rPr>
                  </w:pPr>
                </w:p>
              </w:tc>
              <w:tc>
                <w:tcPr>
                  <w:tcW w:w="1072" w:type="pct"/>
                  <w:vAlign w:val="center"/>
                </w:tcPr>
                <w:p w14:paraId="2B165CFD">
                  <w:pPr>
                    <w:pStyle w:val="32"/>
                    <w:spacing w:before="48" w:after="48"/>
                    <w:rPr>
                      <w:szCs w:val="21"/>
                    </w:rPr>
                  </w:pPr>
                  <w:r>
                    <w:rPr>
                      <w:szCs w:val="21"/>
                    </w:rPr>
                    <w:t>贡献值</w:t>
                  </w:r>
                </w:p>
              </w:tc>
              <w:tc>
                <w:tcPr>
                  <w:tcW w:w="972" w:type="pct"/>
                  <w:vAlign w:val="center"/>
                </w:tcPr>
                <w:p w14:paraId="61288958">
                  <w:pPr>
                    <w:pStyle w:val="32"/>
                    <w:spacing w:before="48" w:after="48"/>
                    <w:rPr>
                      <w:szCs w:val="21"/>
                    </w:rPr>
                  </w:pPr>
                  <w:r>
                    <w:rPr>
                      <w:szCs w:val="21"/>
                    </w:rPr>
                    <w:t>标准</w:t>
                  </w:r>
                </w:p>
              </w:tc>
              <w:tc>
                <w:tcPr>
                  <w:tcW w:w="1079" w:type="pct"/>
                  <w:vAlign w:val="center"/>
                </w:tcPr>
                <w:p w14:paraId="6F3E7D4D">
                  <w:pPr>
                    <w:pStyle w:val="32"/>
                    <w:spacing w:before="48" w:after="48"/>
                    <w:rPr>
                      <w:szCs w:val="21"/>
                    </w:rPr>
                  </w:pPr>
                  <w:r>
                    <w:rPr>
                      <w:szCs w:val="21"/>
                    </w:rPr>
                    <w:t>贡献值</w:t>
                  </w:r>
                </w:p>
              </w:tc>
              <w:tc>
                <w:tcPr>
                  <w:tcW w:w="945" w:type="pct"/>
                  <w:vAlign w:val="center"/>
                </w:tcPr>
                <w:p w14:paraId="35DA0826">
                  <w:pPr>
                    <w:pStyle w:val="32"/>
                    <w:spacing w:before="48" w:after="48"/>
                    <w:rPr>
                      <w:szCs w:val="21"/>
                    </w:rPr>
                  </w:pPr>
                  <w:r>
                    <w:rPr>
                      <w:szCs w:val="21"/>
                    </w:rPr>
                    <w:t>标准</w:t>
                  </w:r>
                </w:p>
              </w:tc>
            </w:tr>
            <w:tr w14:paraId="039FEE2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29" w:type="pct"/>
                  <w:vAlign w:val="center"/>
                </w:tcPr>
                <w:p w14:paraId="2A90BCB6">
                  <w:pPr>
                    <w:pStyle w:val="32"/>
                    <w:spacing w:before="48" w:after="48"/>
                    <w:rPr>
                      <w:szCs w:val="21"/>
                    </w:rPr>
                  </w:pPr>
                  <w:r>
                    <w:rPr>
                      <w:szCs w:val="21"/>
                    </w:rPr>
                    <w:t>东厂界</w:t>
                  </w:r>
                </w:p>
              </w:tc>
              <w:tc>
                <w:tcPr>
                  <w:tcW w:w="1072" w:type="pct"/>
                  <w:vAlign w:val="center"/>
                </w:tcPr>
                <w:p w14:paraId="2944C5A7">
                  <w:pPr>
                    <w:pStyle w:val="32"/>
                    <w:spacing w:before="48" w:after="48"/>
                    <w:rPr>
                      <w:szCs w:val="21"/>
                    </w:rPr>
                  </w:pPr>
                  <w:r>
                    <w:rPr>
                      <w:szCs w:val="21"/>
                    </w:rPr>
                    <w:t>38.1</w:t>
                  </w:r>
                </w:p>
              </w:tc>
              <w:tc>
                <w:tcPr>
                  <w:tcW w:w="972" w:type="pct"/>
                  <w:vMerge w:val="restart"/>
                  <w:vAlign w:val="center"/>
                </w:tcPr>
                <w:p w14:paraId="2C8D1573">
                  <w:pPr>
                    <w:pStyle w:val="32"/>
                    <w:spacing w:before="48" w:after="48"/>
                    <w:rPr>
                      <w:szCs w:val="21"/>
                    </w:rPr>
                  </w:pPr>
                  <w:r>
                    <w:rPr>
                      <w:szCs w:val="21"/>
                    </w:rPr>
                    <w:t>65</w:t>
                  </w:r>
                </w:p>
              </w:tc>
              <w:tc>
                <w:tcPr>
                  <w:tcW w:w="1869" w:type="dxa"/>
                  <w:vAlign w:val="center"/>
                </w:tcPr>
                <w:p w14:paraId="1F864E17">
                  <w:pPr>
                    <w:pStyle w:val="32"/>
                    <w:spacing w:before="48" w:after="48"/>
                    <w:rPr>
                      <w:szCs w:val="21"/>
                    </w:rPr>
                  </w:pPr>
                  <w:r>
                    <w:rPr>
                      <w:szCs w:val="21"/>
                    </w:rPr>
                    <w:t>38.1</w:t>
                  </w:r>
                </w:p>
              </w:tc>
              <w:tc>
                <w:tcPr>
                  <w:tcW w:w="945" w:type="pct"/>
                  <w:vMerge w:val="restart"/>
                  <w:vAlign w:val="center"/>
                </w:tcPr>
                <w:p w14:paraId="3A27D238">
                  <w:pPr>
                    <w:pStyle w:val="32"/>
                    <w:spacing w:before="48" w:after="48"/>
                    <w:rPr>
                      <w:szCs w:val="21"/>
                    </w:rPr>
                  </w:pPr>
                  <w:r>
                    <w:rPr>
                      <w:szCs w:val="21"/>
                    </w:rPr>
                    <w:t>55</w:t>
                  </w:r>
                </w:p>
              </w:tc>
            </w:tr>
            <w:tr w14:paraId="0DBAB99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29" w:type="pct"/>
                  <w:vAlign w:val="center"/>
                </w:tcPr>
                <w:p w14:paraId="10107C03">
                  <w:pPr>
                    <w:pStyle w:val="32"/>
                    <w:spacing w:before="48" w:after="48"/>
                    <w:rPr>
                      <w:szCs w:val="21"/>
                    </w:rPr>
                  </w:pPr>
                  <w:r>
                    <w:rPr>
                      <w:szCs w:val="21"/>
                    </w:rPr>
                    <w:t>南厂界</w:t>
                  </w:r>
                </w:p>
              </w:tc>
              <w:tc>
                <w:tcPr>
                  <w:tcW w:w="1072" w:type="pct"/>
                  <w:vAlign w:val="center"/>
                </w:tcPr>
                <w:p w14:paraId="0AFD61C8">
                  <w:pPr>
                    <w:pStyle w:val="32"/>
                    <w:spacing w:before="48" w:after="48"/>
                    <w:rPr>
                      <w:szCs w:val="21"/>
                    </w:rPr>
                  </w:pPr>
                  <w:r>
                    <w:rPr>
                      <w:szCs w:val="21"/>
                    </w:rPr>
                    <w:t>32.6</w:t>
                  </w:r>
                </w:p>
              </w:tc>
              <w:tc>
                <w:tcPr>
                  <w:tcW w:w="972" w:type="pct"/>
                  <w:vMerge w:val="continue"/>
                  <w:vAlign w:val="center"/>
                </w:tcPr>
                <w:p w14:paraId="4AF41B0F">
                  <w:pPr>
                    <w:pStyle w:val="32"/>
                    <w:spacing w:before="48" w:after="48"/>
                    <w:rPr>
                      <w:szCs w:val="21"/>
                    </w:rPr>
                  </w:pPr>
                </w:p>
              </w:tc>
              <w:tc>
                <w:tcPr>
                  <w:tcW w:w="1869" w:type="dxa"/>
                  <w:vAlign w:val="center"/>
                </w:tcPr>
                <w:p w14:paraId="6154C75E">
                  <w:pPr>
                    <w:pStyle w:val="32"/>
                    <w:spacing w:before="48" w:after="48"/>
                    <w:rPr>
                      <w:szCs w:val="21"/>
                    </w:rPr>
                  </w:pPr>
                  <w:r>
                    <w:rPr>
                      <w:szCs w:val="21"/>
                    </w:rPr>
                    <w:t>32.6</w:t>
                  </w:r>
                </w:p>
              </w:tc>
              <w:tc>
                <w:tcPr>
                  <w:tcW w:w="945" w:type="pct"/>
                  <w:vMerge w:val="continue"/>
                  <w:vAlign w:val="center"/>
                </w:tcPr>
                <w:p w14:paraId="65F85E90">
                  <w:pPr>
                    <w:pStyle w:val="32"/>
                    <w:spacing w:before="48" w:after="48"/>
                    <w:rPr>
                      <w:szCs w:val="21"/>
                    </w:rPr>
                  </w:pPr>
                </w:p>
              </w:tc>
            </w:tr>
            <w:tr w14:paraId="3383B4D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929" w:type="pct"/>
                  <w:vAlign w:val="center"/>
                </w:tcPr>
                <w:p w14:paraId="012EF9BA">
                  <w:pPr>
                    <w:pStyle w:val="32"/>
                    <w:spacing w:before="48" w:after="48"/>
                    <w:rPr>
                      <w:szCs w:val="21"/>
                    </w:rPr>
                  </w:pPr>
                  <w:r>
                    <w:rPr>
                      <w:szCs w:val="21"/>
                    </w:rPr>
                    <w:t>西厂界</w:t>
                  </w:r>
                </w:p>
              </w:tc>
              <w:tc>
                <w:tcPr>
                  <w:tcW w:w="1072" w:type="pct"/>
                  <w:vAlign w:val="center"/>
                </w:tcPr>
                <w:p w14:paraId="42D42B62">
                  <w:pPr>
                    <w:pStyle w:val="32"/>
                    <w:spacing w:before="48" w:after="48"/>
                    <w:rPr>
                      <w:szCs w:val="21"/>
                    </w:rPr>
                  </w:pPr>
                  <w:r>
                    <w:rPr>
                      <w:szCs w:val="21"/>
                    </w:rPr>
                    <w:t>25.3</w:t>
                  </w:r>
                </w:p>
              </w:tc>
              <w:tc>
                <w:tcPr>
                  <w:tcW w:w="972" w:type="pct"/>
                  <w:vMerge w:val="continue"/>
                  <w:vAlign w:val="center"/>
                </w:tcPr>
                <w:p w14:paraId="506E2E7E">
                  <w:pPr>
                    <w:pStyle w:val="32"/>
                    <w:spacing w:before="48" w:after="48"/>
                    <w:rPr>
                      <w:szCs w:val="21"/>
                    </w:rPr>
                  </w:pPr>
                </w:p>
              </w:tc>
              <w:tc>
                <w:tcPr>
                  <w:tcW w:w="1869" w:type="dxa"/>
                  <w:vAlign w:val="center"/>
                </w:tcPr>
                <w:p w14:paraId="761A71EC">
                  <w:pPr>
                    <w:pStyle w:val="32"/>
                    <w:spacing w:before="48" w:after="48"/>
                    <w:rPr>
                      <w:szCs w:val="21"/>
                    </w:rPr>
                  </w:pPr>
                  <w:r>
                    <w:rPr>
                      <w:szCs w:val="21"/>
                    </w:rPr>
                    <w:t>25.3</w:t>
                  </w:r>
                </w:p>
              </w:tc>
              <w:tc>
                <w:tcPr>
                  <w:tcW w:w="945" w:type="pct"/>
                  <w:vMerge w:val="continue"/>
                  <w:vAlign w:val="center"/>
                </w:tcPr>
                <w:p w14:paraId="11D6843D">
                  <w:pPr>
                    <w:pStyle w:val="32"/>
                    <w:spacing w:before="48" w:after="48"/>
                    <w:rPr>
                      <w:szCs w:val="21"/>
                    </w:rPr>
                  </w:pPr>
                </w:p>
              </w:tc>
            </w:tr>
            <w:tr w14:paraId="1430623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29" w:type="pct"/>
                  <w:vAlign w:val="center"/>
                </w:tcPr>
                <w:p w14:paraId="6EB2AF65">
                  <w:pPr>
                    <w:pStyle w:val="32"/>
                    <w:spacing w:before="48" w:after="48"/>
                    <w:rPr>
                      <w:szCs w:val="21"/>
                    </w:rPr>
                  </w:pPr>
                  <w:r>
                    <w:rPr>
                      <w:szCs w:val="21"/>
                    </w:rPr>
                    <w:t>北厂界</w:t>
                  </w:r>
                </w:p>
              </w:tc>
              <w:tc>
                <w:tcPr>
                  <w:tcW w:w="1072" w:type="pct"/>
                  <w:vAlign w:val="center"/>
                </w:tcPr>
                <w:p w14:paraId="6C2D2F0A">
                  <w:pPr>
                    <w:pStyle w:val="32"/>
                    <w:spacing w:before="48" w:after="48"/>
                    <w:rPr>
                      <w:szCs w:val="21"/>
                    </w:rPr>
                  </w:pPr>
                  <w:r>
                    <w:rPr>
                      <w:szCs w:val="21"/>
                    </w:rPr>
                    <w:t>39.4</w:t>
                  </w:r>
                </w:p>
              </w:tc>
              <w:tc>
                <w:tcPr>
                  <w:tcW w:w="972" w:type="pct"/>
                  <w:vMerge w:val="continue"/>
                  <w:vAlign w:val="center"/>
                </w:tcPr>
                <w:p w14:paraId="3263F027">
                  <w:pPr>
                    <w:pStyle w:val="32"/>
                    <w:spacing w:before="48" w:after="48"/>
                    <w:rPr>
                      <w:szCs w:val="21"/>
                    </w:rPr>
                  </w:pPr>
                </w:p>
              </w:tc>
              <w:tc>
                <w:tcPr>
                  <w:tcW w:w="1869" w:type="dxa"/>
                  <w:vAlign w:val="center"/>
                </w:tcPr>
                <w:p w14:paraId="081738D4">
                  <w:pPr>
                    <w:pStyle w:val="32"/>
                    <w:spacing w:before="48" w:after="48"/>
                    <w:rPr>
                      <w:szCs w:val="21"/>
                    </w:rPr>
                  </w:pPr>
                  <w:r>
                    <w:rPr>
                      <w:szCs w:val="21"/>
                    </w:rPr>
                    <w:t>39.4</w:t>
                  </w:r>
                </w:p>
              </w:tc>
              <w:tc>
                <w:tcPr>
                  <w:tcW w:w="945" w:type="pct"/>
                  <w:vMerge w:val="continue"/>
                  <w:vAlign w:val="center"/>
                </w:tcPr>
                <w:p w14:paraId="0F9AE2E8">
                  <w:pPr>
                    <w:pStyle w:val="32"/>
                    <w:spacing w:before="48" w:after="48"/>
                    <w:rPr>
                      <w:szCs w:val="21"/>
                    </w:rPr>
                  </w:pPr>
                </w:p>
              </w:tc>
            </w:tr>
          </w:tbl>
          <w:p w14:paraId="25BE483D">
            <w:pPr>
              <w:ind w:firstLine="480"/>
            </w:pPr>
            <w:r>
              <w:t>由预测结果可知，运营期厂界处昼间、夜间噪声预测值均满足《工业企业厂界环境噪声排放标准》（GB12348-2008）中3类标准限值。</w:t>
            </w:r>
          </w:p>
          <w:p w14:paraId="07F84A78">
            <w:pPr>
              <w:pStyle w:val="6"/>
              <w:numPr>
                <w:ilvl w:val="0"/>
                <w:numId w:val="4"/>
              </w:numPr>
              <w:spacing w:before="120" w:after="120"/>
              <w:ind w:firstLine="482"/>
            </w:pPr>
            <w:r>
              <w:t>敏感目标达标分析</w:t>
            </w:r>
          </w:p>
          <w:p w14:paraId="37DEF856">
            <w:pPr>
              <w:ind w:firstLine="480"/>
            </w:pPr>
            <w:r>
              <w:t>本项目厂界外50米范围内无环境保护目标，本项目产生的噪声对周边环境影响较小，本项目对所在地区的声环境质量影响较小。</w:t>
            </w:r>
          </w:p>
          <w:p w14:paraId="2087A9A1">
            <w:pPr>
              <w:pStyle w:val="6"/>
              <w:spacing w:before="120" w:after="120"/>
              <w:ind w:firstLine="482"/>
            </w:pPr>
            <w:r>
              <w:t>4、噪声防治措施</w:t>
            </w:r>
          </w:p>
          <w:p w14:paraId="51CEBA56">
            <w:pPr>
              <w:ind w:firstLine="480"/>
            </w:pPr>
            <w:r>
              <w:t>为了确保运营期噪声对环境产生的影响降到最低，项目应选用低噪声设备，对设备基础减振措施，加强设备日常检修和维护，以保证各设备正常运转，以免由于设备故障原因产生较大噪声；同时加强生产管理，教育员工文明生产，减少人为因素造成的噪声，合理安排生产。</w:t>
            </w:r>
          </w:p>
          <w:p w14:paraId="691543F2">
            <w:pPr>
              <w:pStyle w:val="6"/>
              <w:spacing w:before="120" w:after="120"/>
              <w:ind w:left="480" w:leftChars="200" w:firstLine="0" w:firstLineChars="0"/>
            </w:pPr>
            <w:r>
              <w:t>5、监测要求</w:t>
            </w:r>
          </w:p>
          <w:p w14:paraId="402FAD1E">
            <w:pPr>
              <w:ind w:left="480" w:leftChars="200" w:firstLine="0" w:firstLineChars="0"/>
            </w:pPr>
            <w:r>
              <w:t>本项目运营期噪声监测要求见下表。</w:t>
            </w:r>
          </w:p>
          <w:p w14:paraId="331B9327">
            <w:pPr>
              <w:pStyle w:val="37"/>
              <w:spacing w:beforeLines="0"/>
              <w:rPr>
                <w:rFonts w:hint="default"/>
              </w:rPr>
            </w:pPr>
            <w:r>
              <w:rPr>
                <w:rFonts w:hint="default"/>
              </w:rPr>
              <w:t>表28  监测点位、监测项目和监测要求</w:t>
            </w:r>
          </w:p>
          <w:tbl>
            <w:tblPr>
              <w:tblStyle w:val="25"/>
              <w:tblW w:w="4998"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638"/>
              <w:gridCol w:w="1502"/>
              <w:gridCol w:w="1272"/>
              <w:gridCol w:w="2999"/>
            </w:tblGrid>
            <w:tr w14:paraId="6D3AB12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31" w:type="pct"/>
                  <w:tcBorders>
                    <w:tl2br w:val="nil"/>
                    <w:tr2bl w:val="nil"/>
                  </w:tcBorders>
                  <w:vAlign w:val="center"/>
                </w:tcPr>
                <w:p w14:paraId="3CFD88DA">
                  <w:pPr>
                    <w:pStyle w:val="32"/>
                    <w:widowControl w:val="0"/>
                    <w:spacing w:before="48" w:after="48"/>
                  </w:pPr>
                  <w:r>
                    <w:t>序号</w:t>
                  </w:r>
                </w:p>
              </w:tc>
              <w:tc>
                <w:tcPr>
                  <w:tcW w:w="1009" w:type="pct"/>
                  <w:tcBorders>
                    <w:tl2br w:val="nil"/>
                    <w:tr2bl w:val="nil"/>
                  </w:tcBorders>
                  <w:vAlign w:val="center"/>
                </w:tcPr>
                <w:p w14:paraId="14D7A3F9">
                  <w:pPr>
                    <w:pStyle w:val="32"/>
                    <w:widowControl w:val="0"/>
                    <w:spacing w:before="48" w:after="48"/>
                  </w:pPr>
                  <w:r>
                    <w:t>监测点位</w:t>
                  </w:r>
                </w:p>
              </w:tc>
              <w:tc>
                <w:tcPr>
                  <w:tcW w:w="925" w:type="pct"/>
                  <w:tcBorders>
                    <w:tl2br w:val="nil"/>
                    <w:tr2bl w:val="nil"/>
                  </w:tcBorders>
                  <w:vAlign w:val="center"/>
                </w:tcPr>
                <w:p w14:paraId="62319003">
                  <w:pPr>
                    <w:pStyle w:val="32"/>
                    <w:widowControl w:val="0"/>
                    <w:spacing w:before="48" w:after="48"/>
                  </w:pPr>
                  <w:r>
                    <w:t>监测项目</w:t>
                  </w:r>
                </w:p>
              </w:tc>
              <w:tc>
                <w:tcPr>
                  <w:tcW w:w="784" w:type="pct"/>
                  <w:tcBorders>
                    <w:tl2br w:val="nil"/>
                    <w:tr2bl w:val="nil"/>
                  </w:tcBorders>
                  <w:vAlign w:val="center"/>
                </w:tcPr>
                <w:p w14:paraId="49BFE425">
                  <w:pPr>
                    <w:pStyle w:val="32"/>
                    <w:widowControl w:val="0"/>
                    <w:spacing w:before="48" w:after="48"/>
                  </w:pPr>
                  <w:r>
                    <w:t>监测频次</w:t>
                  </w:r>
                </w:p>
              </w:tc>
              <w:tc>
                <w:tcPr>
                  <w:tcW w:w="1848" w:type="pct"/>
                  <w:tcBorders>
                    <w:tl2br w:val="nil"/>
                    <w:tr2bl w:val="nil"/>
                  </w:tcBorders>
                  <w:vAlign w:val="center"/>
                </w:tcPr>
                <w:p w14:paraId="6810C6D9">
                  <w:pPr>
                    <w:pStyle w:val="32"/>
                    <w:widowControl w:val="0"/>
                    <w:spacing w:before="48" w:after="48"/>
                  </w:pPr>
                  <w:r>
                    <w:t>执行标准</w:t>
                  </w:r>
                </w:p>
              </w:tc>
            </w:tr>
            <w:tr w14:paraId="303D3D5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31" w:type="pct"/>
                  <w:tcBorders>
                    <w:tl2br w:val="nil"/>
                    <w:tr2bl w:val="nil"/>
                  </w:tcBorders>
                  <w:vAlign w:val="center"/>
                </w:tcPr>
                <w:p w14:paraId="7A60C10A">
                  <w:pPr>
                    <w:pStyle w:val="32"/>
                    <w:widowControl w:val="0"/>
                    <w:spacing w:before="48" w:after="48"/>
                  </w:pPr>
                  <w:r>
                    <w:t>1</w:t>
                  </w:r>
                </w:p>
              </w:tc>
              <w:tc>
                <w:tcPr>
                  <w:tcW w:w="1009" w:type="pct"/>
                  <w:tcBorders>
                    <w:tl2br w:val="nil"/>
                    <w:tr2bl w:val="nil"/>
                  </w:tcBorders>
                  <w:vAlign w:val="center"/>
                </w:tcPr>
                <w:p w14:paraId="5E27CDBA">
                  <w:pPr>
                    <w:pStyle w:val="32"/>
                    <w:widowControl w:val="0"/>
                    <w:spacing w:before="48" w:after="48"/>
                  </w:pPr>
                  <w:r>
                    <w:t>厂界四周</w:t>
                  </w:r>
                </w:p>
              </w:tc>
              <w:tc>
                <w:tcPr>
                  <w:tcW w:w="925" w:type="pct"/>
                  <w:tcBorders>
                    <w:tl2br w:val="nil"/>
                    <w:tr2bl w:val="nil"/>
                  </w:tcBorders>
                  <w:vAlign w:val="center"/>
                </w:tcPr>
                <w:p w14:paraId="1B97D86C">
                  <w:pPr>
                    <w:pStyle w:val="32"/>
                    <w:widowControl w:val="0"/>
                    <w:spacing w:before="48" w:after="48"/>
                  </w:pPr>
                  <w:r>
                    <w:t>dB(A)</w:t>
                  </w:r>
                </w:p>
              </w:tc>
              <w:tc>
                <w:tcPr>
                  <w:tcW w:w="784" w:type="pct"/>
                  <w:tcBorders>
                    <w:tl2br w:val="nil"/>
                    <w:tr2bl w:val="nil"/>
                  </w:tcBorders>
                  <w:vAlign w:val="center"/>
                </w:tcPr>
                <w:p w14:paraId="5EE9BCD5">
                  <w:pPr>
                    <w:pStyle w:val="32"/>
                    <w:widowControl w:val="0"/>
                    <w:spacing w:before="48" w:after="48"/>
                  </w:pPr>
                  <w:r>
                    <w:t>1次/季度</w:t>
                  </w:r>
                </w:p>
              </w:tc>
              <w:tc>
                <w:tcPr>
                  <w:tcW w:w="1848" w:type="pct"/>
                  <w:tcBorders>
                    <w:tl2br w:val="nil"/>
                    <w:tr2bl w:val="nil"/>
                  </w:tcBorders>
                  <w:vAlign w:val="center"/>
                </w:tcPr>
                <w:p w14:paraId="18DA2945">
                  <w:pPr>
                    <w:pStyle w:val="32"/>
                    <w:widowControl w:val="0"/>
                    <w:spacing w:before="48" w:after="48"/>
                  </w:pPr>
                  <w:r>
                    <w:t>《工业企业厂界环境噪声排放标准》（GB12348-2008）3类标准</w:t>
                  </w:r>
                </w:p>
              </w:tc>
            </w:tr>
          </w:tbl>
          <w:p w14:paraId="278497AC">
            <w:pPr>
              <w:pStyle w:val="5"/>
              <w:spacing w:before="120" w:after="120"/>
            </w:pPr>
            <w:r>
              <w:t>四、固体废物</w:t>
            </w:r>
          </w:p>
          <w:p w14:paraId="71B8362D">
            <w:pPr>
              <w:pStyle w:val="6"/>
              <w:spacing w:before="120" w:after="120"/>
              <w:ind w:firstLine="482"/>
            </w:pPr>
            <w:r>
              <w:t>1、固废产生情况</w:t>
            </w:r>
          </w:p>
          <w:p w14:paraId="4C61F7BF">
            <w:pPr>
              <w:ind w:firstLine="480"/>
              <w:rPr>
                <w:color w:val="FF0000"/>
              </w:rPr>
            </w:pPr>
            <w:r>
              <w:rPr>
                <w:color w:val="FF0000"/>
              </w:rPr>
              <w:t>本项目运营期产生的固体废物主要为生活垃圾、切割料、除尘设施收集的粉尘、废离子交换树脂、蒸汽发生器灰渣灰分、废弃包装袋、水泥料仓除尘设施收集的粉尘。项目不产生危险废物。</w:t>
            </w:r>
          </w:p>
          <w:p w14:paraId="15366C74">
            <w:pPr>
              <w:ind w:firstLine="480"/>
            </w:pPr>
            <w:r>
              <w:t>生活垃圾：生活垃圾产生量按照0.5kg/人·天计，本项目定员55人，则生活垃圾产生量约为8.25t/a，集中收集后委托环卫部门清运。</w:t>
            </w:r>
          </w:p>
          <w:p w14:paraId="7AA6327B">
            <w:pPr>
              <w:ind w:firstLine="480"/>
            </w:pPr>
            <w:r>
              <w:t>切割料和除尘设施收集的粉尘：本项目在切割工序会产生切割料，根据建设单位提供资料，该项目的生产固废产生量约为原料的0.5%，则切割料产生量约为97.5t/a，回用于压制工序，不外排；切割工序除尘设施收集的粉尘量为1.7982t/a，回用于压制工序，不外排。</w:t>
            </w:r>
          </w:p>
          <w:p w14:paraId="749E371E">
            <w:pPr>
              <w:ind w:firstLine="480"/>
            </w:pPr>
            <w:r>
              <w:t>废离子交换树脂：软水制备装置产生的废离子交换树脂。经与设备厂家沟通，废离子交换树脂使用寿命一般为2年，项目废离子树脂产生量约为0.10t/2a，由出售离子交换树脂厂家替换处理。</w:t>
            </w:r>
          </w:p>
          <w:p w14:paraId="7D358CA8">
            <w:pPr>
              <w:ind w:firstLine="480"/>
              <w:rPr>
                <w:color w:val="FF0000"/>
              </w:rPr>
            </w:pPr>
            <w:r>
              <w:rPr>
                <w:color w:val="FF0000"/>
              </w:rPr>
              <w:t>蒸汽发生器灰渣、灰分：生物质蒸汽发生器燃烧会产生一定量的灰渣，经建设单位提供的资料知，大约占生物质使用量的0.5%，则灰渣产生量为3.9t/a；除尘设施收集的灰分量为0.3861t/a，则灰渣灰分总量为4.2861t/a。收集后用于农田肥料。</w:t>
            </w:r>
          </w:p>
          <w:p w14:paraId="4115A22C">
            <w:pPr>
              <w:ind w:firstLine="480"/>
            </w:pPr>
            <w:r>
              <w:t>废弃包装袋：废包装袋主要来自外购原料时的包装袋，废包装袋产生量约为0.5t/a，经集中回收后外售。</w:t>
            </w:r>
          </w:p>
          <w:p w14:paraId="70E10813">
            <w:pPr>
              <w:pStyle w:val="2"/>
              <w:spacing w:after="0" w:line="360" w:lineRule="auto"/>
              <w:ind w:left="0" w:leftChars="0" w:firstLine="480"/>
            </w:pPr>
            <w:r>
              <w:t>水泥料仓除尘设施收集的粉尘量为3.2775t/a，回用于生产工序，不外排。</w:t>
            </w:r>
          </w:p>
          <w:p w14:paraId="6632F8E3">
            <w:pPr>
              <w:ind w:firstLine="480"/>
            </w:pPr>
            <w:r>
              <w:t>固废产生情况见下表。</w:t>
            </w:r>
          </w:p>
          <w:p w14:paraId="1334E2AF">
            <w:pPr>
              <w:pStyle w:val="33"/>
              <w:spacing w:beforeLines="0"/>
              <w:rPr>
                <w:rFonts w:hint="default"/>
              </w:rPr>
            </w:pPr>
            <w:r>
              <w:rPr>
                <w:rFonts w:hint="default"/>
              </w:rPr>
              <w:t>表29  项目固废产生情况表</w:t>
            </w:r>
          </w:p>
          <w:tbl>
            <w:tblPr>
              <w:tblStyle w:val="24"/>
              <w:tblW w:w="4993"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4"/>
              <w:gridCol w:w="715"/>
              <w:gridCol w:w="830"/>
              <w:gridCol w:w="1480"/>
              <w:gridCol w:w="877"/>
              <w:gridCol w:w="684"/>
              <w:gridCol w:w="841"/>
              <w:gridCol w:w="648"/>
              <w:gridCol w:w="1634"/>
            </w:tblGrid>
            <w:tr w14:paraId="4E2D4B8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tcBorders>
                    <w:tl2br w:val="nil"/>
                    <w:tr2bl w:val="nil"/>
                  </w:tcBorders>
                  <w:vAlign w:val="center"/>
                </w:tcPr>
                <w:p w14:paraId="209A444E">
                  <w:pPr>
                    <w:pStyle w:val="32"/>
                    <w:spacing w:before="48" w:after="48"/>
                  </w:pPr>
                  <w:r>
                    <w:t>序号</w:t>
                  </w:r>
                </w:p>
              </w:tc>
              <w:tc>
                <w:tcPr>
                  <w:tcW w:w="441" w:type="pct"/>
                  <w:tcBorders>
                    <w:tl2br w:val="nil"/>
                    <w:tr2bl w:val="nil"/>
                  </w:tcBorders>
                  <w:vAlign w:val="center"/>
                </w:tcPr>
                <w:p w14:paraId="4A67583C">
                  <w:pPr>
                    <w:pStyle w:val="32"/>
                    <w:spacing w:before="48" w:after="48"/>
                  </w:pPr>
                  <w:r>
                    <w:t>名称</w:t>
                  </w:r>
                </w:p>
              </w:tc>
              <w:tc>
                <w:tcPr>
                  <w:tcW w:w="511" w:type="pct"/>
                  <w:tcBorders>
                    <w:tl2br w:val="nil"/>
                    <w:tr2bl w:val="nil"/>
                  </w:tcBorders>
                  <w:vAlign w:val="center"/>
                </w:tcPr>
                <w:p w14:paraId="5027BC58">
                  <w:pPr>
                    <w:pStyle w:val="32"/>
                    <w:spacing w:before="48" w:after="48"/>
                  </w:pPr>
                  <w:r>
                    <w:t>产生环节</w:t>
                  </w:r>
                </w:p>
              </w:tc>
              <w:tc>
                <w:tcPr>
                  <w:tcW w:w="912" w:type="pct"/>
                  <w:tcBorders>
                    <w:tl2br w:val="nil"/>
                    <w:tr2bl w:val="nil"/>
                  </w:tcBorders>
                  <w:vAlign w:val="center"/>
                </w:tcPr>
                <w:p w14:paraId="70B718F8">
                  <w:pPr>
                    <w:pStyle w:val="32"/>
                    <w:spacing w:before="48" w:after="48"/>
                  </w:pPr>
                  <w:r>
                    <w:t>属性</w:t>
                  </w:r>
                </w:p>
              </w:tc>
              <w:tc>
                <w:tcPr>
                  <w:tcW w:w="540" w:type="pct"/>
                  <w:tcBorders>
                    <w:tl2br w:val="nil"/>
                    <w:tr2bl w:val="nil"/>
                  </w:tcBorders>
                  <w:vAlign w:val="center"/>
                </w:tcPr>
                <w:p w14:paraId="13EEAC77">
                  <w:pPr>
                    <w:pStyle w:val="32"/>
                    <w:spacing w:before="48" w:after="48"/>
                  </w:pPr>
                  <w:r>
                    <w:t>主要有毒有害物质</w:t>
                  </w:r>
                </w:p>
              </w:tc>
              <w:tc>
                <w:tcPr>
                  <w:tcW w:w="422" w:type="pct"/>
                  <w:tcBorders>
                    <w:tl2br w:val="nil"/>
                    <w:tr2bl w:val="nil"/>
                  </w:tcBorders>
                  <w:vAlign w:val="center"/>
                </w:tcPr>
                <w:p w14:paraId="5DDCC892">
                  <w:pPr>
                    <w:pStyle w:val="32"/>
                    <w:spacing w:before="48" w:after="48"/>
                  </w:pPr>
                  <w:r>
                    <w:t>物理性状</w:t>
                  </w:r>
                </w:p>
              </w:tc>
              <w:tc>
                <w:tcPr>
                  <w:tcW w:w="518" w:type="pct"/>
                  <w:tcBorders>
                    <w:tl2br w:val="nil"/>
                    <w:tr2bl w:val="nil"/>
                  </w:tcBorders>
                  <w:vAlign w:val="center"/>
                </w:tcPr>
                <w:p w14:paraId="3F1F4ADF">
                  <w:pPr>
                    <w:pStyle w:val="32"/>
                    <w:spacing w:before="48" w:after="48"/>
                  </w:pPr>
                  <w:r>
                    <w:t>环境危险特性</w:t>
                  </w:r>
                </w:p>
              </w:tc>
              <w:tc>
                <w:tcPr>
                  <w:tcW w:w="400" w:type="pct"/>
                  <w:tcBorders>
                    <w:tl2br w:val="nil"/>
                    <w:tr2bl w:val="nil"/>
                  </w:tcBorders>
                  <w:vAlign w:val="center"/>
                </w:tcPr>
                <w:p w14:paraId="5B1FEC94">
                  <w:pPr>
                    <w:pStyle w:val="32"/>
                    <w:spacing w:before="48" w:after="48"/>
                  </w:pPr>
                  <w:r>
                    <w:t>产生量</w:t>
                  </w:r>
                </w:p>
              </w:tc>
              <w:tc>
                <w:tcPr>
                  <w:tcW w:w="1007" w:type="pct"/>
                  <w:tcBorders>
                    <w:tl2br w:val="nil"/>
                    <w:tr2bl w:val="nil"/>
                  </w:tcBorders>
                  <w:vAlign w:val="center"/>
                </w:tcPr>
                <w:p w14:paraId="5AD0EE75">
                  <w:pPr>
                    <w:pStyle w:val="32"/>
                    <w:spacing w:before="48" w:after="48"/>
                  </w:pPr>
                  <w:r>
                    <w:t>污染防治措施</w:t>
                  </w:r>
                </w:p>
              </w:tc>
            </w:tr>
            <w:tr w14:paraId="00DD0C3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tcBorders>
                    <w:tl2br w:val="nil"/>
                    <w:tr2bl w:val="nil"/>
                  </w:tcBorders>
                  <w:vAlign w:val="center"/>
                </w:tcPr>
                <w:p w14:paraId="6FC59A95">
                  <w:pPr>
                    <w:pStyle w:val="32"/>
                    <w:spacing w:before="48" w:after="48"/>
                  </w:pPr>
                  <w:r>
                    <w:t>1</w:t>
                  </w:r>
                </w:p>
              </w:tc>
              <w:tc>
                <w:tcPr>
                  <w:tcW w:w="441" w:type="pct"/>
                  <w:tcBorders>
                    <w:tl2br w:val="nil"/>
                    <w:tr2bl w:val="nil"/>
                  </w:tcBorders>
                  <w:vAlign w:val="center"/>
                </w:tcPr>
                <w:p w14:paraId="4FE6E9F0">
                  <w:pPr>
                    <w:pStyle w:val="32"/>
                    <w:spacing w:before="48" w:after="48"/>
                  </w:pPr>
                  <w:r>
                    <w:t>生活垃圾</w:t>
                  </w:r>
                </w:p>
              </w:tc>
              <w:tc>
                <w:tcPr>
                  <w:tcW w:w="511" w:type="pct"/>
                  <w:tcBorders>
                    <w:tl2br w:val="nil"/>
                    <w:tr2bl w:val="nil"/>
                  </w:tcBorders>
                  <w:vAlign w:val="center"/>
                </w:tcPr>
                <w:p w14:paraId="23DC9672">
                  <w:pPr>
                    <w:pStyle w:val="32"/>
                    <w:spacing w:before="48" w:after="48"/>
                  </w:pPr>
                  <w:r>
                    <w:t>职工生活</w:t>
                  </w:r>
                </w:p>
              </w:tc>
              <w:tc>
                <w:tcPr>
                  <w:tcW w:w="912" w:type="pct"/>
                  <w:tcBorders>
                    <w:tl2br w:val="nil"/>
                    <w:tr2bl w:val="nil"/>
                  </w:tcBorders>
                  <w:vAlign w:val="center"/>
                </w:tcPr>
                <w:p w14:paraId="26C635EF">
                  <w:pPr>
                    <w:pStyle w:val="32"/>
                    <w:spacing w:before="48" w:after="48"/>
                  </w:pPr>
                  <w:r>
                    <w:t>一般固体废物（900-999-99）</w:t>
                  </w:r>
                </w:p>
              </w:tc>
              <w:tc>
                <w:tcPr>
                  <w:tcW w:w="540" w:type="pct"/>
                  <w:tcBorders>
                    <w:tl2br w:val="nil"/>
                    <w:tr2bl w:val="nil"/>
                  </w:tcBorders>
                  <w:vAlign w:val="center"/>
                </w:tcPr>
                <w:p w14:paraId="081EB41B">
                  <w:pPr>
                    <w:pStyle w:val="32"/>
                    <w:spacing w:before="48" w:after="48"/>
                  </w:pPr>
                  <w:r>
                    <w:t>/</w:t>
                  </w:r>
                </w:p>
              </w:tc>
              <w:tc>
                <w:tcPr>
                  <w:tcW w:w="422" w:type="pct"/>
                  <w:tcBorders>
                    <w:tl2br w:val="nil"/>
                    <w:tr2bl w:val="nil"/>
                  </w:tcBorders>
                  <w:vAlign w:val="center"/>
                </w:tcPr>
                <w:p w14:paraId="66BA889C">
                  <w:pPr>
                    <w:pStyle w:val="32"/>
                    <w:spacing w:before="48" w:after="48"/>
                  </w:pPr>
                  <w:r>
                    <w:t>固态</w:t>
                  </w:r>
                </w:p>
              </w:tc>
              <w:tc>
                <w:tcPr>
                  <w:tcW w:w="518" w:type="pct"/>
                  <w:tcBorders>
                    <w:tl2br w:val="nil"/>
                    <w:tr2bl w:val="nil"/>
                  </w:tcBorders>
                  <w:vAlign w:val="center"/>
                </w:tcPr>
                <w:p w14:paraId="6A35A7A3">
                  <w:pPr>
                    <w:pStyle w:val="32"/>
                    <w:spacing w:before="48" w:after="48"/>
                  </w:pPr>
                  <w:r>
                    <w:t>/</w:t>
                  </w:r>
                </w:p>
              </w:tc>
              <w:tc>
                <w:tcPr>
                  <w:tcW w:w="400" w:type="pct"/>
                  <w:tcBorders>
                    <w:tl2br w:val="nil"/>
                    <w:tr2bl w:val="nil"/>
                  </w:tcBorders>
                  <w:vAlign w:val="center"/>
                </w:tcPr>
                <w:p w14:paraId="0A811F3C">
                  <w:pPr>
                    <w:pStyle w:val="32"/>
                    <w:spacing w:before="48" w:after="48"/>
                  </w:pPr>
                  <w:r>
                    <w:t>8.25t/a</w:t>
                  </w:r>
                </w:p>
              </w:tc>
              <w:tc>
                <w:tcPr>
                  <w:tcW w:w="1007" w:type="pct"/>
                  <w:tcBorders>
                    <w:tl2br w:val="nil"/>
                    <w:tr2bl w:val="nil"/>
                  </w:tcBorders>
                  <w:vAlign w:val="center"/>
                </w:tcPr>
                <w:p w14:paraId="2FE294DF">
                  <w:pPr>
                    <w:pStyle w:val="32"/>
                    <w:spacing w:before="48" w:after="48"/>
                  </w:pPr>
                  <w:r>
                    <w:t>集中收集后委托环卫部门清运</w:t>
                  </w:r>
                </w:p>
              </w:tc>
            </w:tr>
            <w:tr w14:paraId="7427AA4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 w:type="pct"/>
                  <w:tcBorders>
                    <w:tl2br w:val="nil"/>
                    <w:tr2bl w:val="nil"/>
                  </w:tcBorders>
                  <w:vAlign w:val="center"/>
                </w:tcPr>
                <w:p w14:paraId="7AF35966">
                  <w:pPr>
                    <w:pStyle w:val="32"/>
                    <w:spacing w:before="48" w:after="48"/>
                  </w:pPr>
                  <w:r>
                    <w:t>2</w:t>
                  </w:r>
                </w:p>
              </w:tc>
              <w:tc>
                <w:tcPr>
                  <w:tcW w:w="441" w:type="pct"/>
                  <w:tcBorders>
                    <w:tl2br w:val="nil"/>
                    <w:tr2bl w:val="nil"/>
                  </w:tcBorders>
                  <w:vAlign w:val="center"/>
                </w:tcPr>
                <w:p w14:paraId="234B394D">
                  <w:pPr>
                    <w:pStyle w:val="32"/>
                    <w:spacing w:before="48" w:after="48"/>
                  </w:pPr>
                  <w:r>
                    <w:t>切割料</w:t>
                  </w:r>
                </w:p>
              </w:tc>
              <w:tc>
                <w:tcPr>
                  <w:tcW w:w="511" w:type="pct"/>
                  <w:tcBorders>
                    <w:tl2br w:val="nil"/>
                    <w:tr2bl w:val="nil"/>
                  </w:tcBorders>
                  <w:vAlign w:val="center"/>
                </w:tcPr>
                <w:p w14:paraId="2F2C1411">
                  <w:pPr>
                    <w:pStyle w:val="32"/>
                    <w:spacing w:before="48" w:after="48"/>
                  </w:pPr>
                  <w:r>
                    <w:t>切割工序</w:t>
                  </w:r>
                </w:p>
              </w:tc>
              <w:tc>
                <w:tcPr>
                  <w:tcW w:w="912" w:type="pct"/>
                  <w:tcBorders>
                    <w:tl2br w:val="nil"/>
                    <w:tr2bl w:val="nil"/>
                  </w:tcBorders>
                  <w:vAlign w:val="center"/>
                </w:tcPr>
                <w:p w14:paraId="345B96D0">
                  <w:pPr>
                    <w:pStyle w:val="32"/>
                    <w:spacing w:before="48" w:after="48"/>
                  </w:pPr>
                  <w:r>
                    <w:t>一般固体废物（900-999-99）</w:t>
                  </w:r>
                </w:p>
              </w:tc>
              <w:tc>
                <w:tcPr>
                  <w:tcW w:w="540" w:type="pct"/>
                  <w:tcBorders>
                    <w:tl2br w:val="nil"/>
                    <w:tr2bl w:val="nil"/>
                  </w:tcBorders>
                  <w:vAlign w:val="center"/>
                </w:tcPr>
                <w:p w14:paraId="4F108E6D">
                  <w:pPr>
                    <w:pStyle w:val="32"/>
                    <w:spacing w:before="48" w:after="48"/>
                  </w:pPr>
                  <w:r>
                    <w:t>/</w:t>
                  </w:r>
                </w:p>
              </w:tc>
              <w:tc>
                <w:tcPr>
                  <w:tcW w:w="422" w:type="pct"/>
                  <w:tcBorders>
                    <w:tl2br w:val="nil"/>
                    <w:tr2bl w:val="nil"/>
                  </w:tcBorders>
                  <w:vAlign w:val="center"/>
                </w:tcPr>
                <w:p w14:paraId="11BFAD74">
                  <w:pPr>
                    <w:pStyle w:val="32"/>
                    <w:spacing w:before="48" w:after="48"/>
                  </w:pPr>
                  <w:r>
                    <w:t>固态</w:t>
                  </w:r>
                </w:p>
              </w:tc>
              <w:tc>
                <w:tcPr>
                  <w:tcW w:w="518" w:type="pct"/>
                  <w:tcBorders>
                    <w:tl2br w:val="nil"/>
                    <w:tr2bl w:val="nil"/>
                  </w:tcBorders>
                  <w:vAlign w:val="center"/>
                </w:tcPr>
                <w:p w14:paraId="4A6DE62D">
                  <w:pPr>
                    <w:pStyle w:val="32"/>
                    <w:spacing w:before="48" w:after="48"/>
                  </w:pPr>
                  <w:r>
                    <w:t>/</w:t>
                  </w:r>
                </w:p>
              </w:tc>
              <w:tc>
                <w:tcPr>
                  <w:tcW w:w="400" w:type="pct"/>
                  <w:tcBorders>
                    <w:tl2br w:val="nil"/>
                    <w:tr2bl w:val="nil"/>
                  </w:tcBorders>
                  <w:vAlign w:val="center"/>
                </w:tcPr>
                <w:p w14:paraId="7B98BAE5">
                  <w:pPr>
                    <w:pStyle w:val="32"/>
                    <w:spacing w:before="48" w:after="48"/>
                  </w:pPr>
                  <w:r>
                    <w:t>97.5t/a</w:t>
                  </w:r>
                </w:p>
              </w:tc>
              <w:tc>
                <w:tcPr>
                  <w:tcW w:w="1007" w:type="pct"/>
                  <w:tcBorders>
                    <w:tl2br w:val="nil"/>
                    <w:tr2bl w:val="nil"/>
                  </w:tcBorders>
                  <w:vAlign w:val="center"/>
                </w:tcPr>
                <w:p w14:paraId="53DEFB10">
                  <w:pPr>
                    <w:pStyle w:val="32"/>
                    <w:spacing w:before="48" w:after="48"/>
                  </w:pPr>
                  <w:r>
                    <w:rPr>
                      <w:szCs w:val="21"/>
                    </w:rPr>
                    <w:t>集中收集后回用于压制工序</w:t>
                  </w:r>
                </w:p>
              </w:tc>
            </w:tr>
            <w:tr w14:paraId="5044C44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tcBorders>
                    <w:tl2br w:val="nil"/>
                    <w:tr2bl w:val="nil"/>
                  </w:tcBorders>
                  <w:vAlign w:val="center"/>
                </w:tcPr>
                <w:p w14:paraId="5A8FC5DB">
                  <w:pPr>
                    <w:pStyle w:val="32"/>
                    <w:spacing w:before="48" w:after="48"/>
                  </w:pPr>
                  <w:r>
                    <w:t>3</w:t>
                  </w:r>
                </w:p>
              </w:tc>
              <w:tc>
                <w:tcPr>
                  <w:tcW w:w="441" w:type="pct"/>
                  <w:tcBorders>
                    <w:tl2br w:val="nil"/>
                    <w:tr2bl w:val="nil"/>
                  </w:tcBorders>
                  <w:vAlign w:val="center"/>
                </w:tcPr>
                <w:p w14:paraId="6F191D3D">
                  <w:pPr>
                    <w:pStyle w:val="32"/>
                    <w:spacing w:before="48" w:after="48"/>
                  </w:pPr>
                  <w:r>
                    <w:t>粉尘</w:t>
                  </w:r>
                </w:p>
              </w:tc>
              <w:tc>
                <w:tcPr>
                  <w:tcW w:w="511" w:type="pct"/>
                  <w:tcBorders>
                    <w:tl2br w:val="nil"/>
                    <w:tr2bl w:val="nil"/>
                  </w:tcBorders>
                  <w:vAlign w:val="center"/>
                </w:tcPr>
                <w:p w14:paraId="53A8F617">
                  <w:pPr>
                    <w:pStyle w:val="32"/>
                    <w:spacing w:before="48" w:after="48"/>
                  </w:pPr>
                  <w:r>
                    <w:t>切割工序除尘设施</w:t>
                  </w:r>
                </w:p>
              </w:tc>
              <w:tc>
                <w:tcPr>
                  <w:tcW w:w="912" w:type="pct"/>
                  <w:tcBorders>
                    <w:tl2br w:val="nil"/>
                    <w:tr2bl w:val="nil"/>
                  </w:tcBorders>
                  <w:vAlign w:val="center"/>
                </w:tcPr>
                <w:p w14:paraId="3AFB56D0">
                  <w:pPr>
                    <w:pStyle w:val="32"/>
                    <w:spacing w:before="48" w:after="48"/>
                  </w:pPr>
                  <w:r>
                    <w:t>一般固体废物（900-999-99）</w:t>
                  </w:r>
                </w:p>
              </w:tc>
              <w:tc>
                <w:tcPr>
                  <w:tcW w:w="540" w:type="pct"/>
                  <w:tcBorders>
                    <w:tl2br w:val="nil"/>
                    <w:tr2bl w:val="nil"/>
                  </w:tcBorders>
                  <w:vAlign w:val="center"/>
                </w:tcPr>
                <w:p w14:paraId="4F19633C">
                  <w:pPr>
                    <w:pStyle w:val="32"/>
                    <w:spacing w:before="48" w:after="48"/>
                  </w:pPr>
                  <w:r>
                    <w:t>/</w:t>
                  </w:r>
                </w:p>
              </w:tc>
              <w:tc>
                <w:tcPr>
                  <w:tcW w:w="422" w:type="pct"/>
                  <w:tcBorders>
                    <w:tl2br w:val="nil"/>
                    <w:tr2bl w:val="nil"/>
                  </w:tcBorders>
                  <w:vAlign w:val="center"/>
                </w:tcPr>
                <w:p w14:paraId="1BD19F02">
                  <w:pPr>
                    <w:pStyle w:val="32"/>
                    <w:spacing w:before="48" w:after="48"/>
                  </w:pPr>
                  <w:r>
                    <w:t>固态</w:t>
                  </w:r>
                </w:p>
              </w:tc>
              <w:tc>
                <w:tcPr>
                  <w:tcW w:w="518" w:type="pct"/>
                  <w:tcBorders>
                    <w:tl2br w:val="nil"/>
                    <w:tr2bl w:val="nil"/>
                  </w:tcBorders>
                  <w:vAlign w:val="center"/>
                </w:tcPr>
                <w:p w14:paraId="4D623FF5">
                  <w:pPr>
                    <w:pStyle w:val="32"/>
                    <w:spacing w:before="48" w:after="48"/>
                  </w:pPr>
                  <w:r>
                    <w:t>/</w:t>
                  </w:r>
                </w:p>
              </w:tc>
              <w:tc>
                <w:tcPr>
                  <w:tcW w:w="400" w:type="pct"/>
                  <w:tcBorders>
                    <w:tl2br w:val="nil"/>
                    <w:tr2bl w:val="nil"/>
                  </w:tcBorders>
                  <w:vAlign w:val="center"/>
                </w:tcPr>
                <w:p w14:paraId="1E23602E">
                  <w:pPr>
                    <w:pStyle w:val="32"/>
                    <w:spacing w:before="48" w:after="48"/>
                  </w:pPr>
                  <w:r>
                    <w:t>1.7982t/a</w:t>
                  </w:r>
                </w:p>
              </w:tc>
              <w:tc>
                <w:tcPr>
                  <w:tcW w:w="1007" w:type="pct"/>
                  <w:tcBorders>
                    <w:tl2br w:val="nil"/>
                    <w:tr2bl w:val="nil"/>
                  </w:tcBorders>
                  <w:vAlign w:val="center"/>
                </w:tcPr>
                <w:p w14:paraId="48EDAC5F">
                  <w:pPr>
                    <w:pStyle w:val="32"/>
                    <w:spacing w:before="48" w:after="48"/>
                    <w:rPr>
                      <w:szCs w:val="21"/>
                    </w:rPr>
                  </w:pPr>
                  <w:r>
                    <w:rPr>
                      <w:szCs w:val="21"/>
                    </w:rPr>
                    <w:t>集中收集后回用于压制工序</w:t>
                  </w:r>
                </w:p>
              </w:tc>
            </w:tr>
            <w:tr w14:paraId="7EE8526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tcBorders>
                    <w:tl2br w:val="nil"/>
                    <w:tr2bl w:val="nil"/>
                  </w:tcBorders>
                  <w:vAlign w:val="center"/>
                </w:tcPr>
                <w:p w14:paraId="44CF050B">
                  <w:pPr>
                    <w:pStyle w:val="32"/>
                    <w:spacing w:before="48" w:after="48"/>
                  </w:pPr>
                  <w:r>
                    <w:t>4</w:t>
                  </w:r>
                </w:p>
              </w:tc>
              <w:tc>
                <w:tcPr>
                  <w:tcW w:w="441" w:type="pct"/>
                  <w:tcBorders>
                    <w:tl2br w:val="nil"/>
                    <w:tr2bl w:val="nil"/>
                  </w:tcBorders>
                  <w:vAlign w:val="center"/>
                </w:tcPr>
                <w:p w14:paraId="27F8059A">
                  <w:pPr>
                    <w:pStyle w:val="32"/>
                    <w:spacing w:before="48" w:after="48"/>
                  </w:pPr>
                  <w:r>
                    <w:t>废弃包装袋</w:t>
                  </w:r>
                </w:p>
              </w:tc>
              <w:tc>
                <w:tcPr>
                  <w:tcW w:w="511" w:type="pct"/>
                  <w:tcBorders>
                    <w:tl2br w:val="nil"/>
                    <w:tr2bl w:val="nil"/>
                  </w:tcBorders>
                  <w:vAlign w:val="center"/>
                </w:tcPr>
                <w:p w14:paraId="66E4E82A">
                  <w:pPr>
                    <w:pStyle w:val="32"/>
                    <w:spacing w:before="48" w:after="48"/>
                  </w:pPr>
                  <w:r>
                    <w:t>原料包装袋</w:t>
                  </w:r>
                </w:p>
              </w:tc>
              <w:tc>
                <w:tcPr>
                  <w:tcW w:w="912" w:type="pct"/>
                  <w:tcBorders>
                    <w:tl2br w:val="nil"/>
                    <w:tr2bl w:val="nil"/>
                  </w:tcBorders>
                  <w:vAlign w:val="center"/>
                </w:tcPr>
                <w:p w14:paraId="53878A45">
                  <w:pPr>
                    <w:pStyle w:val="32"/>
                    <w:spacing w:before="48" w:after="48"/>
                  </w:pPr>
                  <w:r>
                    <w:t>一般固体废物（900-999-99）</w:t>
                  </w:r>
                </w:p>
              </w:tc>
              <w:tc>
                <w:tcPr>
                  <w:tcW w:w="540" w:type="pct"/>
                  <w:tcBorders>
                    <w:tl2br w:val="nil"/>
                    <w:tr2bl w:val="nil"/>
                  </w:tcBorders>
                  <w:vAlign w:val="center"/>
                </w:tcPr>
                <w:p w14:paraId="5A798642">
                  <w:pPr>
                    <w:pStyle w:val="32"/>
                    <w:spacing w:before="48" w:after="48"/>
                  </w:pPr>
                  <w:r>
                    <w:t>/</w:t>
                  </w:r>
                </w:p>
              </w:tc>
              <w:tc>
                <w:tcPr>
                  <w:tcW w:w="422" w:type="pct"/>
                  <w:tcBorders>
                    <w:tl2br w:val="nil"/>
                    <w:tr2bl w:val="nil"/>
                  </w:tcBorders>
                  <w:vAlign w:val="center"/>
                </w:tcPr>
                <w:p w14:paraId="0F21AC0D">
                  <w:pPr>
                    <w:pStyle w:val="32"/>
                    <w:spacing w:before="48" w:after="48"/>
                  </w:pPr>
                  <w:r>
                    <w:t>固态</w:t>
                  </w:r>
                </w:p>
              </w:tc>
              <w:tc>
                <w:tcPr>
                  <w:tcW w:w="518" w:type="pct"/>
                  <w:tcBorders>
                    <w:tl2br w:val="nil"/>
                    <w:tr2bl w:val="nil"/>
                  </w:tcBorders>
                  <w:vAlign w:val="center"/>
                </w:tcPr>
                <w:p w14:paraId="3760DC0B">
                  <w:pPr>
                    <w:pStyle w:val="32"/>
                    <w:spacing w:before="48" w:after="48"/>
                  </w:pPr>
                  <w:r>
                    <w:t>/</w:t>
                  </w:r>
                </w:p>
              </w:tc>
              <w:tc>
                <w:tcPr>
                  <w:tcW w:w="400" w:type="pct"/>
                  <w:tcBorders>
                    <w:tl2br w:val="nil"/>
                    <w:tr2bl w:val="nil"/>
                  </w:tcBorders>
                  <w:vAlign w:val="center"/>
                </w:tcPr>
                <w:p w14:paraId="5EE2C36E">
                  <w:pPr>
                    <w:pStyle w:val="32"/>
                    <w:spacing w:before="48" w:after="48"/>
                  </w:pPr>
                  <w:r>
                    <w:t>0.5t/a</w:t>
                  </w:r>
                </w:p>
              </w:tc>
              <w:tc>
                <w:tcPr>
                  <w:tcW w:w="1007" w:type="pct"/>
                  <w:tcBorders>
                    <w:tl2br w:val="nil"/>
                    <w:tr2bl w:val="nil"/>
                  </w:tcBorders>
                  <w:vAlign w:val="center"/>
                </w:tcPr>
                <w:p w14:paraId="63F4162E">
                  <w:pPr>
                    <w:pStyle w:val="32"/>
                    <w:spacing w:before="48" w:after="48"/>
                    <w:rPr>
                      <w:szCs w:val="21"/>
                    </w:rPr>
                  </w:pPr>
                  <w:r>
                    <w:rPr>
                      <w:szCs w:val="21"/>
                    </w:rPr>
                    <w:t>集中收集后外售</w:t>
                  </w:r>
                </w:p>
              </w:tc>
            </w:tr>
            <w:tr w14:paraId="66F9293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tcBorders>
                    <w:tl2br w:val="nil"/>
                    <w:tr2bl w:val="nil"/>
                  </w:tcBorders>
                  <w:vAlign w:val="center"/>
                </w:tcPr>
                <w:p w14:paraId="2EC0C34A">
                  <w:pPr>
                    <w:pStyle w:val="32"/>
                    <w:spacing w:before="48" w:after="48"/>
                  </w:pPr>
                  <w:r>
                    <w:t>5</w:t>
                  </w:r>
                </w:p>
              </w:tc>
              <w:tc>
                <w:tcPr>
                  <w:tcW w:w="441" w:type="pct"/>
                  <w:tcBorders>
                    <w:tl2br w:val="nil"/>
                    <w:tr2bl w:val="nil"/>
                  </w:tcBorders>
                  <w:vAlign w:val="center"/>
                </w:tcPr>
                <w:p w14:paraId="646CFF64">
                  <w:pPr>
                    <w:pStyle w:val="32"/>
                    <w:spacing w:before="48" w:after="48"/>
                  </w:pPr>
                  <w:r>
                    <w:t>灰渣灰分</w:t>
                  </w:r>
                </w:p>
              </w:tc>
              <w:tc>
                <w:tcPr>
                  <w:tcW w:w="511" w:type="pct"/>
                  <w:tcBorders>
                    <w:tl2br w:val="nil"/>
                    <w:tr2bl w:val="nil"/>
                  </w:tcBorders>
                  <w:vAlign w:val="center"/>
                </w:tcPr>
                <w:p w14:paraId="2A0406CC">
                  <w:pPr>
                    <w:pStyle w:val="32"/>
                    <w:spacing w:before="48" w:after="48"/>
                  </w:pPr>
                  <w:r>
                    <w:t>蒸汽发生器</w:t>
                  </w:r>
                </w:p>
              </w:tc>
              <w:tc>
                <w:tcPr>
                  <w:tcW w:w="912" w:type="pct"/>
                  <w:tcBorders>
                    <w:tl2br w:val="nil"/>
                    <w:tr2bl w:val="nil"/>
                  </w:tcBorders>
                  <w:vAlign w:val="center"/>
                </w:tcPr>
                <w:p w14:paraId="308A9A0E">
                  <w:pPr>
                    <w:pStyle w:val="32"/>
                    <w:spacing w:before="48" w:after="48"/>
                  </w:pPr>
                  <w:r>
                    <w:t>一般固体废物（</w:t>
                  </w:r>
                  <w:r>
                    <w:rPr>
                      <w:szCs w:val="21"/>
                    </w:rPr>
                    <w:t>900-999-64</w:t>
                  </w:r>
                  <w:r>
                    <w:t>）</w:t>
                  </w:r>
                </w:p>
              </w:tc>
              <w:tc>
                <w:tcPr>
                  <w:tcW w:w="540" w:type="pct"/>
                  <w:tcBorders>
                    <w:tl2br w:val="nil"/>
                    <w:tr2bl w:val="nil"/>
                  </w:tcBorders>
                  <w:vAlign w:val="center"/>
                </w:tcPr>
                <w:p w14:paraId="3AAC89A4">
                  <w:pPr>
                    <w:pStyle w:val="32"/>
                    <w:spacing w:before="48" w:after="48"/>
                  </w:pPr>
                  <w:r>
                    <w:t>/</w:t>
                  </w:r>
                </w:p>
              </w:tc>
              <w:tc>
                <w:tcPr>
                  <w:tcW w:w="422" w:type="pct"/>
                  <w:tcBorders>
                    <w:tl2br w:val="nil"/>
                    <w:tr2bl w:val="nil"/>
                  </w:tcBorders>
                  <w:vAlign w:val="center"/>
                </w:tcPr>
                <w:p w14:paraId="7CCD314C">
                  <w:pPr>
                    <w:pStyle w:val="32"/>
                    <w:spacing w:before="48" w:after="48"/>
                  </w:pPr>
                  <w:r>
                    <w:t>固态</w:t>
                  </w:r>
                </w:p>
              </w:tc>
              <w:tc>
                <w:tcPr>
                  <w:tcW w:w="518" w:type="pct"/>
                  <w:tcBorders>
                    <w:tl2br w:val="nil"/>
                    <w:tr2bl w:val="nil"/>
                  </w:tcBorders>
                  <w:vAlign w:val="center"/>
                </w:tcPr>
                <w:p w14:paraId="65B41C44">
                  <w:pPr>
                    <w:pStyle w:val="32"/>
                    <w:spacing w:before="48" w:after="48"/>
                  </w:pPr>
                  <w:r>
                    <w:t>/</w:t>
                  </w:r>
                </w:p>
              </w:tc>
              <w:tc>
                <w:tcPr>
                  <w:tcW w:w="400" w:type="pct"/>
                  <w:tcBorders>
                    <w:tl2br w:val="nil"/>
                    <w:tr2bl w:val="nil"/>
                  </w:tcBorders>
                  <w:vAlign w:val="center"/>
                </w:tcPr>
                <w:p w14:paraId="53D0C13B">
                  <w:pPr>
                    <w:pStyle w:val="32"/>
                    <w:spacing w:before="48" w:after="48"/>
                  </w:pPr>
                  <w:r>
                    <w:t>4.2861t/a</w:t>
                  </w:r>
                </w:p>
              </w:tc>
              <w:tc>
                <w:tcPr>
                  <w:tcW w:w="1007" w:type="pct"/>
                  <w:tcBorders>
                    <w:tl2br w:val="nil"/>
                    <w:tr2bl w:val="nil"/>
                  </w:tcBorders>
                  <w:vAlign w:val="center"/>
                </w:tcPr>
                <w:p w14:paraId="502B1DEC">
                  <w:pPr>
                    <w:pStyle w:val="32"/>
                    <w:spacing w:before="48" w:after="48"/>
                    <w:rPr>
                      <w:szCs w:val="21"/>
                    </w:rPr>
                  </w:pPr>
                  <w:r>
                    <w:t>收集后用于农田肥料</w:t>
                  </w:r>
                </w:p>
              </w:tc>
            </w:tr>
            <w:tr w14:paraId="629E205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tcBorders>
                    <w:tl2br w:val="nil"/>
                    <w:tr2bl w:val="nil"/>
                  </w:tcBorders>
                  <w:vAlign w:val="center"/>
                </w:tcPr>
                <w:p w14:paraId="1E1FB954">
                  <w:pPr>
                    <w:pStyle w:val="32"/>
                    <w:spacing w:before="48" w:after="48"/>
                  </w:pPr>
                  <w:r>
                    <w:t>6</w:t>
                  </w:r>
                </w:p>
              </w:tc>
              <w:tc>
                <w:tcPr>
                  <w:tcW w:w="441" w:type="pct"/>
                  <w:tcBorders>
                    <w:tl2br w:val="nil"/>
                    <w:tr2bl w:val="nil"/>
                  </w:tcBorders>
                  <w:vAlign w:val="center"/>
                </w:tcPr>
                <w:p w14:paraId="347F2BD0">
                  <w:pPr>
                    <w:pStyle w:val="32"/>
                    <w:spacing w:before="48" w:after="48"/>
                  </w:pPr>
                  <w:r>
                    <w:t>废离子交换树脂</w:t>
                  </w:r>
                </w:p>
              </w:tc>
              <w:tc>
                <w:tcPr>
                  <w:tcW w:w="511" w:type="pct"/>
                  <w:tcBorders>
                    <w:tl2br w:val="nil"/>
                    <w:tr2bl w:val="nil"/>
                  </w:tcBorders>
                  <w:vAlign w:val="center"/>
                </w:tcPr>
                <w:p w14:paraId="77501BA5">
                  <w:pPr>
                    <w:pStyle w:val="32"/>
                    <w:spacing w:before="48" w:after="48"/>
                  </w:pPr>
                  <w:r>
                    <w:t>软水装置</w:t>
                  </w:r>
                </w:p>
              </w:tc>
              <w:tc>
                <w:tcPr>
                  <w:tcW w:w="912" w:type="pct"/>
                  <w:tcBorders>
                    <w:tl2br w:val="nil"/>
                    <w:tr2bl w:val="nil"/>
                  </w:tcBorders>
                  <w:vAlign w:val="center"/>
                </w:tcPr>
                <w:p w14:paraId="49C47281">
                  <w:pPr>
                    <w:pStyle w:val="32"/>
                    <w:spacing w:before="48" w:after="48"/>
                  </w:pPr>
                  <w:r>
                    <w:t>一般固体废物（900-999-99）</w:t>
                  </w:r>
                </w:p>
              </w:tc>
              <w:tc>
                <w:tcPr>
                  <w:tcW w:w="540" w:type="pct"/>
                  <w:tcBorders>
                    <w:tl2br w:val="nil"/>
                    <w:tr2bl w:val="nil"/>
                  </w:tcBorders>
                  <w:vAlign w:val="center"/>
                </w:tcPr>
                <w:p w14:paraId="79F8998C">
                  <w:pPr>
                    <w:pStyle w:val="32"/>
                    <w:spacing w:before="48" w:after="48"/>
                  </w:pPr>
                  <w:r>
                    <w:t>/</w:t>
                  </w:r>
                </w:p>
              </w:tc>
              <w:tc>
                <w:tcPr>
                  <w:tcW w:w="422" w:type="pct"/>
                  <w:tcBorders>
                    <w:tl2br w:val="nil"/>
                    <w:tr2bl w:val="nil"/>
                  </w:tcBorders>
                  <w:vAlign w:val="center"/>
                </w:tcPr>
                <w:p w14:paraId="3E2137DB">
                  <w:pPr>
                    <w:pStyle w:val="32"/>
                    <w:spacing w:before="48" w:after="48"/>
                  </w:pPr>
                  <w:r>
                    <w:t>固态</w:t>
                  </w:r>
                </w:p>
              </w:tc>
              <w:tc>
                <w:tcPr>
                  <w:tcW w:w="518" w:type="pct"/>
                  <w:tcBorders>
                    <w:tl2br w:val="nil"/>
                    <w:tr2bl w:val="nil"/>
                  </w:tcBorders>
                  <w:vAlign w:val="center"/>
                </w:tcPr>
                <w:p w14:paraId="5B86502A">
                  <w:pPr>
                    <w:pStyle w:val="32"/>
                    <w:spacing w:before="48" w:after="48"/>
                  </w:pPr>
                  <w:r>
                    <w:t>/</w:t>
                  </w:r>
                </w:p>
              </w:tc>
              <w:tc>
                <w:tcPr>
                  <w:tcW w:w="400" w:type="pct"/>
                  <w:tcBorders>
                    <w:tl2br w:val="nil"/>
                    <w:tr2bl w:val="nil"/>
                  </w:tcBorders>
                  <w:vAlign w:val="center"/>
                </w:tcPr>
                <w:p w14:paraId="0863D54A">
                  <w:pPr>
                    <w:pStyle w:val="32"/>
                    <w:spacing w:before="48" w:after="48"/>
                  </w:pPr>
                  <w:r>
                    <w:t>0.10t/2a</w:t>
                  </w:r>
                </w:p>
              </w:tc>
              <w:tc>
                <w:tcPr>
                  <w:tcW w:w="1007" w:type="pct"/>
                  <w:tcBorders>
                    <w:tl2br w:val="nil"/>
                    <w:tr2bl w:val="nil"/>
                  </w:tcBorders>
                  <w:vAlign w:val="center"/>
                </w:tcPr>
                <w:p w14:paraId="72999B20">
                  <w:pPr>
                    <w:pStyle w:val="32"/>
                    <w:spacing w:before="48" w:after="48"/>
                  </w:pPr>
                  <w:r>
                    <w:t>由出售离子交换树脂厂家替换处理</w:t>
                  </w:r>
                </w:p>
              </w:tc>
            </w:tr>
            <w:tr w14:paraId="34E4EC5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tcBorders>
                    <w:tl2br w:val="nil"/>
                    <w:tr2bl w:val="nil"/>
                  </w:tcBorders>
                  <w:vAlign w:val="center"/>
                </w:tcPr>
                <w:p w14:paraId="6A6097BB">
                  <w:pPr>
                    <w:pStyle w:val="32"/>
                    <w:spacing w:before="48" w:after="48"/>
                  </w:pPr>
                  <w:r>
                    <w:t>7</w:t>
                  </w:r>
                </w:p>
              </w:tc>
              <w:tc>
                <w:tcPr>
                  <w:tcW w:w="441" w:type="pct"/>
                  <w:tcBorders>
                    <w:tl2br w:val="nil"/>
                    <w:tr2bl w:val="nil"/>
                  </w:tcBorders>
                  <w:vAlign w:val="center"/>
                </w:tcPr>
                <w:p w14:paraId="7851FB22">
                  <w:pPr>
                    <w:pStyle w:val="32"/>
                    <w:spacing w:before="48" w:after="48"/>
                    <w:rPr>
                      <w:szCs w:val="21"/>
                    </w:rPr>
                  </w:pPr>
                  <w:r>
                    <w:rPr>
                      <w:szCs w:val="21"/>
                    </w:rPr>
                    <w:t>粉尘</w:t>
                  </w:r>
                </w:p>
              </w:tc>
              <w:tc>
                <w:tcPr>
                  <w:tcW w:w="511" w:type="pct"/>
                  <w:tcBorders>
                    <w:tl2br w:val="nil"/>
                    <w:tr2bl w:val="nil"/>
                  </w:tcBorders>
                  <w:vAlign w:val="center"/>
                </w:tcPr>
                <w:p w14:paraId="38D44C21">
                  <w:pPr>
                    <w:pStyle w:val="32"/>
                    <w:spacing w:before="48" w:after="48"/>
                    <w:rPr>
                      <w:szCs w:val="21"/>
                    </w:rPr>
                  </w:pPr>
                  <w:r>
                    <w:rPr>
                      <w:szCs w:val="21"/>
                    </w:rPr>
                    <w:t>水泥料仓除尘设施</w:t>
                  </w:r>
                </w:p>
              </w:tc>
              <w:tc>
                <w:tcPr>
                  <w:tcW w:w="1539" w:type="dxa"/>
                  <w:tcBorders>
                    <w:tl2br w:val="nil"/>
                    <w:tr2bl w:val="nil"/>
                  </w:tcBorders>
                  <w:vAlign w:val="center"/>
                </w:tcPr>
                <w:p w14:paraId="5BC2CCE0">
                  <w:pPr>
                    <w:pStyle w:val="32"/>
                    <w:spacing w:before="48" w:after="48"/>
                    <w:rPr>
                      <w:szCs w:val="21"/>
                    </w:rPr>
                  </w:pPr>
                  <w:r>
                    <w:rPr>
                      <w:szCs w:val="21"/>
                    </w:rPr>
                    <w:t>一般固体废物（900-999-99）</w:t>
                  </w:r>
                </w:p>
              </w:tc>
              <w:tc>
                <w:tcPr>
                  <w:tcW w:w="912" w:type="dxa"/>
                  <w:tcBorders>
                    <w:tl2br w:val="nil"/>
                    <w:tr2bl w:val="nil"/>
                  </w:tcBorders>
                  <w:vAlign w:val="center"/>
                </w:tcPr>
                <w:p w14:paraId="04896772">
                  <w:pPr>
                    <w:pStyle w:val="32"/>
                    <w:spacing w:before="48" w:after="48"/>
                    <w:rPr>
                      <w:szCs w:val="21"/>
                    </w:rPr>
                  </w:pPr>
                  <w:r>
                    <w:rPr>
                      <w:szCs w:val="21"/>
                    </w:rPr>
                    <w:t>/</w:t>
                  </w:r>
                </w:p>
              </w:tc>
              <w:tc>
                <w:tcPr>
                  <w:tcW w:w="712" w:type="dxa"/>
                  <w:tcBorders>
                    <w:tl2br w:val="nil"/>
                    <w:tr2bl w:val="nil"/>
                  </w:tcBorders>
                  <w:vAlign w:val="center"/>
                </w:tcPr>
                <w:p w14:paraId="5FDF8A31">
                  <w:pPr>
                    <w:pStyle w:val="32"/>
                    <w:spacing w:before="48" w:after="48"/>
                    <w:rPr>
                      <w:szCs w:val="21"/>
                    </w:rPr>
                  </w:pPr>
                  <w:r>
                    <w:rPr>
                      <w:szCs w:val="21"/>
                    </w:rPr>
                    <w:t>固态</w:t>
                  </w:r>
                </w:p>
              </w:tc>
              <w:tc>
                <w:tcPr>
                  <w:tcW w:w="875" w:type="dxa"/>
                  <w:tcBorders>
                    <w:tl2br w:val="nil"/>
                    <w:tr2bl w:val="nil"/>
                  </w:tcBorders>
                  <w:vAlign w:val="center"/>
                </w:tcPr>
                <w:p w14:paraId="106B906B">
                  <w:pPr>
                    <w:pStyle w:val="32"/>
                    <w:spacing w:before="48" w:after="48"/>
                    <w:rPr>
                      <w:szCs w:val="21"/>
                    </w:rPr>
                  </w:pPr>
                  <w:r>
                    <w:rPr>
                      <w:szCs w:val="21"/>
                    </w:rPr>
                    <w:t>/</w:t>
                  </w:r>
                </w:p>
              </w:tc>
              <w:tc>
                <w:tcPr>
                  <w:tcW w:w="674" w:type="dxa"/>
                  <w:tcBorders>
                    <w:tl2br w:val="nil"/>
                    <w:tr2bl w:val="nil"/>
                  </w:tcBorders>
                  <w:vAlign w:val="center"/>
                </w:tcPr>
                <w:p w14:paraId="79790BF5">
                  <w:pPr>
                    <w:pStyle w:val="32"/>
                    <w:spacing w:before="48" w:after="48"/>
                    <w:rPr>
                      <w:szCs w:val="21"/>
                    </w:rPr>
                  </w:pPr>
                  <w:r>
                    <w:rPr>
                      <w:kern w:val="2"/>
                      <w:szCs w:val="21"/>
                    </w:rPr>
                    <w:t>3.2775</w:t>
                  </w:r>
                  <w:r>
                    <w:rPr>
                      <w:szCs w:val="21"/>
                    </w:rPr>
                    <w:t>t/a</w:t>
                  </w:r>
                </w:p>
              </w:tc>
              <w:tc>
                <w:tcPr>
                  <w:tcW w:w="1699" w:type="dxa"/>
                  <w:tcBorders>
                    <w:tl2br w:val="nil"/>
                    <w:tr2bl w:val="nil"/>
                  </w:tcBorders>
                  <w:vAlign w:val="center"/>
                </w:tcPr>
                <w:p w14:paraId="79E2B5E7">
                  <w:pPr>
                    <w:pStyle w:val="32"/>
                    <w:spacing w:before="48" w:after="48"/>
                    <w:rPr>
                      <w:szCs w:val="21"/>
                    </w:rPr>
                  </w:pPr>
                  <w:r>
                    <w:rPr>
                      <w:szCs w:val="21"/>
                    </w:rPr>
                    <w:t>集中收集后回用于生产工序</w:t>
                  </w:r>
                </w:p>
              </w:tc>
            </w:tr>
          </w:tbl>
          <w:p w14:paraId="57545544">
            <w:pPr>
              <w:pStyle w:val="6"/>
              <w:spacing w:before="120" w:after="120"/>
              <w:ind w:firstLine="482"/>
            </w:pPr>
            <w:r>
              <w:t>2、处置方式管理要求</w:t>
            </w:r>
          </w:p>
          <w:p w14:paraId="1DE8F5C3">
            <w:pPr>
              <w:ind w:firstLine="480"/>
            </w:pPr>
            <w:r>
              <w:t>生活垃圾经垃圾桶收集后委托环卫部门清运，切割料</w:t>
            </w:r>
            <w:r>
              <w:rPr>
                <w:szCs w:val="21"/>
              </w:rPr>
              <w:t>集中收集后回用于压制工序</w:t>
            </w:r>
            <w:r>
              <w:t>，灰渣灰分收集后用于农田肥料，废离子交换树脂由出售离子交换树脂厂家替换处理，切割工序除尘设施产生的粉尘</w:t>
            </w:r>
            <w:r>
              <w:rPr>
                <w:szCs w:val="21"/>
              </w:rPr>
              <w:t>集中收集后回用于压制工序，</w:t>
            </w:r>
            <w:r>
              <w:t>废弃包装袋</w:t>
            </w:r>
            <w:r>
              <w:rPr>
                <w:szCs w:val="21"/>
              </w:rPr>
              <w:t>集中收集后外售</w:t>
            </w:r>
            <w:r>
              <w:t>。一般固体废物按照《一般工业固体废物贮存和填埋污染控制标准》（GB18599-2020）要求进行管理。</w:t>
            </w:r>
          </w:p>
          <w:p w14:paraId="169B4DF5">
            <w:pPr>
              <w:ind w:firstLine="480"/>
            </w:pPr>
            <w:r>
              <w:t>经采取措施后，本项目产生的固废对环境产生的影响较小。</w:t>
            </w:r>
          </w:p>
          <w:p w14:paraId="2FF6673B">
            <w:pPr>
              <w:pStyle w:val="5"/>
              <w:spacing w:beforeLines="0" w:afterLines="0" w:line="360" w:lineRule="auto"/>
            </w:pPr>
            <w:r>
              <w:t>五、地下水、土壤环境影响及保护措施</w:t>
            </w:r>
          </w:p>
          <w:p w14:paraId="7A2C49DA">
            <w:pPr>
              <w:ind w:firstLine="480"/>
            </w:pPr>
            <w:r>
              <w:t>根据本项目生产特征，无地下水、土壤污染途径。</w:t>
            </w:r>
          </w:p>
          <w:p w14:paraId="0EE4ED1F">
            <w:pPr>
              <w:pStyle w:val="5"/>
              <w:spacing w:beforeLines="0" w:afterLines="0" w:line="360" w:lineRule="auto"/>
            </w:pPr>
            <w:r>
              <w:t>六、生态环境影响和保护措施</w:t>
            </w:r>
          </w:p>
          <w:p w14:paraId="5A001366">
            <w:pPr>
              <w:ind w:firstLine="480"/>
            </w:pPr>
            <w:r>
              <w:t>本项目租用锦鹤门业公司厂区内部分厂房，用地范围内无生态保护目标。</w:t>
            </w:r>
          </w:p>
          <w:p w14:paraId="75FB0F29">
            <w:pPr>
              <w:pStyle w:val="5"/>
              <w:spacing w:beforeLines="0" w:afterLines="0" w:line="360" w:lineRule="auto"/>
            </w:pPr>
            <w:r>
              <w:t>七、环境风险影响分析</w:t>
            </w:r>
          </w:p>
          <w:p w14:paraId="3E5D5129">
            <w:pPr>
              <w:ind w:firstLine="480"/>
            </w:pPr>
            <w:r>
              <w:t>根据《建设项目环境风险评价技术导则》（HJ169-2018）附录B中所界定的重点关注的危险物质，本项目不涉及相关的危险物质。</w:t>
            </w:r>
          </w:p>
          <w:p w14:paraId="7BFC3C51">
            <w:pPr>
              <w:pStyle w:val="5"/>
              <w:spacing w:beforeLines="0" w:afterLines="0" w:line="360" w:lineRule="auto"/>
            </w:pPr>
            <w:r>
              <w:t>八、电磁辐射</w:t>
            </w:r>
          </w:p>
          <w:p w14:paraId="22857AAB">
            <w:pPr>
              <w:pStyle w:val="28"/>
              <w:ind w:firstLine="480"/>
              <w:rPr>
                <w:rFonts w:hint="eastAsia"/>
              </w:rPr>
            </w:pPr>
            <w:r>
              <w:t>无。</w:t>
            </w:r>
          </w:p>
          <w:p w14:paraId="0E666F70">
            <w:pPr>
              <w:pStyle w:val="5"/>
              <w:widowControl/>
              <w:spacing w:before="120" w:after="120"/>
            </w:pPr>
            <w:r>
              <w:t>九、环保投资及环保设施“三同时”验收一览表</w:t>
            </w:r>
          </w:p>
          <w:p w14:paraId="1326C9F4">
            <w:pPr>
              <w:ind w:firstLine="480"/>
            </w:pPr>
            <w:r>
              <w:t>项目总投资2360万元，本项目环保投资40万元，环保投资占总投资的1.7%， 详见下表。</w:t>
            </w:r>
          </w:p>
          <w:p w14:paraId="15103478">
            <w:pPr>
              <w:pStyle w:val="20"/>
              <w:widowControl w:val="0"/>
              <w:spacing w:beforeLines="50" w:beforeAutospacing="0" w:after="0" w:afterAutospacing="0" w:line="240" w:lineRule="auto"/>
              <w:ind w:firstLine="0" w:firstLineChars="0"/>
              <w:jc w:val="center"/>
              <w:rPr>
                <w:rFonts w:ascii="Times New Roman" w:hAnsi="Times New Roman"/>
              </w:rPr>
            </w:pPr>
            <w:r>
              <w:rPr>
                <w:rFonts w:ascii="Times New Roman" w:hAnsi="Times New Roman"/>
                <w:b/>
                <w:szCs w:val="24"/>
              </w:rPr>
              <w:t>表30</w:t>
            </w:r>
            <w:r>
              <w:rPr>
                <w:rFonts w:ascii="Times New Roman" w:hAnsi="Times New Roman"/>
                <w:b/>
                <w:szCs w:val="24"/>
              </w:rPr>
              <w:tab/>
            </w:r>
            <w:r>
              <w:rPr>
                <w:rFonts w:ascii="Times New Roman" w:hAnsi="Times New Roman"/>
                <w:b/>
                <w:szCs w:val="24"/>
              </w:rPr>
              <w:t>环保投资一览表 单位：万元</w:t>
            </w:r>
          </w:p>
          <w:tbl>
            <w:tblPr>
              <w:tblStyle w:val="24"/>
              <w:tblW w:w="4948" w:type="pct"/>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559"/>
              <w:gridCol w:w="1177"/>
              <w:gridCol w:w="1925"/>
              <w:gridCol w:w="3240"/>
              <w:gridCol w:w="1114"/>
            </w:tblGrid>
            <w:tr w14:paraId="4D5DD60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3" w:hRule="atLeast"/>
              </w:trPr>
              <w:tc>
                <w:tcPr>
                  <w:tcW w:w="348" w:type="pct"/>
                  <w:tcBorders>
                    <w:top w:val="double" w:color="000000" w:sz="2" w:space="0"/>
                    <w:left w:val="nil"/>
                    <w:bottom w:val="single" w:color="000000" w:sz="6" w:space="0"/>
                    <w:right w:val="single" w:color="000000" w:sz="6" w:space="0"/>
                  </w:tcBorders>
                  <w:shd w:val="clear" w:color="auto" w:fill="auto"/>
                  <w:vAlign w:val="center"/>
                </w:tcPr>
                <w:p w14:paraId="492B054C">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序号</w:t>
                  </w:r>
                </w:p>
              </w:tc>
              <w:tc>
                <w:tcPr>
                  <w:tcW w:w="734" w:type="pct"/>
                  <w:tcBorders>
                    <w:top w:val="double" w:color="000000" w:sz="2" w:space="0"/>
                    <w:left w:val="single" w:color="000000" w:sz="6" w:space="0"/>
                    <w:bottom w:val="single" w:color="000000" w:sz="6" w:space="0"/>
                    <w:right w:val="single" w:color="000000" w:sz="6" w:space="0"/>
                  </w:tcBorders>
                  <w:shd w:val="clear" w:color="auto" w:fill="auto"/>
                  <w:vAlign w:val="center"/>
                </w:tcPr>
                <w:p w14:paraId="1C97737D">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类别</w:t>
                  </w:r>
                </w:p>
              </w:tc>
              <w:tc>
                <w:tcPr>
                  <w:tcW w:w="1201" w:type="pct"/>
                  <w:tcBorders>
                    <w:top w:val="double" w:color="000000" w:sz="2" w:space="0"/>
                    <w:left w:val="single" w:color="000000" w:sz="6" w:space="0"/>
                    <w:bottom w:val="single" w:color="000000" w:sz="6" w:space="0"/>
                    <w:right w:val="single" w:color="000000" w:sz="6" w:space="0"/>
                  </w:tcBorders>
                  <w:shd w:val="clear" w:color="auto" w:fill="auto"/>
                  <w:vAlign w:val="center"/>
                </w:tcPr>
                <w:p w14:paraId="149C0BF6">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主要污染源</w:t>
                  </w:r>
                </w:p>
              </w:tc>
              <w:tc>
                <w:tcPr>
                  <w:tcW w:w="2020" w:type="pct"/>
                  <w:tcBorders>
                    <w:top w:val="double" w:color="000000" w:sz="2" w:space="0"/>
                    <w:left w:val="single" w:color="000000" w:sz="6" w:space="0"/>
                    <w:bottom w:val="single" w:color="000000" w:sz="6" w:space="0"/>
                    <w:right w:val="single" w:color="000000" w:sz="6" w:space="0"/>
                  </w:tcBorders>
                  <w:shd w:val="clear" w:color="auto" w:fill="auto"/>
                  <w:vAlign w:val="center"/>
                </w:tcPr>
                <w:p w14:paraId="139ED3DD">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环保设施</w:t>
                  </w:r>
                </w:p>
              </w:tc>
              <w:tc>
                <w:tcPr>
                  <w:tcW w:w="695" w:type="pct"/>
                  <w:tcBorders>
                    <w:top w:val="double" w:color="000000" w:sz="2" w:space="0"/>
                    <w:left w:val="single" w:color="000000" w:sz="6" w:space="0"/>
                    <w:bottom w:val="single" w:color="000000" w:sz="6" w:space="0"/>
                    <w:right w:val="nil"/>
                  </w:tcBorders>
                  <w:shd w:val="clear" w:color="auto" w:fill="auto"/>
                  <w:vAlign w:val="center"/>
                </w:tcPr>
                <w:p w14:paraId="1D1038AB">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环保投资</w:t>
                  </w:r>
                </w:p>
              </w:tc>
            </w:tr>
            <w:tr w14:paraId="5FAEF08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3" w:hRule="atLeast"/>
              </w:trPr>
              <w:tc>
                <w:tcPr>
                  <w:tcW w:w="348" w:type="pct"/>
                  <w:vMerge w:val="restart"/>
                  <w:tcBorders>
                    <w:top w:val="single" w:color="000000" w:sz="6" w:space="0"/>
                    <w:left w:val="nil"/>
                    <w:right w:val="single" w:color="000000" w:sz="6" w:space="0"/>
                  </w:tcBorders>
                  <w:shd w:val="clear" w:color="auto" w:fill="auto"/>
                  <w:vAlign w:val="center"/>
                </w:tcPr>
                <w:p w14:paraId="1AD110E6">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1</w:t>
                  </w:r>
                </w:p>
              </w:tc>
              <w:tc>
                <w:tcPr>
                  <w:tcW w:w="734" w:type="pct"/>
                  <w:vMerge w:val="restart"/>
                  <w:tcBorders>
                    <w:top w:val="single" w:color="000000" w:sz="6" w:space="0"/>
                    <w:left w:val="single" w:color="000000" w:sz="6" w:space="0"/>
                    <w:right w:val="single" w:color="000000" w:sz="6" w:space="0"/>
                  </w:tcBorders>
                  <w:shd w:val="clear" w:color="auto" w:fill="auto"/>
                  <w:vAlign w:val="center"/>
                </w:tcPr>
                <w:p w14:paraId="44FCD401">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废气</w:t>
                  </w:r>
                </w:p>
              </w:tc>
              <w:tc>
                <w:tcPr>
                  <w:tcW w:w="120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7AC1460">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切割粉尘</w:t>
                  </w:r>
                </w:p>
              </w:tc>
              <w:tc>
                <w:tcPr>
                  <w:tcW w:w="202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8D927C4">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旋风除尘+袋式除尘+15m排气筒</w:t>
                  </w:r>
                </w:p>
              </w:tc>
              <w:tc>
                <w:tcPr>
                  <w:tcW w:w="695" w:type="pct"/>
                  <w:tcBorders>
                    <w:top w:val="single" w:color="000000" w:sz="6" w:space="0"/>
                    <w:left w:val="single" w:color="000000" w:sz="6" w:space="0"/>
                    <w:bottom w:val="single" w:color="000000" w:sz="6" w:space="0"/>
                    <w:right w:val="nil"/>
                  </w:tcBorders>
                  <w:shd w:val="clear" w:color="auto" w:fill="auto"/>
                  <w:vAlign w:val="center"/>
                </w:tcPr>
                <w:p w14:paraId="0BA31A0C">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10.0</w:t>
                  </w:r>
                </w:p>
              </w:tc>
            </w:tr>
            <w:tr w14:paraId="2C0F500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3" w:hRule="atLeast"/>
              </w:trPr>
              <w:tc>
                <w:tcPr>
                  <w:tcW w:w="348" w:type="pct"/>
                  <w:vMerge w:val="continue"/>
                  <w:tcBorders>
                    <w:left w:val="nil"/>
                    <w:bottom w:val="single" w:color="000000" w:sz="6" w:space="0"/>
                    <w:right w:val="single" w:color="000000" w:sz="6" w:space="0"/>
                  </w:tcBorders>
                  <w:shd w:val="clear" w:color="auto" w:fill="auto"/>
                  <w:vAlign w:val="center"/>
                </w:tcPr>
                <w:p w14:paraId="40A5A3C9">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p>
              </w:tc>
              <w:tc>
                <w:tcPr>
                  <w:tcW w:w="734" w:type="pct"/>
                  <w:vMerge w:val="continue"/>
                  <w:tcBorders>
                    <w:left w:val="single" w:color="000000" w:sz="6" w:space="0"/>
                    <w:bottom w:val="single" w:color="000000" w:sz="6" w:space="0"/>
                    <w:right w:val="single" w:color="000000" w:sz="6" w:space="0"/>
                  </w:tcBorders>
                  <w:shd w:val="clear" w:color="auto" w:fill="auto"/>
                  <w:vAlign w:val="center"/>
                </w:tcPr>
                <w:p w14:paraId="69073D35">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p>
              </w:tc>
              <w:tc>
                <w:tcPr>
                  <w:tcW w:w="120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A9DAEA5">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蒸汽发生器废气</w:t>
                  </w:r>
                </w:p>
              </w:tc>
              <w:tc>
                <w:tcPr>
                  <w:tcW w:w="202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C1B1067">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生物质发生器燃烧处理，低氮燃烧+旋风除尘+袋式除尘+30m排气筒</w:t>
                  </w:r>
                </w:p>
              </w:tc>
              <w:tc>
                <w:tcPr>
                  <w:tcW w:w="695" w:type="pct"/>
                  <w:tcBorders>
                    <w:top w:val="single" w:color="000000" w:sz="6" w:space="0"/>
                    <w:left w:val="single" w:color="000000" w:sz="6" w:space="0"/>
                    <w:bottom w:val="single" w:color="000000" w:sz="6" w:space="0"/>
                    <w:right w:val="nil"/>
                  </w:tcBorders>
                  <w:shd w:val="clear" w:color="auto" w:fill="auto"/>
                  <w:vAlign w:val="center"/>
                </w:tcPr>
                <w:p w14:paraId="113278EE">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28.5</w:t>
                  </w:r>
                </w:p>
              </w:tc>
            </w:tr>
            <w:tr w14:paraId="6BF29A2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3" w:hRule="atLeast"/>
              </w:trPr>
              <w:tc>
                <w:tcPr>
                  <w:tcW w:w="348" w:type="pct"/>
                  <w:tcBorders>
                    <w:top w:val="single" w:color="000000" w:sz="6" w:space="0"/>
                    <w:left w:val="nil"/>
                    <w:bottom w:val="single" w:color="000000" w:sz="6" w:space="0"/>
                    <w:right w:val="single" w:color="000000" w:sz="6" w:space="0"/>
                  </w:tcBorders>
                  <w:shd w:val="clear" w:color="auto" w:fill="auto"/>
                  <w:vAlign w:val="center"/>
                </w:tcPr>
                <w:p w14:paraId="0401E26C">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2</w:t>
                  </w:r>
                </w:p>
              </w:tc>
              <w:tc>
                <w:tcPr>
                  <w:tcW w:w="73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FB5D179">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噪声</w:t>
                  </w:r>
                </w:p>
              </w:tc>
              <w:tc>
                <w:tcPr>
                  <w:tcW w:w="120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A7F9A98">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等效连续 A 声级</w:t>
                  </w:r>
                </w:p>
              </w:tc>
              <w:tc>
                <w:tcPr>
                  <w:tcW w:w="202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490EF33">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基础减震、厂房隔声</w:t>
                  </w:r>
                </w:p>
              </w:tc>
              <w:tc>
                <w:tcPr>
                  <w:tcW w:w="695" w:type="pct"/>
                  <w:tcBorders>
                    <w:top w:val="single" w:color="000000" w:sz="6" w:space="0"/>
                    <w:left w:val="single" w:color="000000" w:sz="6" w:space="0"/>
                    <w:bottom w:val="single" w:color="000000" w:sz="6" w:space="0"/>
                    <w:right w:val="nil"/>
                  </w:tcBorders>
                  <w:shd w:val="clear" w:color="auto" w:fill="auto"/>
                  <w:vAlign w:val="center"/>
                </w:tcPr>
                <w:p w14:paraId="0428E31C">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1.0</w:t>
                  </w:r>
                </w:p>
              </w:tc>
            </w:tr>
            <w:tr w14:paraId="072DDFB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3" w:hRule="atLeast"/>
              </w:trPr>
              <w:tc>
                <w:tcPr>
                  <w:tcW w:w="348" w:type="pct"/>
                  <w:tcBorders>
                    <w:top w:val="single" w:color="000000" w:sz="6" w:space="0"/>
                    <w:left w:val="nil"/>
                    <w:right w:val="single" w:color="000000" w:sz="6" w:space="0"/>
                  </w:tcBorders>
                  <w:shd w:val="clear" w:color="auto" w:fill="auto"/>
                  <w:vAlign w:val="center"/>
                </w:tcPr>
                <w:p w14:paraId="28FA17D7">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3</w:t>
                  </w:r>
                </w:p>
              </w:tc>
              <w:tc>
                <w:tcPr>
                  <w:tcW w:w="734" w:type="pct"/>
                  <w:tcBorders>
                    <w:top w:val="single" w:color="000000" w:sz="6" w:space="0"/>
                    <w:left w:val="single" w:color="000000" w:sz="6" w:space="0"/>
                    <w:right w:val="single" w:color="000000" w:sz="6" w:space="0"/>
                  </w:tcBorders>
                  <w:shd w:val="clear" w:color="auto" w:fill="auto"/>
                  <w:vAlign w:val="center"/>
                </w:tcPr>
                <w:p w14:paraId="0111C0D4">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固废</w:t>
                  </w:r>
                </w:p>
              </w:tc>
              <w:tc>
                <w:tcPr>
                  <w:tcW w:w="120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34AE9C5">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生活垃圾</w:t>
                  </w:r>
                </w:p>
              </w:tc>
              <w:tc>
                <w:tcPr>
                  <w:tcW w:w="202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456B015">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2个垃圾桶</w:t>
                  </w:r>
                </w:p>
              </w:tc>
              <w:tc>
                <w:tcPr>
                  <w:tcW w:w="695" w:type="pct"/>
                  <w:tcBorders>
                    <w:top w:val="single" w:color="000000" w:sz="6" w:space="0"/>
                    <w:left w:val="single" w:color="000000" w:sz="6" w:space="0"/>
                    <w:bottom w:val="single" w:color="000000" w:sz="6" w:space="0"/>
                    <w:right w:val="nil"/>
                  </w:tcBorders>
                  <w:shd w:val="clear" w:color="auto" w:fill="auto"/>
                  <w:vAlign w:val="center"/>
                </w:tcPr>
                <w:p w14:paraId="68F7D661">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0.5</w:t>
                  </w:r>
                </w:p>
              </w:tc>
            </w:tr>
            <w:tr w14:paraId="0E12B979">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3" w:hRule="atLeast"/>
              </w:trPr>
              <w:tc>
                <w:tcPr>
                  <w:tcW w:w="4304" w:type="pct"/>
                  <w:gridSpan w:val="4"/>
                  <w:tcBorders>
                    <w:top w:val="single" w:color="000000" w:sz="6" w:space="0"/>
                    <w:left w:val="nil"/>
                    <w:bottom w:val="double" w:color="000000" w:sz="2" w:space="0"/>
                    <w:right w:val="single" w:color="000000" w:sz="6" w:space="0"/>
                  </w:tcBorders>
                  <w:shd w:val="clear" w:color="auto" w:fill="auto"/>
                  <w:vAlign w:val="center"/>
                </w:tcPr>
                <w:p w14:paraId="084A3658">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共计</w:t>
                  </w:r>
                </w:p>
              </w:tc>
              <w:tc>
                <w:tcPr>
                  <w:tcW w:w="695" w:type="pct"/>
                  <w:tcBorders>
                    <w:top w:val="single" w:color="000000" w:sz="6" w:space="0"/>
                    <w:left w:val="single" w:color="000000" w:sz="6" w:space="0"/>
                    <w:bottom w:val="double" w:color="000000" w:sz="2" w:space="0"/>
                    <w:right w:val="nil"/>
                  </w:tcBorders>
                  <w:shd w:val="clear" w:color="auto" w:fill="auto"/>
                  <w:vAlign w:val="center"/>
                </w:tcPr>
                <w:p w14:paraId="13AC052D">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40.0</w:t>
                  </w:r>
                </w:p>
              </w:tc>
            </w:tr>
          </w:tbl>
          <w:p w14:paraId="5D30C7AD">
            <w:pPr>
              <w:ind w:firstLine="480"/>
            </w:pPr>
            <w:r>
              <w:t>本项目环保设施“三同时”验收一览表见下表。</w:t>
            </w:r>
          </w:p>
          <w:p w14:paraId="5E509BD6">
            <w:pPr>
              <w:pStyle w:val="20"/>
              <w:widowControl w:val="0"/>
              <w:spacing w:beforeLines="50" w:beforeAutospacing="0" w:after="0" w:afterAutospacing="0" w:line="240" w:lineRule="auto"/>
              <w:ind w:firstLine="0" w:firstLineChars="0"/>
              <w:jc w:val="center"/>
              <w:rPr>
                <w:rFonts w:ascii="Times New Roman" w:hAnsi="Times New Roman"/>
              </w:rPr>
            </w:pPr>
            <w:r>
              <w:rPr>
                <w:rFonts w:ascii="Times New Roman" w:hAnsi="Times New Roman"/>
                <w:b/>
                <w:szCs w:val="24"/>
              </w:rPr>
              <w:t>表31</w:t>
            </w:r>
            <w:r>
              <w:rPr>
                <w:rFonts w:ascii="Times New Roman" w:hAnsi="Times New Roman"/>
                <w:b/>
                <w:szCs w:val="24"/>
              </w:rPr>
              <w:tab/>
            </w:r>
            <w:r>
              <w:rPr>
                <w:rFonts w:ascii="Times New Roman" w:hAnsi="Times New Roman"/>
                <w:b/>
                <w:szCs w:val="24"/>
              </w:rPr>
              <w:t>环保设施“三同时”验收一览表</w:t>
            </w:r>
          </w:p>
          <w:tbl>
            <w:tblPr>
              <w:tblStyle w:val="24"/>
              <w:tblW w:w="5000" w:type="pct"/>
              <w:tblInd w:w="0" w:type="dxa"/>
              <w:tblBorders>
                <w:top w:val="double" w:color="000000" w:sz="4" w:space="0"/>
                <w:left w:val="none" w:color="auto" w:sz="6" w:space="0"/>
                <w:bottom w:val="double" w:color="000000" w:sz="4" w:space="0"/>
                <w:right w:val="none" w:color="auto" w:sz="6" w:space="0"/>
                <w:insideH w:val="single" w:color="000000" w:sz="4" w:space="0"/>
                <w:insideV w:val="single" w:color="000000" w:sz="4" w:space="0"/>
              </w:tblBorders>
              <w:tblLayout w:type="fixed"/>
              <w:tblCellMar>
                <w:top w:w="0" w:type="dxa"/>
                <w:left w:w="0" w:type="dxa"/>
                <w:bottom w:w="0" w:type="dxa"/>
                <w:right w:w="0" w:type="dxa"/>
              </w:tblCellMar>
            </w:tblPr>
            <w:tblGrid>
              <w:gridCol w:w="350"/>
              <w:gridCol w:w="1168"/>
              <w:gridCol w:w="1272"/>
              <w:gridCol w:w="1736"/>
              <w:gridCol w:w="2973"/>
              <w:gridCol w:w="615"/>
            </w:tblGrid>
            <w:tr w14:paraId="108ED5C3">
              <w:tblPrEx>
                <w:tblBorders>
                  <w:top w:val="double" w:color="000000" w:sz="4" w:space="0"/>
                  <w:left w:val="none" w:color="auto" w:sz="6" w:space="0"/>
                  <w:bottom w:val="double" w:color="000000" w:sz="4"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15" w:type="pct"/>
                  <w:tcBorders>
                    <w:top w:val="double" w:color="000000" w:sz="4" w:space="0"/>
                    <w:left w:val="nil"/>
                    <w:bottom w:val="single" w:color="000000" w:sz="4" w:space="0"/>
                    <w:right w:val="single" w:color="000000" w:sz="4" w:space="0"/>
                  </w:tcBorders>
                  <w:shd w:val="clear" w:color="auto" w:fill="auto"/>
                  <w:vAlign w:val="center"/>
                </w:tcPr>
                <w:p w14:paraId="70723FBC">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类别</w:t>
                  </w:r>
                </w:p>
              </w:tc>
              <w:tc>
                <w:tcPr>
                  <w:tcW w:w="719" w:type="pct"/>
                  <w:tcBorders>
                    <w:top w:val="double" w:color="000000" w:sz="4" w:space="0"/>
                    <w:left w:val="single" w:color="000000" w:sz="4" w:space="0"/>
                    <w:bottom w:val="single" w:color="000000" w:sz="4" w:space="0"/>
                    <w:right w:val="single" w:color="000000" w:sz="4" w:space="0"/>
                  </w:tcBorders>
                  <w:shd w:val="clear" w:color="auto" w:fill="auto"/>
                  <w:vAlign w:val="center"/>
                </w:tcPr>
                <w:p w14:paraId="7EBC9B56">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生产工序</w:t>
                  </w:r>
                </w:p>
              </w:tc>
              <w:tc>
                <w:tcPr>
                  <w:tcW w:w="784" w:type="pct"/>
                  <w:tcBorders>
                    <w:top w:val="double" w:color="000000" w:sz="4" w:space="0"/>
                    <w:left w:val="single" w:color="000000" w:sz="4" w:space="0"/>
                    <w:bottom w:val="single" w:color="000000" w:sz="4" w:space="0"/>
                    <w:right w:val="single" w:color="000000" w:sz="4" w:space="0"/>
                  </w:tcBorders>
                  <w:shd w:val="clear" w:color="auto" w:fill="auto"/>
                  <w:vAlign w:val="center"/>
                </w:tcPr>
                <w:p w14:paraId="48CE8404">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污染物</w:t>
                  </w:r>
                </w:p>
              </w:tc>
              <w:tc>
                <w:tcPr>
                  <w:tcW w:w="1069" w:type="pct"/>
                  <w:tcBorders>
                    <w:top w:val="double" w:color="000000" w:sz="4" w:space="0"/>
                    <w:left w:val="single" w:color="000000" w:sz="4" w:space="0"/>
                    <w:bottom w:val="single" w:color="000000" w:sz="4" w:space="0"/>
                    <w:right w:val="single" w:color="000000" w:sz="4" w:space="0"/>
                  </w:tcBorders>
                  <w:shd w:val="clear" w:color="auto" w:fill="auto"/>
                  <w:vAlign w:val="center"/>
                </w:tcPr>
                <w:p w14:paraId="02D58F47">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环保措施</w:t>
                  </w:r>
                </w:p>
              </w:tc>
              <w:tc>
                <w:tcPr>
                  <w:tcW w:w="1831" w:type="pct"/>
                  <w:tcBorders>
                    <w:top w:val="double" w:color="000000" w:sz="4" w:space="0"/>
                    <w:left w:val="single" w:color="000000" w:sz="4" w:space="0"/>
                    <w:bottom w:val="single" w:color="000000" w:sz="4" w:space="0"/>
                    <w:right w:val="single" w:color="000000" w:sz="4" w:space="0"/>
                  </w:tcBorders>
                  <w:shd w:val="clear" w:color="auto" w:fill="auto"/>
                  <w:vAlign w:val="center"/>
                </w:tcPr>
                <w:p w14:paraId="2BCF9D78">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验收标准</w:t>
                  </w:r>
                </w:p>
              </w:tc>
              <w:tc>
                <w:tcPr>
                  <w:tcW w:w="379" w:type="pct"/>
                  <w:tcBorders>
                    <w:top w:val="double" w:color="000000" w:sz="4" w:space="0"/>
                    <w:left w:val="single" w:color="000000" w:sz="4" w:space="0"/>
                    <w:bottom w:val="single" w:color="000000" w:sz="4" w:space="0"/>
                    <w:right w:val="nil"/>
                  </w:tcBorders>
                  <w:shd w:val="clear" w:color="auto" w:fill="auto"/>
                  <w:vAlign w:val="center"/>
                </w:tcPr>
                <w:p w14:paraId="2585A799">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建设时间</w:t>
                  </w:r>
                </w:p>
              </w:tc>
            </w:tr>
            <w:tr w14:paraId="407084C7">
              <w:tblPrEx>
                <w:tblBorders>
                  <w:top w:val="double" w:color="000000" w:sz="4" w:space="0"/>
                  <w:left w:val="none" w:color="auto" w:sz="6" w:space="0"/>
                  <w:bottom w:val="double" w:color="000000" w:sz="4"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15" w:type="pct"/>
                  <w:vMerge w:val="restart"/>
                  <w:tcBorders>
                    <w:top w:val="single" w:color="000000" w:sz="4" w:space="0"/>
                    <w:left w:val="nil"/>
                    <w:right w:val="single" w:color="000000" w:sz="4" w:space="0"/>
                  </w:tcBorders>
                  <w:shd w:val="clear" w:color="auto" w:fill="auto"/>
                  <w:vAlign w:val="center"/>
                </w:tcPr>
                <w:p w14:paraId="43393852">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废气</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9F5F2">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切割工序</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020E">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颗粒物</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CB885">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旋风除尘+袋式除尘+15m排气筒</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BEDA">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《水泥工业大气污染物排放标准》（GB4915-2013）中表2大气污染物特别排放限值</w:t>
                  </w:r>
                </w:p>
              </w:tc>
              <w:tc>
                <w:tcPr>
                  <w:tcW w:w="379" w:type="pct"/>
                  <w:vMerge w:val="restart"/>
                  <w:tcBorders>
                    <w:top w:val="single" w:color="000000" w:sz="4" w:space="0"/>
                    <w:left w:val="single" w:color="000000" w:sz="4" w:space="0"/>
                    <w:right w:val="nil"/>
                  </w:tcBorders>
                  <w:shd w:val="clear" w:color="auto" w:fill="auto"/>
                  <w:vAlign w:val="center"/>
                </w:tcPr>
                <w:p w14:paraId="1CE023A1">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与主体工程同时设计、同时施工、同时运行</w:t>
                  </w:r>
                </w:p>
              </w:tc>
            </w:tr>
            <w:tr w14:paraId="2959B631">
              <w:tblPrEx>
                <w:tblBorders>
                  <w:top w:val="double" w:color="000000" w:sz="4" w:space="0"/>
                  <w:left w:val="none" w:color="auto" w:sz="6" w:space="0"/>
                  <w:bottom w:val="double" w:color="000000" w:sz="4"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15" w:type="pct"/>
                  <w:vMerge w:val="continue"/>
                  <w:tcBorders>
                    <w:left w:val="nil"/>
                    <w:right w:val="single" w:color="000000" w:sz="4" w:space="0"/>
                  </w:tcBorders>
                  <w:shd w:val="clear" w:color="auto" w:fill="auto"/>
                  <w:vAlign w:val="center"/>
                </w:tcPr>
                <w:p w14:paraId="0747D06A">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8B4CD">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发泡工序</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DA50">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非甲烷总烃</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487B6">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生物质发生器燃烧处理+30m排气筒</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B2447">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hint="default" w:ascii="Times New Roman" w:hAnsi="Times New Roman" w:cs="Times New Roman"/>
                      <w:color w:val="FF0000"/>
                      <w:sz w:val="21"/>
                      <w:szCs w:val="21"/>
                    </w:rPr>
                    <w:t>《</w:t>
                  </w:r>
                  <w:r>
                    <w:rPr>
                      <w:rFonts w:hint="default" w:ascii="Times New Roman" w:hAnsi="Times New Roman" w:cs="Times New Roman"/>
                      <w:color w:val="FF0000"/>
                      <w:sz w:val="21"/>
                      <w:szCs w:val="21"/>
                      <w:lang w:eastAsia="zh-CN"/>
                    </w:rPr>
                    <w:t>大气污染物综合排放标准</w:t>
                  </w:r>
                  <w:r>
                    <w:rPr>
                      <w:rFonts w:hint="default" w:ascii="Times New Roman" w:hAnsi="Times New Roman" w:cs="Times New Roman"/>
                      <w:color w:val="FF0000"/>
                      <w:sz w:val="21"/>
                      <w:szCs w:val="21"/>
                    </w:rPr>
                    <w:t>》（GB</w:t>
                  </w:r>
                  <w:r>
                    <w:rPr>
                      <w:rFonts w:hint="default" w:ascii="Times New Roman" w:hAnsi="Times New Roman" w:cs="Times New Roman"/>
                      <w:color w:val="FF0000"/>
                      <w:sz w:val="21"/>
                      <w:szCs w:val="21"/>
                      <w:lang w:val="en-US" w:eastAsia="zh-CN"/>
                    </w:rPr>
                    <w:t>16297-1996</w:t>
                  </w:r>
                  <w:r>
                    <w:rPr>
                      <w:rFonts w:hint="default" w:ascii="Times New Roman" w:hAnsi="Times New Roman" w:cs="Times New Roman"/>
                      <w:color w:val="FF0000"/>
                      <w:sz w:val="21"/>
                      <w:szCs w:val="21"/>
                    </w:rPr>
                    <w:t>）</w:t>
                  </w:r>
                </w:p>
              </w:tc>
              <w:tc>
                <w:tcPr>
                  <w:tcW w:w="379" w:type="pct"/>
                  <w:vMerge w:val="continue"/>
                  <w:tcBorders>
                    <w:left w:val="single" w:color="000000" w:sz="4" w:space="0"/>
                    <w:right w:val="nil"/>
                  </w:tcBorders>
                  <w:shd w:val="clear" w:color="auto" w:fill="auto"/>
                  <w:vAlign w:val="center"/>
                </w:tcPr>
                <w:p w14:paraId="5411D25C">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p>
              </w:tc>
            </w:tr>
            <w:tr w14:paraId="7FCE9986">
              <w:tblPrEx>
                <w:tblBorders>
                  <w:top w:val="double" w:color="000000" w:sz="4" w:space="0"/>
                  <w:left w:val="none" w:color="auto" w:sz="6" w:space="0"/>
                  <w:bottom w:val="double" w:color="000000" w:sz="4"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15" w:type="pct"/>
                  <w:vMerge w:val="continue"/>
                  <w:tcBorders>
                    <w:left w:val="nil"/>
                    <w:bottom w:val="single" w:color="000000" w:sz="4" w:space="0"/>
                    <w:right w:val="single" w:color="000000" w:sz="4" w:space="0"/>
                  </w:tcBorders>
                  <w:shd w:val="clear" w:color="auto" w:fill="auto"/>
                  <w:vAlign w:val="center"/>
                </w:tcPr>
                <w:p w14:paraId="50ECE7E6">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C761">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生物质发生器</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30AE4">
                  <w:pPr>
                    <w:pStyle w:val="20"/>
                    <w:adjustRightInd/>
                    <w:snapToGrid/>
                    <w:spacing w:beforeLines="20" w:beforeAutospacing="0" w:afterLines="20" w:afterAutospacing="0" w:line="240" w:lineRule="auto"/>
                    <w:ind w:firstLine="0" w:firstLineChars="0"/>
                    <w:jc w:val="center"/>
                    <w:rPr>
                      <w:rFonts w:hint="default" w:ascii="Times New Roman" w:hAnsi="Times New Roman"/>
                      <w:sz w:val="21"/>
                      <w:szCs w:val="21"/>
                      <w:lang w:val="en-US"/>
                    </w:rPr>
                  </w:pPr>
                  <w:r>
                    <w:rPr>
                      <w:rFonts w:ascii="Times New Roman" w:hAnsi="Times New Roman"/>
                      <w:sz w:val="21"/>
                      <w:szCs w:val="21"/>
                    </w:rPr>
                    <w:t>颗粒物、二氧化硫、氮氧化物</w:t>
                  </w:r>
                  <w:r>
                    <w:rPr>
                      <w:rFonts w:hint="eastAsia" w:ascii="Times New Roman" w:hAnsi="Times New Roman"/>
                      <w:sz w:val="21"/>
                      <w:szCs w:val="21"/>
                      <w:lang w:eastAsia="zh-CN"/>
                    </w:rPr>
                    <w:t>、</w:t>
                  </w:r>
                  <w:r>
                    <w:rPr>
                      <w:rFonts w:hint="eastAsia" w:ascii="Times New Roman" w:hAnsi="Times New Roman"/>
                      <w:color w:val="FF0000"/>
                      <w:sz w:val="21"/>
                      <w:szCs w:val="21"/>
                      <w:lang w:val="en-US" w:eastAsia="zh-CN"/>
                    </w:rPr>
                    <w:t>烟气黑度、汞及其化合物</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FF0BC">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低氮燃烧+旋风除尘+袋式除尘+30m排气筒</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C0DD5">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《锅炉大气污染物排放标准》（GB13271-2014）中表3大气污染物特别排放限值</w:t>
                  </w:r>
                </w:p>
              </w:tc>
              <w:tc>
                <w:tcPr>
                  <w:tcW w:w="379" w:type="pct"/>
                  <w:vMerge w:val="continue"/>
                  <w:tcBorders>
                    <w:left w:val="single" w:color="000000" w:sz="4" w:space="0"/>
                    <w:right w:val="nil"/>
                  </w:tcBorders>
                  <w:shd w:val="clear" w:color="auto" w:fill="auto"/>
                  <w:vAlign w:val="center"/>
                </w:tcPr>
                <w:p w14:paraId="3C4436CA">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p>
              </w:tc>
            </w:tr>
            <w:tr w14:paraId="21221BDE">
              <w:tblPrEx>
                <w:tblBorders>
                  <w:top w:val="double" w:color="000000" w:sz="4" w:space="0"/>
                  <w:left w:val="none" w:color="auto" w:sz="6" w:space="0"/>
                  <w:bottom w:val="double" w:color="000000" w:sz="4"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15" w:type="pct"/>
                  <w:tcBorders>
                    <w:top w:val="single" w:color="000000" w:sz="4" w:space="0"/>
                    <w:left w:val="nil"/>
                    <w:bottom w:val="single" w:color="000000" w:sz="4" w:space="0"/>
                    <w:right w:val="single" w:color="000000" w:sz="4" w:space="0"/>
                  </w:tcBorders>
                  <w:shd w:val="clear" w:color="auto" w:fill="auto"/>
                  <w:vAlign w:val="center"/>
                </w:tcPr>
                <w:p w14:paraId="6B4184FC">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废水</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4E5CB">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生活污水</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086C">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color w:val="FF0000"/>
                      <w:sz w:val="21"/>
                      <w:szCs w:val="21"/>
                    </w:rPr>
                    <w:t>化学需氧量、氨氮、生化需氧量、总氮、SS</w:t>
                  </w:r>
                  <w:r>
                    <w:rPr>
                      <w:rFonts w:hint="eastAsia" w:ascii="Times New Roman" w:hAnsi="Times New Roman"/>
                      <w:color w:val="FF0000"/>
                      <w:sz w:val="21"/>
                      <w:szCs w:val="21"/>
                      <w:lang w:eastAsia="zh-CN"/>
                    </w:rPr>
                    <w:t>、</w:t>
                  </w:r>
                  <w:r>
                    <w:rPr>
                      <w:rFonts w:hint="eastAsia" w:ascii="Times New Roman" w:hAnsi="Times New Roman"/>
                      <w:color w:val="FF0000"/>
                      <w:sz w:val="21"/>
                      <w:szCs w:val="21"/>
                      <w:lang w:val="en-US" w:eastAsia="zh-CN"/>
                    </w:rPr>
                    <w:t>pH、总磷</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47B58">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排入园区污水处理厂</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1AFF8">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kern w:val="2"/>
                      <w:sz w:val="21"/>
                      <w:szCs w:val="21"/>
                    </w:rPr>
                    <w:t>《辽宁省污水综合排放标准》（DB21/1627-2008）排入污水处理厂标准</w:t>
                  </w:r>
                </w:p>
              </w:tc>
              <w:tc>
                <w:tcPr>
                  <w:tcW w:w="379" w:type="pct"/>
                  <w:vMerge w:val="continue"/>
                  <w:tcBorders>
                    <w:left w:val="single" w:color="000000" w:sz="4" w:space="0"/>
                    <w:right w:val="nil"/>
                  </w:tcBorders>
                  <w:shd w:val="clear" w:color="auto" w:fill="auto"/>
                  <w:vAlign w:val="center"/>
                </w:tcPr>
                <w:p w14:paraId="4C355F68">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p>
              </w:tc>
            </w:tr>
            <w:tr w14:paraId="4F17A753">
              <w:tblPrEx>
                <w:tblBorders>
                  <w:top w:val="double" w:color="000000" w:sz="4" w:space="0"/>
                  <w:left w:val="none" w:color="auto" w:sz="6" w:space="0"/>
                  <w:bottom w:val="double" w:color="000000" w:sz="4"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15" w:type="pct"/>
                  <w:tcBorders>
                    <w:top w:val="single" w:color="000000" w:sz="4" w:space="0"/>
                    <w:left w:val="nil"/>
                    <w:bottom w:val="single" w:color="000000" w:sz="4" w:space="0"/>
                    <w:right w:val="single" w:color="000000" w:sz="4" w:space="0"/>
                  </w:tcBorders>
                  <w:shd w:val="clear" w:color="auto" w:fill="auto"/>
                  <w:vAlign w:val="center"/>
                </w:tcPr>
                <w:p w14:paraId="6429C380">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噪声</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554E3">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生产设备</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03D99">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等效连续 A 声级</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9EC9">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基础减震、厂房隔声</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EA4CD">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《工业企业厂界环境噪声排放标准》（GB12348-2008）3类标准</w:t>
                  </w:r>
                </w:p>
              </w:tc>
              <w:tc>
                <w:tcPr>
                  <w:tcW w:w="379" w:type="pct"/>
                  <w:vMerge w:val="continue"/>
                  <w:tcBorders>
                    <w:left w:val="single" w:color="000000" w:sz="4" w:space="0"/>
                    <w:right w:val="nil"/>
                  </w:tcBorders>
                  <w:shd w:val="clear" w:color="auto" w:fill="auto"/>
                  <w:vAlign w:val="center"/>
                </w:tcPr>
                <w:p w14:paraId="408B3EAD">
                  <w:pPr>
                    <w:widowControl/>
                    <w:adjustRightInd/>
                    <w:snapToGrid/>
                    <w:spacing w:beforeLines="20" w:afterLines="20"/>
                    <w:ind w:firstLine="420"/>
                    <w:jc w:val="center"/>
                    <w:rPr>
                      <w:sz w:val="21"/>
                      <w:szCs w:val="21"/>
                    </w:rPr>
                  </w:pPr>
                </w:p>
              </w:tc>
            </w:tr>
            <w:tr w14:paraId="525A2D20">
              <w:tblPrEx>
                <w:tblBorders>
                  <w:top w:val="double" w:color="000000" w:sz="4" w:space="0"/>
                  <w:left w:val="none" w:color="auto" w:sz="6" w:space="0"/>
                  <w:bottom w:val="double" w:color="000000" w:sz="4"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15" w:type="pct"/>
                  <w:vMerge w:val="restart"/>
                  <w:tcBorders>
                    <w:top w:val="single" w:color="000000" w:sz="4" w:space="0"/>
                    <w:left w:val="nil"/>
                    <w:right w:val="single" w:color="000000" w:sz="4" w:space="0"/>
                  </w:tcBorders>
                  <w:shd w:val="clear" w:color="auto" w:fill="auto"/>
                  <w:vAlign w:val="center"/>
                </w:tcPr>
                <w:p w14:paraId="2D3BC017">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固废</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2298F">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职工生活</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81AF">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生活垃圾</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3A5D">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2个垃圾桶</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62D4">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《城市生活垃圾管理办法》（中华人民共和国建设部令第157号）</w:t>
                  </w:r>
                </w:p>
              </w:tc>
              <w:tc>
                <w:tcPr>
                  <w:tcW w:w="379" w:type="pct"/>
                  <w:vMerge w:val="continue"/>
                  <w:tcBorders>
                    <w:left w:val="single" w:color="000000" w:sz="4" w:space="0"/>
                    <w:right w:val="nil"/>
                  </w:tcBorders>
                  <w:shd w:val="clear" w:color="auto" w:fill="auto"/>
                  <w:vAlign w:val="center"/>
                </w:tcPr>
                <w:p w14:paraId="2C07ED4A">
                  <w:pPr>
                    <w:widowControl/>
                    <w:adjustRightInd/>
                    <w:snapToGrid/>
                    <w:spacing w:beforeLines="20" w:afterLines="20"/>
                    <w:ind w:firstLine="420"/>
                    <w:jc w:val="center"/>
                    <w:rPr>
                      <w:sz w:val="21"/>
                      <w:szCs w:val="21"/>
                    </w:rPr>
                  </w:pPr>
                </w:p>
              </w:tc>
            </w:tr>
            <w:tr w14:paraId="50F63796">
              <w:tblPrEx>
                <w:tblBorders>
                  <w:top w:val="double" w:color="000000" w:sz="4" w:space="0"/>
                  <w:left w:val="none" w:color="auto" w:sz="6" w:space="0"/>
                  <w:bottom w:val="double" w:color="000000" w:sz="4"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15" w:type="pct"/>
                  <w:vMerge w:val="continue"/>
                  <w:tcBorders>
                    <w:left w:val="nil"/>
                    <w:right w:val="single" w:color="000000" w:sz="4" w:space="0"/>
                  </w:tcBorders>
                  <w:shd w:val="clear" w:color="auto" w:fill="auto"/>
                  <w:vAlign w:val="center"/>
                </w:tcPr>
                <w:p w14:paraId="4581E4F8">
                  <w:pPr>
                    <w:widowControl/>
                    <w:adjustRightInd/>
                    <w:snapToGrid/>
                    <w:spacing w:beforeLines="20" w:afterLines="20"/>
                    <w:ind w:firstLine="420"/>
                    <w:jc w:val="center"/>
                    <w:rPr>
                      <w:sz w:val="21"/>
                      <w:szCs w:val="21"/>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F8D30">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切割工序</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C2BA">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切割料</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6C0AB">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集中收集后回用于压制工序</w:t>
                  </w:r>
                </w:p>
              </w:tc>
              <w:tc>
                <w:tcPr>
                  <w:tcW w:w="1831" w:type="pct"/>
                  <w:vMerge w:val="restart"/>
                  <w:tcBorders>
                    <w:top w:val="single" w:color="000000" w:sz="4" w:space="0"/>
                    <w:left w:val="single" w:color="000000" w:sz="4" w:space="0"/>
                    <w:right w:val="single" w:color="000000" w:sz="4" w:space="0"/>
                  </w:tcBorders>
                  <w:shd w:val="clear" w:color="auto" w:fill="auto"/>
                  <w:vAlign w:val="center"/>
                </w:tcPr>
                <w:p w14:paraId="58C6765C">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《一般工业固体废物贮存和填埋污染控制标准》（GB18599-2020）</w:t>
                  </w:r>
                </w:p>
              </w:tc>
              <w:tc>
                <w:tcPr>
                  <w:tcW w:w="379" w:type="pct"/>
                  <w:vMerge w:val="continue"/>
                  <w:tcBorders>
                    <w:left w:val="single" w:color="000000" w:sz="4" w:space="0"/>
                    <w:right w:val="nil"/>
                  </w:tcBorders>
                  <w:shd w:val="clear" w:color="auto" w:fill="auto"/>
                  <w:vAlign w:val="center"/>
                </w:tcPr>
                <w:p w14:paraId="1A6DC069">
                  <w:pPr>
                    <w:widowControl/>
                    <w:adjustRightInd/>
                    <w:snapToGrid/>
                    <w:spacing w:beforeLines="20" w:afterLines="20"/>
                    <w:ind w:firstLine="420"/>
                    <w:jc w:val="center"/>
                    <w:rPr>
                      <w:sz w:val="21"/>
                      <w:szCs w:val="21"/>
                    </w:rPr>
                  </w:pPr>
                </w:p>
              </w:tc>
            </w:tr>
            <w:tr w14:paraId="5A5FAD11">
              <w:tblPrEx>
                <w:tblBorders>
                  <w:top w:val="double" w:color="000000" w:sz="4" w:space="0"/>
                  <w:left w:val="none" w:color="auto" w:sz="6" w:space="0"/>
                  <w:bottom w:val="double" w:color="000000" w:sz="4"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15" w:type="pct"/>
                  <w:vMerge w:val="continue"/>
                  <w:tcBorders>
                    <w:left w:val="nil"/>
                    <w:right w:val="single" w:color="000000" w:sz="4" w:space="0"/>
                  </w:tcBorders>
                  <w:shd w:val="clear" w:color="auto" w:fill="auto"/>
                  <w:vAlign w:val="center"/>
                </w:tcPr>
                <w:p w14:paraId="0ACCC2FF">
                  <w:pPr>
                    <w:widowControl/>
                    <w:adjustRightInd/>
                    <w:snapToGrid/>
                    <w:spacing w:beforeLines="20" w:afterLines="20"/>
                    <w:ind w:firstLine="420"/>
                    <w:jc w:val="center"/>
                    <w:rPr>
                      <w:sz w:val="21"/>
                      <w:szCs w:val="21"/>
                    </w:rPr>
                  </w:pPr>
                </w:p>
              </w:tc>
              <w:tc>
                <w:tcPr>
                  <w:tcW w:w="719" w:type="pct"/>
                  <w:tcBorders>
                    <w:top w:val="single" w:color="000000" w:sz="4" w:space="0"/>
                    <w:left w:val="single" w:color="000000" w:sz="4" w:space="0"/>
                    <w:right w:val="single" w:color="000000" w:sz="4" w:space="0"/>
                  </w:tcBorders>
                  <w:shd w:val="clear" w:color="auto" w:fill="auto"/>
                  <w:vAlign w:val="center"/>
                </w:tcPr>
                <w:p w14:paraId="0539C4C7">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生物质发生器</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F501">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灰渣灰分</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38DB">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收集后用于农田肥料</w:t>
                  </w:r>
                </w:p>
              </w:tc>
              <w:tc>
                <w:tcPr>
                  <w:tcW w:w="1831" w:type="pct"/>
                  <w:vMerge w:val="continue"/>
                  <w:tcBorders>
                    <w:left w:val="single" w:color="000000" w:sz="4" w:space="0"/>
                    <w:right w:val="single" w:color="000000" w:sz="4" w:space="0"/>
                  </w:tcBorders>
                  <w:shd w:val="clear" w:color="auto" w:fill="auto"/>
                  <w:vAlign w:val="center"/>
                </w:tcPr>
                <w:p w14:paraId="1B7AF84F">
                  <w:pPr>
                    <w:widowControl/>
                    <w:adjustRightInd/>
                    <w:snapToGrid/>
                    <w:spacing w:beforeLines="20" w:afterLines="20"/>
                    <w:ind w:firstLine="420"/>
                    <w:jc w:val="center"/>
                    <w:rPr>
                      <w:sz w:val="21"/>
                      <w:szCs w:val="21"/>
                    </w:rPr>
                  </w:pPr>
                </w:p>
              </w:tc>
              <w:tc>
                <w:tcPr>
                  <w:tcW w:w="379" w:type="pct"/>
                  <w:vMerge w:val="continue"/>
                  <w:tcBorders>
                    <w:left w:val="single" w:color="000000" w:sz="4" w:space="0"/>
                    <w:right w:val="nil"/>
                  </w:tcBorders>
                  <w:shd w:val="clear" w:color="auto" w:fill="auto"/>
                  <w:vAlign w:val="center"/>
                </w:tcPr>
                <w:p w14:paraId="1FAECDE5">
                  <w:pPr>
                    <w:widowControl/>
                    <w:adjustRightInd/>
                    <w:snapToGrid/>
                    <w:spacing w:beforeLines="20" w:afterLines="20"/>
                    <w:ind w:firstLine="420"/>
                    <w:jc w:val="center"/>
                    <w:rPr>
                      <w:sz w:val="21"/>
                      <w:szCs w:val="21"/>
                    </w:rPr>
                  </w:pPr>
                </w:p>
              </w:tc>
            </w:tr>
            <w:tr w14:paraId="0BA51894">
              <w:tblPrEx>
                <w:tblBorders>
                  <w:top w:val="double" w:color="000000" w:sz="4" w:space="0"/>
                  <w:left w:val="none" w:color="auto" w:sz="6" w:space="0"/>
                  <w:bottom w:val="double" w:color="000000" w:sz="4"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15" w:type="pct"/>
                  <w:vMerge w:val="continue"/>
                  <w:tcBorders>
                    <w:left w:val="nil"/>
                    <w:right w:val="single" w:color="000000" w:sz="4" w:space="0"/>
                  </w:tcBorders>
                  <w:shd w:val="clear" w:color="auto" w:fill="auto"/>
                  <w:vAlign w:val="center"/>
                </w:tcPr>
                <w:p w14:paraId="5B0661D8">
                  <w:pPr>
                    <w:widowControl/>
                    <w:adjustRightInd/>
                    <w:snapToGrid/>
                    <w:spacing w:beforeLines="20" w:afterLines="20"/>
                    <w:ind w:firstLine="420"/>
                    <w:jc w:val="center"/>
                    <w:rPr>
                      <w:sz w:val="21"/>
                      <w:szCs w:val="21"/>
                    </w:rPr>
                  </w:pPr>
                </w:p>
              </w:tc>
              <w:tc>
                <w:tcPr>
                  <w:tcW w:w="719" w:type="pct"/>
                  <w:tcBorders>
                    <w:left w:val="single" w:color="000000" w:sz="4" w:space="0"/>
                    <w:bottom w:val="single" w:color="000000" w:sz="4" w:space="0"/>
                    <w:right w:val="single" w:color="000000" w:sz="4" w:space="0"/>
                  </w:tcBorders>
                  <w:shd w:val="clear" w:color="auto" w:fill="auto"/>
                  <w:vAlign w:val="center"/>
                </w:tcPr>
                <w:p w14:paraId="4576B20A">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软水装置</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DF1D">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废离子交换树脂</w:t>
                  </w:r>
                </w:p>
              </w:tc>
              <w:tc>
                <w:tcPr>
                  <w:tcW w:w="1069" w:type="pct"/>
                  <w:tcBorders>
                    <w:top w:val="single" w:color="000000" w:sz="4" w:space="0"/>
                    <w:left w:val="single" w:color="000000" w:sz="4" w:space="0"/>
                    <w:right w:val="single" w:color="000000" w:sz="4" w:space="0"/>
                  </w:tcBorders>
                  <w:shd w:val="clear" w:color="auto" w:fill="auto"/>
                  <w:vAlign w:val="center"/>
                </w:tcPr>
                <w:p w14:paraId="2E30CC07">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由出售离子交换树脂厂家替换处理</w:t>
                  </w:r>
                </w:p>
              </w:tc>
              <w:tc>
                <w:tcPr>
                  <w:tcW w:w="1831" w:type="pct"/>
                  <w:vMerge w:val="continue"/>
                  <w:tcBorders>
                    <w:left w:val="single" w:color="000000" w:sz="4" w:space="0"/>
                    <w:right w:val="single" w:color="000000" w:sz="4" w:space="0"/>
                  </w:tcBorders>
                  <w:shd w:val="clear" w:color="auto" w:fill="auto"/>
                  <w:vAlign w:val="center"/>
                </w:tcPr>
                <w:p w14:paraId="5F34FFB9">
                  <w:pPr>
                    <w:widowControl/>
                    <w:adjustRightInd/>
                    <w:snapToGrid/>
                    <w:spacing w:beforeLines="20" w:afterLines="20"/>
                    <w:ind w:firstLine="0" w:firstLineChars="0"/>
                    <w:jc w:val="center"/>
                    <w:rPr>
                      <w:sz w:val="21"/>
                      <w:szCs w:val="21"/>
                    </w:rPr>
                  </w:pPr>
                </w:p>
              </w:tc>
              <w:tc>
                <w:tcPr>
                  <w:tcW w:w="379" w:type="pct"/>
                  <w:vMerge w:val="continue"/>
                  <w:tcBorders>
                    <w:left w:val="single" w:color="000000" w:sz="4" w:space="0"/>
                    <w:right w:val="nil"/>
                  </w:tcBorders>
                  <w:shd w:val="clear" w:color="auto" w:fill="auto"/>
                  <w:vAlign w:val="center"/>
                </w:tcPr>
                <w:p w14:paraId="69BD77B5">
                  <w:pPr>
                    <w:widowControl/>
                    <w:adjustRightInd/>
                    <w:snapToGrid/>
                    <w:spacing w:beforeLines="20" w:afterLines="20"/>
                    <w:ind w:firstLine="420"/>
                    <w:jc w:val="center"/>
                    <w:rPr>
                      <w:sz w:val="21"/>
                      <w:szCs w:val="21"/>
                    </w:rPr>
                  </w:pPr>
                </w:p>
              </w:tc>
            </w:tr>
            <w:tr w14:paraId="0EB689DF">
              <w:tblPrEx>
                <w:tblBorders>
                  <w:top w:val="double" w:color="000000" w:sz="4" w:space="0"/>
                  <w:left w:val="none" w:color="auto" w:sz="6" w:space="0"/>
                  <w:bottom w:val="double" w:color="000000" w:sz="4"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15" w:type="pct"/>
                  <w:vMerge w:val="continue"/>
                  <w:tcBorders>
                    <w:left w:val="nil"/>
                    <w:right w:val="single" w:color="000000" w:sz="4" w:space="0"/>
                  </w:tcBorders>
                  <w:shd w:val="clear" w:color="auto" w:fill="auto"/>
                  <w:vAlign w:val="center"/>
                </w:tcPr>
                <w:p w14:paraId="6A13AADB">
                  <w:pPr>
                    <w:widowControl/>
                    <w:adjustRightInd/>
                    <w:snapToGrid/>
                    <w:spacing w:beforeLines="20" w:afterLines="20"/>
                    <w:ind w:firstLine="420"/>
                    <w:jc w:val="center"/>
                    <w:rPr>
                      <w:sz w:val="21"/>
                      <w:szCs w:val="21"/>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6E491">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切割工序除尘设施</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865B9">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粉尘</w:t>
                  </w:r>
                </w:p>
              </w:tc>
              <w:tc>
                <w:tcPr>
                  <w:tcW w:w="1069" w:type="pct"/>
                  <w:tcBorders>
                    <w:left w:val="single" w:color="000000" w:sz="4" w:space="0"/>
                    <w:right w:val="single" w:color="000000" w:sz="4" w:space="0"/>
                  </w:tcBorders>
                  <w:shd w:val="clear" w:color="auto" w:fill="auto"/>
                  <w:vAlign w:val="center"/>
                </w:tcPr>
                <w:p w14:paraId="1AA91105">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集中收集后回用于压制工序</w:t>
                  </w:r>
                </w:p>
              </w:tc>
              <w:tc>
                <w:tcPr>
                  <w:tcW w:w="1831" w:type="pct"/>
                  <w:vMerge w:val="continue"/>
                  <w:tcBorders>
                    <w:left w:val="single" w:color="000000" w:sz="4" w:space="0"/>
                    <w:right w:val="single" w:color="000000" w:sz="4" w:space="0"/>
                  </w:tcBorders>
                  <w:shd w:val="clear" w:color="auto" w:fill="auto"/>
                  <w:vAlign w:val="center"/>
                </w:tcPr>
                <w:p w14:paraId="6728C31B">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p>
              </w:tc>
              <w:tc>
                <w:tcPr>
                  <w:tcW w:w="379" w:type="pct"/>
                  <w:vMerge w:val="continue"/>
                  <w:tcBorders>
                    <w:left w:val="single" w:color="000000" w:sz="4" w:space="0"/>
                    <w:right w:val="nil"/>
                  </w:tcBorders>
                  <w:shd w:val="clear" w:color="auto" w:fill="auto"/>
                  <w:vAlign w:val="center"/>
                </w:tcPr>
                <w:p w14:paraId="40705AFD">
                  <w:pPr>
                    <w:widowControl/>
                    <w:adjustRightInd/>
                    <w:snapToGrid/>
                    <w:spacing w:beforeLines="20" w:afterLines="20"/>
                    <w:ind w:firstLine="420"/>
                    <w:jc w:val="center"/>
                    <w:rPr>
                      <w:sz w:val="21"/>
                      <w:szCs w:val="21"/>
                    </w:rPr>
                  </w:pPr>
                </w:p>
              </w:tc>
            </w:tr>
            <w:tr w14:paraId="2C69C3FB">
              <w:tblPrEx>
                <w:tblBorders>
                  <w:top w:val="double" w:color="000000" w:sz="4" w:space="0"/>
                  <w:left w:val="none" w:color="auto" w:sz="6" w:space="0"/>
                  <w:bottom w:val="double" w:color="000000" w:sz="4"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15" w:type="pct"/>
                  <w:vMerge w:val="continue"/>
                  <w:tcBorders>
                    <w:left w:val="nil"/>
                    <w:right w:val="single" w:color="000000" w:sz="4" w:space="0"/>
                  </w:tcBorders>
                  <w:shd w:val="clear" w:color="auto" w:fill="auto"/>
                  <w:vAlign w:val="center"/>
                </w:tcPr>
                <w:p w14:paraId="3041B0A7">
                  <w:pPr>
                    <w:widowControl/>
                    <w:adjustRightInd/>
                    <w:snapToGrid/>
                    <w:spacing w:beforeLines="20" w:afterLines="20"/>
                    <w:ind w:firstLine="420"/>
                    <w:jc w:val="center"/>
                    <w:rPr>
                      <w:sz w:val="21"/>
                      <w:szCs w:val="21"/>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8B1D7">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生产过程</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07EB9">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废弃包装袋</w:t>
                  </w:r>
                </w:p>
              </w:tc>
              <w:tc>
                <w:tcPr>
                  <w:tcW w:w="1069" w:type="pct"/>
                  <w:tcBorders>
                    <w:left w:val="single" w:color="000000" w:sz="4" w:space="0"/>
                    <w:right w:val="single" w:color="000000" w:sz="4" w:space="0"/>
                  </w:tcBorders>
                  <w:shd w:val="clear" w:color="auto" w:fill="auto"/>
                  <w:vAlign w:val="center"/>
                </w:tcPr>
                <w:p w14:paraId="39C08D53">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集中收集后外售</w:t>
                  </w:r>
                </w:p>
              </w:tc>
              <w:tc>
                <w:tcPr>
                  <w:tcW w:w="1831" w:type="pct"/>
                  <w:vMerge w:val="continue"/>
                  <w:tcBorders>
                    <w:left w:val="single" w:color="000000" w:sz="4" w:space="0"/>
                    <w:right w:val="single" w:color="000000" w:sz="4" w:space="0"/>
                  </w:tcBorders>
                  <w:shd w:val="clear" w:color="auto" w:fill="auto"/>
                  <w:vAlign w:val="center"/>
                </w:tcPr>
                <w:p w14:paraId="55EBF9CD">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p>
              </w:tc>
              <w:tc>
                <w:tcPr>
                  <w:tcW w:w="379" w:type="pct"/>
                  <w:vMerge w:val="continue"/>
                  <w:tcBorders>
                    <w:left w:val="single" w:color="000000" w:sz="4" w:space="0"/>
                    <w:right w:val="nil"/>
                  </w:tcBorders>
                  <w:shd w:val="clear" w:color="auto" w:fill="auto"/>
                  <w:vAlign w:val="center"/>
                </w:tcPr>
                <w:p w14:paraId="2E3B619D">
                  <w:pPr>
                    <w:widowControl/>
                    <w:adjustRightInd/>
                    <w:snapToGrid/>
                    <w:spacing w:beforeLines="20" w:afterLines="20"/>
                    <w:ind w:firstLine="420"/>
                    <w:jc w:val="center"/>
                    <w:rPr>
                      <w:sz w:val="21"/>
                      <w:szCs w:val="21"/>
                    </w:rPr>
                  </w:pPr>
                </w:p>
              </w:tc>
            </w:tr>
            <w:tr w14:paraId="247598BA">
              <w:tblPrEx>
                <w:tblBorders>
                  <w:top w:val="double" w:color="000000" w:sz="4" w:space="0"/>
                  <w:left w:val="none" w:color="auto" w:sz="6" w:space="0"/>
                  <w:bottom w:val="double" w:color="000000" w:sz="4"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15" w:type="pct"/>
                  <w:vMerge w:val="continue"/>
                  <w:tcBorders>
                    <w:left w:val="nil"/>
                    <w:bottom w:val="double" w:color="000000" w:sz="4" w:space="0"/>
                    <w:right w:val="single" w:color="000000" w:sz="4" w:space="0"/>
                  </w:tcBorders>
                  <w:shd w:val="clear" w:color="auto" w:fill="auto"/>
                  <w:vAlign w:val="center"/>
                </w:tcPr>
                <w:p w14:paraId="07F405E3">
                  <w:pPr>
                    <w:widowControl/>
                    <w:adjustRightInd/>
                    <w:snapToGrid/>
                    <w:spacing w:beforeLines="20" w:afterLines="20"/>
                    <w:ind w:firstLine="420"/>
                    <w:jc w:val="center"/>
                    <w:rPr>
                      <w:sz w:val="21"/>
                      <w:szCs w:val="21"/>
                    </w:rPr>
                  </w:pPr>
                </w:p>
              </w:tc>
              <w:tc>
                <w:tcPr>
                  <w:tcW w:w="719" w:type="pct"/>
                  <w:tcBorders>
                    <w:top w:val="single" w:color="000000" w:sz="4" w:space="0"/>
                    <w:left w:val="single" w:color="000000" w:sz="4" w:space="0"/>
                    <w:bottom w:val="double" w:color="000000" w:sz="4" w:space="0"/>
                    <w:right w:val="single" w:color="000000" w:sz="4" w:space="0"/>
                  </w:tcBorders>
                  <w:shd w:val="clear" w:color="auto" w:fill="auto"/>
                  <w:vAlign w:val="center"/>
                </w:tcPr>
                <w:p w14:paraId="3A464640">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水泥料仓</w:t>
                  </w:r>
                </w:p>
              </w:tc>
              <w:tc>
                <w:tcPr>
                  <w:tcW w:w="784" w:type="pct"/>
                  <w:tcBorders>
                    <w:top w:val="single" w:color="000000" w:sz="4" w:space="0"/>
                    <w:left w:val="single" w:color="000000" w:sz="4" w:space="0"/>
                    <w:bottom w:val="double" w:color="000000" w:sz="4" w:space="0"/>
                    <w:right w:val="single" w:color="000000" w:sz="4" w:space="0"/>
                  </w:tcBorders>
                  <w:shd w:val="clear" w:color="auto" w:fill="auto"/>
                  <w:vAlign w:val="center"/>
                </w:tcPr>
                <w:p w14:paraId="13C94738">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粉尘</w:t>
                  </w:r>
                </w:p>
              </w:tc>
              <w:tc>
                <w:tcPr>
                  <w:tcW w:w="1069" w:type="pct"/>
                  <w:tcBorders>
                    <w:left w:val="single" w:color="000000" w:sz="4" w:space="0"/>
                    <w:bottom w:val="double" w:color="000000" w:sz="4" w:space="0"/>
                    <w:right w:val="single" w:color="000000" w:sz="4" w:space="0"/>
                  </w:tcBorders>
                  <w:shd w:val="clear" w:color="auto" w:fill="auto"/>
                  <w:vAlign w:val="center"/>
                </w:tcPr>
                <w:p w14:paraId="6EEF5202">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r>
                    <w:rPr>
                      <w:rFonts w:ascii="Times New Roman" w:hAnsi="Times New Roman"/>
                      <w:sz w:val="21"/>
                      <w:szCs w:val="21"/>
                    </w:rPr>
                    <w:t>收集后回用于生产</w:t>
                  </w:r>
                </w:p>
              </w:tc>
              <w:tc>
                <w:tcPr>
                  <w:tcW w:w="1831" w:type="pct"/>
                  <w:vMerge w:val="continue"/>
                  <w:tcBorders>
                    <w:left w:val="single" w:color="000000" w:sz="4" w:space="0"/>
                    <w:bottom w:val="double" w:color="000000" w:sz="4" w:space="0"/>
                    <w:right w:val="single" w:color="000000" w:sz="4" w:space="0"/>
                  </w:tcBorders>
                  <w:shd w:val="clear" w:color="auto" w:fill="auto"/>
                  <w:vAlign w:val="center"/>
                </w:tcPr>
                <w:p w14:paraId="496345CA">
                  <w:pPr>
                    <w:pStyle w:val="20"/>
                    <w:adjustRightInd/>
                    <w:snapToGrid/>
                    <w:spacing w:beforeLines="20" w:beforeAutospacing="0" w:afterLines="20" w:afterAutospacing="0" w:line="240" w:lineRule="auto"/>
                    <w:ind w:firstLine="0" w:firstLineChars="0"/>
                    <w:jc w:val="center"/>
                    <w:rPr>
                      <w:rFonts w:ascii="Times New Roman" w:hAnsi="Times New Roman"/>
                      <w:sz w:val="21"/>
                      <w:szCs w:val="21"/>
                    </w:rPr>
                  </w:pPr>
                </w:p>
              </w:tc>
              <w:tc>
                <w:tcPr>
                  <w:tcW w:w="379" w:type="pct"/>
                  <w:vMerge w:val="continue"/>
                  <w:tcBorders>
                    <w:left w:val="single" w:color="000000" w:sz="4" w:space="0"/>
                    <w:bottom w:val="double" w:color="000000" w:sz="4" w:space="0"/>
                    <w:right w:val="nil"/>
                  </w:tcBorders>
                  <w:shd w:val="clear" w:color="auto" w:fill="auto"/>
                  <w:vAlign w:val="center"/>
                </w:tcPr>
                <w:p w14:paraId="19E2B5AB">
                  <w:pPr>
                    <w:widowControl/>
                    <w:adjustRightInd/>
                    <w:snapToGrid/>
                    <w:spacing w:beforeLines="20" w:afterLines="20"/>
                    <w:ind w:firstLine="420"/>
                    <w:jc w:val="center"/>
                    <w:rPr>
                      <w:sz w:val="21"/>
                      <w:szCs w:val="21"/>
                    </w:rPr>
                  </w:pPr>
                </w:p>
              </w:tc>
            </w:tr>
          </w:tbl>
          <w:p w14:paraId="55AD5233">
            <w:pPr>
              <w:pStyle w:val="28"/>
              <w:ind w:firstLine="480"/>
            </w:pPr>
          </w:p>
          <w:p w14:paraId="686D19F8">
            <w:pPr>
              <w:pStyle w:val="28"/>
              <w:ind w:firstLine="480"/>
            </w:pPr>
          </w:p>
          <w:p w14:paraId="16FA36A3">
            <w:pPr>
              <w:pStyle w:val="28"/>
              <w:ind w:firstLine="480"/>
            </w:pPr>
          </w:p>
          <w:p w14:paraId="6BDC09E9">
            <w:pPr>
              <w:pStyle w:val="28"/>
              <w:ind w:firstLine="480"/>
            </w:pPr>
          </w:p>
          <w:p w14:paraId="027EDBF3">
            <w:pPr>
              <w:pStyle w:val="28"/>
              <w:ind w:firstLine="480"/>
            </w:pPr>
          </w:p>
          <w:p w14:paraId="201D9C96">
            <w:pPr>
              <w:pStyle w:val="28"/>
              <w:ind w:firstLine="480"/>
            </w:pPr>
          </w:p>
          <w:p w14:paraId="2ED5E11E">
            <w:pPr>
              <w:pStyle w:val="28"/>
              <w:ind w:firstLine="480"/>
            </w:pPr>
          </w:p>
          <w:p w14:paraId="72C685FB">
            <w:pPr>
              <w:pStyle w:val="28"/>
              <w:ind w:firstLine="480"/>
            </w:pPr>
          </w:p>
          <w:p w14:paraId="2FDFF5E5">
            <w:pPr>
              <w:pStyle w:val="28"/>
              <w:ind w:firstLine="480"/>
            </w:pPr>
          </w:p>
          <w:p w14:paraId="179817E1">
            <w:pPr>
              <w:pStyle w:val="28"/>
              <w:ind w:firstLine="480"/>
            </w:pPr>
          </w:p>
          <w:p w14:paraId="6512A443">
            <w:pPr>
              <w:pStyle w:val="28"/>
              <w:ind w:firstLine="480"/>
            </w:pPr>
          </w:p>
          <w:p w14:paraId="01941AA9">
            <w:pPr>
              <w:pStyle w:val="28"/>
              <w:ind w:firstLine="480"/>
            </w:pPr>
          </w:p>
          <w:p w14:paraId="043CF481">
            <w:pPr>
              <w:pStyle w:val="28"/>
              <w:ind w:firstLine="480"/>
            </w:pPr>
          </w:p>
          <w:p w14:paraId="1D411543">
            <w:pPr>
              <w:pStyle w:val="28"/>
              <w:ind w:firstLine="480"/>
            </w:pPr>
          </w:p>
          <w:p w14:paraId="6BC74440">
            <w:pPr>
              <w:pStyle w:val="28"/>
              <w:ind w:firstLine="480"/>
            </w:pPr>
          </w:p>
          <w:p w14:paraId="3855637A">
            <w:pPr>
              <w:pStyle w:val="28"/>
              <w:ind w:firstLine="480"/>
            </w:pPr>
          </w:p>
          <w:p w14:paraId="7337CAD2">
            <w:pPr>
              <w:pStyle w:val="28"/>
              <w:ind w:firstLine="480"/>
            </w:pPr>
          </w:p>
          <w:p w14:paraId="4E5801FE">
            <w:pPr>
              <w:pStyle w:val="28"/>
              <w:ind w:firstLine="480"/>
            </w:pPr>
          </w:p>
          <w:p w14:paraId="26FA4E6F">
            <w:pPr>
              <w:pStyle w:val="28"/>
              <w:ind w:firstLine="480"/>
            </w:pPr>
          </w:p>
          <w:p w14:paraId="79883089">
            <w:pPr>
              <w:pStyle w:val="28"/>
              <w:ind w:firstLine="480"/>
            </w:pPr>
          </w:p>
          <w:p w14:paraId="77B8410A">
            <w:pPr>
              <w:pStyle w:val="28"/>
              <w:ind w:firstLine="480"/>
            </w:pPr>
          </w:p>
          <w:p w14:paraId="6DAD5713">
            <w:pPr>
              <w:pStyle w:val="28"/>
              <w:ind w:firstLine="480"/>
            </w:pPr>
          </w:p>
          <w:p w14:paraId="3E333549">
            <w:pPr>
              <w:pStyle w:val="28"/>
              <w:ind w:firstLine="0" w:firstLineChars="0"/>
            </w:pPr>
          </w:p>
        </w:tc>
      </w:tr>
    </w:tbl>
    <w:p w14:paraId="5E32A6D5">
      <w:pPr>
        <w:pStyle w:val="3"/>
        <w:spacing w:before="120"/>
      </w:pPr>
      <w:r>
        <w:t>五、</w:t>
      </w:r>
      <w:bookmarkStart w:id="10" w:name="_Hlk54167917"/>
      <w:r>
        <w:t>环境保护措施监督检查清单</w:t>
      </w:r>
      <w:bookmarkEnd w:id="10"/>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9"/>
        <w:gridCol w:w="646"/>
        <w:gridCol w:w="1419"/>
        <w:gridCol w:w="1500"/>
        <w:gridCol w:w="2054"/>
        <w:gridCol w:w="2422"/>
      </w:tblGrid>
      <w:tr w14:paraId="18155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59" w:type="dxa"/>
            <w:tcBorders>
              <w:tl2br w:val="single" w:color="auto" w:sz="4" w:space="0"/>
            </w:tcBorders>
          </w:tcPr>
          <w:p w14:paraId="1380D111">
            <w:pPr>
              <w:pStyle w:val="34"/>
              <w:spacing w:beforeLines="0" w:afterLines="0"/>
              <w:rPr>
                <w:color w:val="FF0000"/>
                <w:szCs w:val="24"/>
              </w:rPr>
            </w:pPr>
            <w:r>
              <w:rPr>
                <w:color w:val="FF0000"/>
                <w:szCs w:val="24"/>
              </w:rPr>
              <w:t>内容</w:t>
            </w:r>
          </w:p>
          <w:p w14:paraId="039ADD63">
            <w:pPr>
              <w:pStyle w:val="34"/>
              <w:spacing w:beforeLines="0" w:afterLines="0"/>
              <w:rPr>
                <w:color w:val="FF0000"/>
                <w:szCs w:val="24"/>
              </w:rPr>
            </w:pPr>
            <w:r>
              <w:rPr>
                <w:color w:val="FF0000"/>
                <w:szCs w:val="24"/>
              </w:rPr>
              <w:t>要素</w:t>
            </w:r>
          </w:p>
        </w:tc>
        <w:tc>
          <w:tcPr>
            <w:tcW w:w="2065" w:type="dxa"/>
            <w:gridSpan w:val="2"/>
            <w:vAlign w:val="center"/>
          </w:tcPr>
          <w:p w14:paraId="494E9D03">
            <w:pPr>
              <w:pStyle w:val="34"/>
              <w:spacing w:beforeLines="0" w:afterLines="0"/>
              <w:rPr>
                <w:color w:val="FF0000"/>
                <w:szCs w:val="24"/>
              </w:rPr>
            </w:pPr>
            <w:r>
              <w:rPr>
                <w:color w:val="FF0000"/>
                <w:szCs w:val="24"/>
              </w:rPr>
              <w:t>排放口(编号、</w:t>
            </w:r>
          </w:p>
          <w:p w14:paraId="6E6FA32D">
            <w:pPr>
              <w:pStyle w:val="34"/>
              <w:spacing w:beforeLines="0" w:afterLines="0"/>
              <w:rPr>
                <w:color w:val="FF0000"/>
                <w:szCs w:val="24"/>
              </w:rPr>
            </w:pPr>
            <w:r>
              <w:rPr>
                <w:color w:val="FF0000"/>
                <w:szCs w:val="24"/>
              </w:rPr>
              <w:t>名称)/污染源</w:t>
            </w:r>
          </w:p>
        </w:tc>
        <w:tc>
          <w:tcPr>
            <w:tcW w:w="1500" w:type="dxa"/>
            <w:vAlign w:val="center"/>
          </w:tcPr>
          <w:p w14:paraId="6479F143">
            <w:pPr>
              <w:pStyle w:val="34"/>
              <w:spacing w:beforeLines="0" w:afterLines="0"/>
              <w:rPr>
                <w:color w:val="FF0000"/>
                <w:szCs w:val="24"/>
              </w:rPr>
            </w:pPr>
            <w:r>
              <w:rPr>
                <w:color w:val="FF0000"/>
                <w:szCs w:val="24"/>
              </w:rPr>
              <w:t>污染物项目</w:t>
            </w:r>
          </w:p>
        </w:tc>
        <w:tc>
          <w:tcPr>
            <w:tcW w:w="2054" w:type="dxa"/>
            <w:vAlign w:val="center"/>
          </w:tcPr>
          <w:p w14:paraId="61DCC612">
            <w:pPr>
              <w:pStyle w:val="34"/>
              <w:spacing w:beforeLines="0" w:afterLines="0"/>
              <w:rPr>
                <w:color w:val="FF0000"/>
                <w:szCs w:val="24"/>
              </w:rPr>
            </w:pPr>
            <w:r>
              <w:rPr>
                <w:color w:val="FF0000"/>
                <w:szCs w:val="24"/>
              </w:rPr>
              <w:t>环境保护措施</w:t>
            </w:r>
          </w:p>
        </w:tc>
        <w:tc>
          <w:tcPr>
            <w:tcW w:w="2422" w:type="dxa"/>
            <w:vAlign w:val="center"/>
          </w:tcPr>
          <w:p w14:paraId="37ED0727">
            <w:pPr>
              <w:pStyle w:val="34"/>
              <w:spacing w:beforeLines="0" w:afterLines="0"/>
              <w:rPr>
                <w:color w:val="FF0000"/>
                <w:szCs w:val="24"/>
              </w:rPr>
            </w:pPr>
            <w:r>
              <w:rPr>
                <w:color w:val="FF0000"/>
                <w:szCs w:val="24"/>
              </w:rPr>
              <w:t>执行标准</w:t>
            </w:r>
          </w:p>
        </w:tc>
      </w:tr>
      <w:tr w14:paraId="0BD29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59" w:type="dxa"/>
            <w:vMerge w:val="restart"/>
            <w:vAlign w:val="center"/>
          </w:tcPr>
          <w:p w14:paraId="03E1138C">
            <w:pPr>
              <w:pStyle w:val="34"/>
              <w:spacing w:beforeLines="0" w:afterLines="0"/>
              <w:rPr>
                <w:color w:val="FF0000"/>
                <w:szCs w:val="24"/>
              </w:rPr>
            </w:pPr>
            <w:r>
              <w:rPr>
                <w:color w:val="FF0000"/>
                <w:szCs w:val="24"/>
              </w:rPr>
              <w:t>大气环境</w:t>
            </w:r>
          </w:p>
        </w:tc>
        <w:tc>
          <w:tcPr>
            <w:tcW w:w="646" w:type="dxa"/>
            <w:vMerge w:val="restart"/>
            <w:vAlign w:val="center"/>
          </w:tcPr>
          <w:p w14:paraId="464EF0DE">
            <w:pPr>
              <w:pStyle w:val="34"/>
              <w:spacing w:beforeLines="0" w:afterLines="0"/>
              <w:rPr>
                <w:color w:val="FF0000"/>
                <w:szCs w:val="24"/>
              </w:rPr>
            </w:pPr>
            <w:r>
              <w:rPr>
                <w:color w:val="FF0000"/>
                <w:szCs w:val="24"/>
              </w:rPr>
              <w:t>有组织</w:t>
            </w:r>
          </w:p>
        </w:tc>
        <w:tc>
          <w:tcPr>
            <w:tcW w:w="1419" w:type="dxa"/>
            <w:vAlign w:val="center"/>
          </w:tcPr>
          <w:p w14:paraId="28073D0D">
            <w:pPr>
              <w:pStyle w:val="34"/>
              <w:spacing w:beforeLines="0" w:afterLines="0"/>
              <w:rPr>
                <w:color w:val="FF0000"/>
                <w:szCs w:val="24"/>
              </w:rPr>
            </w:pPr>
            <w:r>
              <w:rPr>
                <w:color w:val="FF0000"/>
                <w:szCs w:val="24"/>
              </w:rPr>
              <w:t>切割粉尘（DA001）</w:t>
            </w:r>
          </w:p>
        </w:tc>
        <w:tc>
          <w:tcPr>
            <w:tcW w:w="1500" w:type="dxa"/>
            <w:vAlign w:val="center"/>
          </w:tcPr>
          <w:p w14:paraId="43EF3080">
            <w:pPr>
              <w:pStyle w:val="34"/>
              <w:spacing w:beforeLines="0" w:afterLines="0"/>
              <w:rPr>
                <w:color w:val="FF0000"/>
                <w:szCs w:val="24"/>
              </w:rPr>
            </w:pPr>
            <w:r>
              <w:rPr>
                <w:color w:val="FF0000"/>
                <w:szCs w:val="24"/>
              </w:rPr>
              <w:t>颗粒物</w:t>
            </w:r>
          </w:p>
        </w:tc>
        <w:tc>
          <w:tcPr>
            <w:tcW w:w="2054" w:type="dxa"/>
            <w:vAlign w:val="center"/>
          </w:tcPr>
          <w:p w14:paraId="372EBD5C">
            <w:pPr>
              <w:pStyle w:val="34"/>
              <w:spacing w:beforeLines="0" w:afterLines="0"/>
              <w:rPr>
                <w:color w:val="FF0000"/>
                <w:szCs w:val="24"/>
              </w:rPr>
            </w:pPr>
            <w:r>
              <w:rPr>
                <w:color w:val="FF0000"/>
                <w:szCs w:val="24"/>
              </w:rPr>
              <w:t>旋风除尘+袋式除尘+15m排气筒，效率99.9%</w:t>
            </w:r>
          </w:p>
        </w:tc>
        <w:tc>
          <w:tcPr>
            <w:tcW w:w="2422" w:type="dxa"/>
            <w:vAlign w:val="center"/>
          </w:tcPr>
          <w:p w14:paraId="0B417992">
            <w:pPr>
              <w:pStyle w:val="34"/>
              <w:spacing w:beforeLines="0" w:afterLines="0"/>
              <w:rPr>
                <w:color w:val="FF0000"/>
                <w:szCs w:val="24"/>
              </w:rPr>
            </w:pPr>
            <w:r>
              <w:rPr>
                <w:color w:val="FF0000"/>
                <w:szCs w:val="24"/>
              </w:rPr>
              <w:t>《水泥工业大气污染物排放标准》（GB4915-2013）中表2大气污染物特别排放限值（颗粒物：10mg/m</w:t>
            </w:r>
            <w:r>
              <w:rPr>
                <w:color w:val="FF0000"/>
                <w:szCs w:val="24"/>
                <w:vertAlign w:val="superscript"/>
              </w:rPr>
              <w:t>3</w:t>
            </w:r>
            <w:r>
              <w:rPr>
                <w:color w:val="FF0000"/>
                <w:szCs w:val="24"/>
              </w:rPr>
              <w:t>）</w:t>
            </w:r>
          </w:p>
        </w:tc>
      </w:tr>
      <w:tr w14:paraId="0C2910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59" w:type="dxa"/>
            <w:vMerge w:val="continue"/>
            <w:vAlign w:val="center"/>
          </w:tcPr>
          <w:p w14:paraId="75D54159">
            <w:pPr>
              <w:pStyle w:val="34"/>
              <w:spacing w:beforeLines="0" w:afterLines="0"/>
              <w:rPr>
                <w:color w:val="FF0000"/>
                <w:szCs w:val="24"/>
              </w:rPr>
            </w:pPr>
          </w:p>
        </w:tc>
        <w:tc>
          <w:tcPr>
            <w:tcW w:w="646" w:type="dxa"/>
            <w:vMerge w:val="continue"/>
            <w:vAlign w:val="center"/>
          </w:tcPr>
          <w:p w14:paraId="3FED973F">
            <w:pPr>
              <w:pStyle w:val="34"/>
              <w:spacing w:beforeLines="0" w:afterLines="0"/>
              <w:rPr>
                <w:color w:val="FF0000"/>
                <w:szCs w:val="24"/>
              </w:rPr>
            </w:pPr>
          </w:p>
        </w:tc>
        <w:tc>
          <w:tcPr>
            <w:tcW w:w="1419" w:type="dxa"/>
            <w:vMerge w:val="restart"/>
            <w:vAlign w:val="center"/>
          </w:tcPr>
          <w:p w14:paraId="6B869C19">
            <w:pPr>
              <w:pStyle w:val="34"/>
              <w:spacing w:beforeLines="0" w:afterLines="0"/>
              <w:rPr>
                <w:color w:val="FF0000"/>
                <w:szCs w:val="24"/>
              </w:rPr>
            </w:pPr>
            <w:r>
              <w:rPr>
                <w:color w:val="FF0000"/>
                <w:szCs w:val="24"/>
              </w:rPr>
              <w:t>蒸汽发生器废气（DA002）</w:t>
            </w:r>
          </w:p>
        </w:tc>
        <w:tc>
          <w:tcPr>
            <w:tcW w:w="1500" w:type="dxa"/>
            <w:vAlign w:val="center"/>
          </w:tcPr>
          <w:p w14:paraId="706FB904">
            <w:pPr>
              <w:pStyle w:val="34"/>
              <w:spacing w:beforeLines="0" w:afterLines="0"/>
              <w:rPr>
                <w:rFonts w:hint="default"/>
                <w:color w:val="FF0000"/>
                <w:szCs w:val="24"/>
                <w:lang w:val="en-US"/>
              </w:rPr>
            </w:pPr>
            <w:r>
              <w:rPr>
                <w:color w:val="FF0000"/>
                <w:szCs w:val="24"/>
              </w:rPr>
              <w:t>颗粒物、二氧化硫、氮氧化物</w:t>
            </w:r>
            <w:r>
              <w:rPr>
                <w:rFonts w:hint="eastAsia"/>
                <w:color w:val="FF0000"/>
                <w:szCs w:val="24"/>
                <w:lang w:eastAsia="zh-CN"/>
              </w:rPr>
              <w:t>、</w:t>
            </w:r>
            <w:r>
              <w:rPr>
                <w:rFonts w:hint="eastAsia"/>
                <w:color w:val="FF0000"/>
                <w:szCs w:val="24"/>
                <w:lang w:val="en-US" w:eastAsia="zh-CN"/>
              </w:rPr>
              <w:t>烟气黑度、汞及其化合物</w:t>
            </w:r>
          </w:p>
        </w:tc>
        <w:tc>
          <w:tcPr>
            <w:tcW w:w="2054" w:type="dxa"/>
            <w:vAlign w:val="center"/>
          </w:tcPr>
          <w:p w14:paraId="21A70503">
            <w:pPr>
              <w:pStyle w:val="34"/>
              <w:spacing w:beforeLines="0" w:afterLines="0"/>
              <w:rPr>
                <w:color w:val="FF0000"/>
                <w:szCs w:val="24"/>
              </w:rPr>
            </w:pPr>
            <w:r>
              <w:rPr>
                <w:color w:val="FF0000"/>
                <w:szCs w:val="24"/>
              </w:rPr>
              <w:t>低氮燃烧+旋风除尘+袋式除尘+30m排气筒，除尘效率99.9%</w:t>
            </w:r>
          </w:p>
        </w:tc>
        <w:tc>
          <w:tcPr>
            <w:tcW w:w="2422" w:type="dxa"/>
            <w:vAlign w:val="center"/>
          </w:tcPr>
          <w:p w14:paraId="48E7919D">
            <w:pPr>
              <w:pStyle w:val="34"/>
              <w:spacing w:beforeLines="0" w:afterLines="0"/>
              <w:rPr>
                <w:color w:val="FF0000"/>
                <w:szCs w:val="24"/>
              </w:rPr>
            </w:pPr>
            <w:r>
              <w:rPr>
                <w:color w:val="FF0000"/>
                <w:szCs w:val="24"/>
              </w:rPr>
              <w:t>《锅炉大气污染物排放标准》（GB13271-2014）中表3大气污染物特别排放限值（颗粒物：20mg/m</w:t>
            </w:r>
            <w:r>
              <w:rPr>
                <w:color w:val="FF0000"/>
                <w:szCs w:val="24"/>
                <w:vertAlign w:val="superscript"/>
              </w:rPr>
              <w:t>3</w:t>
            </w:r>
            <w:r>
              <w:rPr>
                <w:color w:val="FF0000"/>
                <w:szCs w:val="24"/>
              </w:rPr>
              <w:t>、二氧化硫:50mg/m</w:t>
            </w:r>
            <w:r>
              <w:rPr>
                <w:color w:val="FF0000"/>
                <w:szCs w:val="24"/>
                <w:vertAlign w:val="superscript"/>
              </w:rPr>
              <w:t>3</w:t>
            </w:r>
            <w:r>
              <w:rPr>
                <w:color w:val="FF0000"/>
                <w:szCs w:val="24"/>
              </w:rPr>
              <w:t>、氮氧化物:150mg/m</w:t>
            </w:r>
            <w:r>
              <w:rPr>
                <w:color w:val="FF0000"/>
                <w:szCs w:val="24"/>
                <w:vertAlign w:val="superscript"/>
              </w:rPr>
              <w:t>3</w:t>
            </w:r>
            <w:r>
              <w:rPr>
                <w:color w:val="FF0000"/>
                <w:szCs w:val="24"/>
              </w:rPr>
              <w:t>）</w:t>
            </w:r>
          </w:p>
        </w:tc>
      </w:tr>
      <w:tr w14:paraId="53111C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759" w:type="dxa"/>
            <w:vMerge w:val="continue"/>
            <w:vAlign w:val="center"/>
          </w:tcPr>
          <w:p w14:paraId="5EE44D0D">
            <w:pPr>
              <w:pStyle w:val="34"/>
              <w:spacing w:beforeLines="0" w:afterLines="0"/>
              <w:rPr>
                <w:color w:val="FF0000"/>
                <w:szCs w:val="24"/>
              </w:rPr>
            </w:pPr>
          </w:p>
        </w:tc>
        <w:tc>
          <w:tcPr>
            <w:tcW w:w="646" w:type="dxa"/>
            <w:vMerge w:val="continue"/>
            <w:vAlign w:val="center"/>
          </w:tcPr>
          <w:p w14:paraId="6178E5E2">
            <w:pPr>
              <w:pStyle w:val="34"/>
              <w:spacing w:beforeLines="0" w:afterLines="0"/>
              <w:rPr>
                <w:color w:val="FF0000"/>
                <w:szCs w:val="24"/>
              </w:rPr>
            </w:pPr>
          </w:p>
        </w:tc>
        <w:tc>
          <w:tcPr>
            <w:tcW w:w="1419" w:type="dxa"/>
            <w:vMerge w:val="continue"/>
            <w:vAlign w:val="center"/>
          </w:tcPr>
          <w:p w14:paraId="14616E25">
            <w:pPr>
              <w:pStyle w:val="34"/>
              <w:spacing w:beforeLines="0" w:afterLines="0"/>
              <w:rPr>
                <w:color w:val="FF0000"/>
                <w:szCs w:val="24"/>
              </w:rPr>
            </w:pPr>
          </w:p>
        </w:tc>
        <w:tc>
          <w:tcPr>
            <w:tcW w:w="1500" w:type="dxa"/>
            <w:vAlign w:val="center"/>
          </w:tcPr>
          <w:p w14:paraId="2D34E45E">
            <w:pPr>
              <w:pStyle w:val="34"/>
              <w:spacing w:beforeLines="0" w:afterLines="0"/>
              <w:rPr>
                <w:color w:val="FF0000"/>
                <w:szCs w:val="24"/>
              </w:rPr>
            </w:pPr>
            <w:r>
              <w:rPr>
                <w:color w:val="FF0000"/>
                <w:szCs w:val="24"/>
              </w:rPr>
              <w:t>非甲烷总烃</w:t>
            </w:r>
          </w:p>
        </w:tc>
        <w:tc>
          <w:tcPr>
            <w:tcW w:w="2054" w:type="dxa"/>
            <w:vAlign w:val="center"/>
          </w:tcPr>
          <w:p w14:paraId="77F7A05C">
            <w:pPr>
              <w:pStyle w:val="34"/>
              <w:spacing w:beforeLines="0" w:afterLines="0"/>
              <w:rPr>
                <w:color w:val="FF0000"/>
                <w:szCs w:val="24"/>
              </w:rPr>
            </w:pPr>
            <w:r>
              <w:rPr>
                <w:color w:val="FF0000"/>
                <w:szCs w:val="24"/>
              </w:rPr>
              <w:t>生物质发生器燃烧处理，燃烧率90%</w:t>
            </w:r>
          </w:p>
        </w:tc>
        <w:tc>
          <w:tcPr>
            <w:tcW w:w="2422" w:type="dxa"/>
            <w:vAlign w:val="center"/>
          </w:tcPr>
          <w:p w14:paraId="10CD94FC">
            <w:pPr>
              <w:pStyle w:val="34"/>
              <w:spacing w:beforeLines="0" w:afterLines="0"/>
              <w:rPr>
                <w:rFonts w:hint="eastAsia" w:eastAsia="宋体"/>
                <w:color w:val="FF0000"/>
                <w:szCs w:val="24"/>
                <w:lang w:eastAsia="zh-CN"/>
              </w:rPr>
            </w:pPr>
            <w:r>
              <w:rPr>
                <w:color w:val="FF0000"/>
              </w:rPr>
              <w:t>《</w:t>
            </w:r>
            <w:r>
              <w:rPr>
                <w:rFonts w:hint="eastAsia"/>
                <w:color w:val="FF0000"/>
                <w:lang w:eastAsia="zh-CN"/>
              </w:rPr>
              <w:t>大气污染物综合排放标准</w:t>
            </w:r>
            <w:r>
              <w:rPr>
                <w:color w:val="FF0000"/>
              </w:rPr>
              <w:t>》（GB</w:t>
            </w:r>
            <w:r>
              <w:rPr>
                <w:rFonts w:hint="eastAsia"/>
                <w:color w:val="FF0000"/>
                <w:lang w:val="en-US" w:eastAsia="zh-CN"/>
              </w:rPr>
              <w:t>16297-1996</w:t>
            </w:r>
            <w:r>
              <w:rPr>
                <w:color w:val="FF0000"/>
              </w:rPr>
              <w:t>）</w:t>
            </w:r>
            <w:r>
              <w:rPr>
                <w:color w:val="FF0000"/>
                <w:szCs w:val="24"/>
              </w:rPr>
              <w:t>（非甲烷总烃：</w:t>
            </w:r>
            <w:r>
              <w:rPr>
                <w:rFonts w:hint="eastAsia"/>
                <w:color w:val="FF0000"/>
                <w:szCs w:val="24"/>
                <w:lang w:val="en-US" w:eastAsia="zh-CN"/>
              </w:rPr>
              <w:t>120</w:t>
            </w:r>
            <w:r>
              <w:rPr>
                <w:color w:val="FF0000"/>
                <w:szCs w:val="24"/>
              </w:rPr>
              <w:t>mg/m</w:t>
            </w:r>
            <w:r>
              <w:rPr>
                <w:color w:val="FF0000"/>
                <w:szCs w:val="24"/>
                <w:vertAlign w:val="superscript"/>
              </w:rPr>
              <w:t>3</w:t>
            </w:r>
            <w:r>
              <w:rPr>
                <w:rFonts w:hint="eastAsia"/>
                <w:color w:val="FF0000"/>
                <w:szCs w:val="24"/>
                <w:lang w:eastAsia="zh-CN"/>
              </w:rPr>
              <w:t>，</w:t>
            </w:r>
            <w:r>
              <w:rPr>
                <w:rFonts w:hint="eastAsia"/>
                <w:color w:val="FF0000"/>
                <w:szCs w:val="24"/>
                <w:lang w:val="en-US" w:eastAsia="zh-CN"/>
              </w:rPr>
              <w:t>53kg/h</w:t>
            </w:r>
            <w:r>
              <w:rPr>
                <w:color w:val="FF0000"/>
                <w:szCs w:val="24"/>
              </w:rPr>
              <w:t>）</w:t>
            </w:r>
          </w:p>
        </w:tc>
      </w:tr>
      <w:tr w14:paraId="3999B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759" w:type="dxa"/>
            <w:vMerge w:val="continue"/>
            <w:vAlign w:val="center"/>
          </w:tcPr>
          <w:p w14:paraId="37E5B6A2">
            <w:pPr>
              <w:pStyle w:val="34"/>
              <w:spacing w:beforeLines="0" w:afterLines="0"/>
              <w:rPr>
                <w:color w:val="FF0000"/>
                <w:szCs w:val="24"/>
              </w:rPr>
            </w:pPr>
          </w:p>
        </w:tc>
        <w:tc>
          <w:tcPr>
            <w:tcW w:w="646" w:type="dxa"/>
            <w:vMerge w:val="restart"/>
            <w:vAlign w:val="center"/>
          </w:tcPr>
          <w:p w14:paraId="1C58C105">
            <w:pPr>
              <w:pStyle w:val="34"/>
              <w:spacing w:beforeLines="0" w:afterLines="0"/>
              <w:rPr>
                <w:color w:val="FF0000"/>
                <w:szCs w:val="24"/>
              </w:rPr>
            </w:pPr>
            <w:r>
              <w:rPr>
                <w:color w:val="FF0000"/>
                <w:szCs w:val="24"/>
              </w:rPr>
              <w:t>无组织</w:t>
            </w:r>
          </w:p>
        </w:tc>
        <w:tc>
          <w:tcPr>
            <w:tcW w:w="1419" w:type="dxa"/>
            <w:vAlign w:val="center"/>
          </w:tcPr>
          <w:p w14:paraId="17DB1A1F">
            <w:pPr>
              <w:pStyle w:val="34"/>
              <w:spacing w:beforeLines="0" w:afterLines="0"/>
              <w:rPr>
                <w:color w:val="FF0000"/>
                <w:szCs w:val="24"/>
              </w:rPr>
            </w:pPr>
            <w:r>
              <w:rPr>
                <w:color w:val="FF0000"/>
                <w:szCs w:val="24"/>
              </w:rPr>
              <w:t>投料工序、水泥料仓</w:t>
            </w:r>
          </w:p>
        </w:tc>
        <w:tc>
          <w:tcPr>
            <w:tcW w:w="1500" w:type="dxa"/>
            <w:vAlign w:val="center"/>
          </w:tcPr>
          <w:p w14:paraId="106406AB">
            <w:pPr>
              <w:pStyle w:val="34"/>
              <w:spacing w:beforeLines="0" w:afterLines="0"/>
              <w:rPr>
                <w:color w:val="FF0000"/>
                <w:szCs w:val="24"/>
              </w:rPr>
            </w:pPr>
            <w:r>
              <w:rPr>
                <w:color w:val="FF0000"/>
                <w:szCs w:val="24"/>
              </w:rPr>
              <w:t>颗粒物</w:t>
            </w:r>
          </w:p>
        </w:tc>
        <w:tc>
          <w:tcPr>
            <w:tcW w:w="2054" w:type="dxa"/>
            <w:vAlign w:val="center"/>
          </w:tcPr>
          <w:p w14:paraId="44748039">
            <w:pPr>
              <w:pStyle w:val="34"/>
              <w:spacing w:beforeLines="0" w:afterLines="0"/>
              <w:rPr>
                <w:color w:val="FF0000"/>
                <w:szCs w:val="24"/>
              </w:rPr>
            </w:pPr>
            <w:r>
              <w:rPr>
                <w:color w:val="FF0000"/>
                <w:szCs w:val="24"/>
              </w:rPr>
              <w:t>/</w:t>
            </w:r>
          </w:p>
        </w:tc>
        <w:tc>
          <w:tcPr>
            <w:tcW w:w="2422" w:type="dxa"/>
            <w:vAlign w:val="center"/>
          </w:tcPr>
          <w:p w14:paraId="6C4AE906">
            <w:pPr>
              <w:pStyle w:val="34"/>
              <w:spacing w:beforeLines="0" w:afterLines="0"/>
              <w:rPr>
                <w:color w:val="FF0000"/>
                <w:szCs w:val="24"/>
              </w:rPr>
            </w:pPr>
            <w:r>
              <w:rPr>
                <w:color w:val="FF0000"/>
                <w:szCs w:val="24"/>
              </w:rPr>
              <w:t>《水泥工业大气污染物排放标准》（GB4915-2013）表3中相关要求（颗粒物：0.5mg/m</w:t>
            </w:r>
            <w:r>
              <w:rPr>
                <w:color w:val="FF0000"/>
                <w:szCs w:val="24"/>
                <w:vertAlign w:val="superscript"/>
              </w:rPr>
              <w:t>3</w:t>
            </w:r>
            <w:r>
              <w:rPr>
                <w:color w:val="FF0000"/>
                <w:szCs w:val="24"/>
              </w:rPr>
              <w:t>）</w:t>
            </w:r>
          </w:p>
        </w:tc>
      </w:tr>
      <w:tr w14:paraId="4184F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759" w:type="dxa"/>
            <w:vMerge w:val="continue"/>
            <w:vAlign w:val="center"/>
          </w:tcPr>
          <w:p w14:paraId="20AD8115">
            <w:pPr>
              <w:pStyle w:val="34"/>
              <w:spacing w:beforeLines="0" w:afterLines="0"/>
              <w:rPr>
                <w:color w:val="FF0000"/>
                <w:szCs w:val="24"/>
              </w:rPr>
            </w:pPr>
          </w:p>
        </w:tc>
        <w:tc>
          <w:tcPr>
            <w:tcW w:w="646" w:type="dxa"/>
            <w:vMerge w:val="continue"/>
            <w:vAlign w:val="center"/>
          </w:tcPr>
          <w:p w14:paraId="023221E8">
            <w:pPr>
              <w:pStyle w:val="34"/>
              <w:spacing w:beforeLines="0" w:afterLines="0"/>
              <w:rPr>
                <w:color w:val="FF0000"/>
                <w:szCs w:val="24"/>
              </w:rPr>
            </w:pPr>
          </w:p>
        </w:tc>
        <w:tc>
          <w:tcPr>
            <w:tcW w:w="1419" w:type="dxa"/>
            <w:vAlign w:val="center"/>
          </w:tcPr>
          <w:p w14:paraId="6482D5EE">
            <w:pPr>
              <w:pStyle w:val="34"/>
              <w:spacing w:beforeLines="0" w:afterLines="0"/>
              <w:rPr>
                <w:color w:val="FF0000"/>
                <w:szCs w:val="24"/>
              </w:rPr>
            </w:pPr>
            <w:r>
              <w:rPr>
                <w:color w:val="FF0000"/>
                <w:szCs w:val="24"/>
              </w:rPr>
              <w:t>发泡工序</w:t>
            </w:r>
          </w:p>
        </w:tc>
        <w:tc>
          <w:tcPr>
            <w:tcW w:w="1500" w:type="dxa"/>
            <w:vAlign w:val="center"/>
          </w:tcPr>
          <w:p w14:paraId="2FCF12C1">
            <w:pPr>
              <w:pStyle w:val="34"/>
              <w:spacing w:beforeLines="0" w:afterLines="0"/>
              <w:rPr>
                <w:color w:val="FF0000"/>
                <w:szCs w:val="24"/>
              </w:rPr>
            </w:pPr>
            <w:r>
              <w:rPr>
                <w:color w:val="FF0000"/>
                <w:szCs w:val="24"/>
              </w:rPr>
              <w:t>非甲烷总烃</w:t>
            </w:r>
          </w:p>
        </w:tc>
        <w:tc>
          <w:tcPr>
            <w:tcW w:w="2054" w:type="dxa"/>
            <w:vAlign w:val="center"/>
          </w:tcPr>
          <w:p w14:paraId="7ABB4B91">
            <w:pPr>
              <w:pStyle w:val="34"/>
              <w:spacing w:beforeLines="0" w:afterLines="0"/>
              <w:rPr>
                <w:color w:val="FF0000"/>
                <w:szCs w:val="24"/>
              </w:rPr>
            </w:pPr>
            <w:r>
              <w:rPr>
                <w:color w:val="FF0000"/>
                <w:szCs w:val="24"/>
              </w:rPr>
              <w:t>/</w:t>
            </w:r>
          </w:p>
        </w:tc>
        <w:tc>
          <w:tcPr>
            <w:tcW w:w="2422" w:type="dxa"/>
            <w:vAlign w:val="center"/>
          </w:tcPr>
          <w:p w14:paraId="4ED661DB">
            <w:pPr>
              <w:pStyle w:val="34"/>
              <w:spacing w:beforeLines="0" w:afterLines="0"/>
              <w:rPr>
                <w:color w:val="FF0000"/>
                <w:szCs w:val="24"/>
              </w:rPr>
            </w:pPr>
            <w:r>
              <w:rPr>
                <w:color w:val="FF0000"/>
              </w:rPr>
              <w:t>《</w:t>
            </w:r>
            <w:r>
              <w:rPr>
                <w:rFonts w:hint="eastAsia"/>
                <w:color w:val="FF0000"/>
                <w:lang w:eastAsia="zh-CN"/>
              </w:rPr>
              <w:t>大气污染物综合排放标准</w:t>
            </w:r>
            <w:r>
              <w:rPr>
                <w:color w:val="FF0000"/>
              </w:rPr>
              <w:t>》（GB</w:t>
            </w:r>
            <w:r>
              <w:rPr>
                <w:rFonts w:hint="eastAsia"/>
                <w:color w:val="FF0000"/>
                <w:lang w:val="en-US" w:eastAsia="zh-CN"/>
              </w:rPr>
              <w:t>16297-1996</w:t>
            </w:r>
            <w:r>
              <w:rPr>
                <w:color w:val="FF0000"/>
              </w:rPr>
              <w:t>）</w:t>
            </w:r>
            <w:r>
              <w:rPr>
                <w:color w:val="FF0000"/>
                <w:szCs w:val="24"/>
              </w:rPr>
              <w:t>中相关要求（非甲烷总烃：4.0mg/m</w:t>
            </w:r>
            <w:r>
              <w:rPr>
                <w:color w:val="FF0000"/>
                <w:szCs w:val="24"/>
                <w:vertAlign w:val="superscript"/>
              </w:rPr>
              <w:t>3</w:t>
            </w:r>
            <w:r>
              <w:rPr>
                <w:color w:val="FF0000"/>
                <w:szCs w:val="24"/>
              </w:rPr>
              <w:t>）</w:t>
            </w:r>
          </w:p>
        </w:tc>
      </w:tr>
      <w:tr w14:paraId="709FC6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59" w:type="dxa"/>
            <w:vMerge w:val="restart"/>
            <w:vAlign w:val="center"/>
          </w:tcPr>
          <w:p w14:paraId="238F1FBA">
            <w:pPr>
              <w:pStyle w:val="34"/>
              <w:spacing w:beforeLines="0" w:afterLines="0"/>
              <w:rPr>
                <w:color w:val="FF0000"/>
                <w:szCs w:val="24"/>
              </w:rPr>
            </w:pPr>
            <w:r>
              <w:rPr>
                <w:color w:val="FF0000"/>
                <w:szCs w:val="24"/>
              </w:rPr>
              <w:t>地表水环境</w:t>
            </w:r>
          </w:p>
        </w:tc>
        <w:tc>
          <w:tcPr>
            <w:tcW w:w="2065" w:type="dxa"/>
            <w:gridSpan w:val="2"/>
            <w:vMerge w:val="restart"/>
            <w:vAlign w:val="center"/>
          </w:tcPr>
          <w:p w14:paraId="7F141660">
            <w:pPr>
              <w:pStyle w:val="34"/>
              <w:spacing w:beforeLines="0" w:afterLines="0"/>
              <w:rPr>
                <w:color w:val="FF0000"/>
                <w:szCs w:val="24"/>
              </w:rPr>
            </w:pPr>
            <w:r>
              <w:rPr>
                <w:color w:val="FF0000"/>
                <w:szCs w:val="24"/>
              </w:rPr>
              <w:t>生活污水</w:t>
            </w:r>
          </w:p>
        </w:tc>
        <w:tc>
          <w:tcPr>
            <w:tcW w:w="1500" w:type="dxa"/>
            <w:vAlign w:val="center"/>
          </w:tcPr>
          <w:p w14:paraId="14E9A872">
            <w:pPr>
              <w:pStyle w:val="34"/>
              <w:spacing w:beforeLines="0" w:afterLines="0"/>
              <w:rPr>
                <w:color w:val="FF0000"/>
                <w:szCs w:val="24"/>
              </w:rPr>
            </w:pPr>
            <w:r>
              <w:rPr>
                <w:color w:val="FF0000"/>
                <w:szCs w:val="24"/>
              </w:rPr>
              <w:t>pH</w:t>
            </w:r>
          </w:p>
        </w:tc>
        <w:tc>
          <w:tcPr>
            <w:tcW w:w="2054" w:type="dxa"/>
            <w:vMerge w:val="restart"/>
            <w:vAlign w:val="center"/>
          </w:tcPr>
          <w:p w14:paraId="24916CEF">
            <w:pPr>
              <w:pStyle w:val="34"/>
              <w:spacing w:beforeLines="0" w:afterLines="0"/>
              <w:rPr>
                <w:color w:val="FF0000"/>
                <w:szCs w:val="24"/>
              </w:rPr>
            </w:pPr>
            <w:r>
              <w:rPr>
                <w:bCs/>
                <w:color w:val="FF0000"/>
                <w:szCs w:val="24"/>
              </w:rPr>
              <w:t>生活污水排入园区污水处理厂</w:t>
            </w:r>
          </w:p>
        </w:tc>
        <w:tc>
          <w:tcPr>
            <w:tcW w:w="2422" w:type="dxa"/>
            <w:vMerge w:val="restart"/>
            <w:vAlign w:val="center"/>
          </w:tcPr>
          <w:p w14:paraId="3CB98E06">
            <w:pPr>
              <w:pStyle w:val="34"/>
              <w:spacing w:beforeLines="0" w:afterLines="0"/>
              <w:rPr>
                <w:color w:val="FF0000"/>
                <w:szCs w:val="24"/>
              </w:rPr>
            </w:pPr>
            <w:r>
              <w:rPr>
                <w:color w:val="FF0000"/>
                <w:szCs w:val="24"/>
              </w:rPr>
              <w:t>《辽宁省污水综合排放标准》（DB21/1627-2008）中表2排入污水处理厂标准</w:t>
            </w:r>
          </w:p>
        </w:tc>
      </w:tr>
      <w:tr w14:paraId="7A2D4F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9" w:type="dxa"/>
            <w:vMerge w:val="continue"/>
            <w:vAlign w:val="center"/>
          </w:tcPr>
          <w:p w14:paraId="4D73F369">
            <w:pPr>
              <w:pStyle w:val="34"/>
              <w:spacing w:beforeLines="0" w:afterLines="0"/>
              <w:rPr>
                <w:color w:val="FF0000"/>
                <w:szCs w:val="24"/>
              </w:rPr>
            </w:pPr>
          </w:p>
        </w:tc>
        <w:tc>
          <w:tcPr>
            <w:tcW w:w="2065" w:type="dxa"/>
            <w:gridSpan w:val="2"/>
            <w:vMerge w:val="continue"/>
            <w:vAlign w:val="center"/>
          </w:tcPr>
          <w:p w14:paraId="1E08B89D">
            <w:pPr>
              <w:pStyle w:val="34"/>
              <w:spacing w:beforeLines="0" w:afterLines="0"/>
              <w:rPr>
                <w:color w:val="FF0000"/>
                <w:szCs w:val="24"/>
              </w:rPr>
            </w:pPr>
          </w:p>
        </w:tc>
        <w:tc>
          <w:tcPr>
            <w:tcW w:w="1500" w:type="dxa"/>
            <w:vAlign w:val="center"/>
          </w:tcPr>
          <w:p w14:paraId="52F2D9E4">
            <w:pPr>
              <w:pStyle w:val="34"/>
              <w:spacing w:beforeLines="0" w:afterLines="0"/>
              <w:rPr>
                <w:color w:val="FF0000"/>
                <w:szCs w:val="24"/>
              </w:rPr>
            </w:pPr>
            <w:r>
              <w:rPr>
                <w:color w:val="FF0000"/>
                <w:szCs w:val="24"/>
              </w:rPr>
              <w:t>总氮</w:t>
            </w:r>
          </w:p>
        </w:tc>
        <w:tc>
          <w:tcPr>
            <w:tcW w:w="2054" w:type="dxa"/>
            <w:vMerge w:val="continue"/>
            <w:vAlign w:val="center"/>
          </w:tcPr>
          <w:p w14:paraId="3745EA40">
            <w:pPr>
              <w:pStyle w:val="34"/>
              <w:spacing w:beforeLines="0" w:afterLines="0"/>
              <w:rPr>
                <w:color w:val="FF0000"/>
                <w:szCs w:val="24"/>
              </w:rPr>
            </w:pPr>
          </w:p>
        </w:tc>
        <w:tc>
          <w:tcPr>
            <w:tcW w:w="2422" w:type="dxa"/>
            <w:vMerge w:val="continue"/>
            <w:vAlign w:val="center"/>
          </w:tcPr>
          <w:p w14:paraId="6A938854">
            <w:pPr>
              <w:pStyle w:val="34"/>
              <w:spacing w:beforeLines="0" w:afterLines="0"/>
              <w:rPr>
                <w:color w:val="FF0000"/>
                <w:szCs w:val="24"/>
              </w:rPr>
            </w:pPr>
          </w:p>
        </w:tc>
      </w:tr>
      <w:tr w14:paraId="3D0DB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59" w:type="dxa"/>
            <w:vMerge w:val="continue"/>
            <w:vAlign w:val="center"/>
          </w:tcPr>
          <w:p w14:paraId="6C35D9DF">
            <w:pPr>
              <w:pStyle w:val="34"/>
              <w:spacing w:beforeLines="0" w:afterLines="0"/>
              <w:rPr>
                <w:color w:val="FF0000"/>
                <w:szCs w:val="24"/>
              </w:rPr>
            </w:pPr>
          </w:p>
        </w:tc>
        <w:tc>
          <w:tcPr>
            <w:tcW w:w="2065" w:type="dxa"/>
            <w:gridSpan w:val="2"/>
            <w:vMerge w:val="continue"/>
            <w:vAlign w:val="center"/>
          </w:tcPr>
          <w:p w14:paraId="3705A6AD">
            <w:pPr>
              <w:pStyle w:val="34"/>
              <w:spacing w:beforeLines="0" w:afterLines="0"/>
              <w:rPr>
                <w:color w:val="FF0000"/>
                <w:szCs w:val="24"/>
              </w:rPr>
            </w:pPr>
          </w:p>
        </w:tc>
        <w:tc>
          <w:tcPr>
            <w:tcW w:w="1500" w:type="dxa"/>
            <w:vAlign w:val="center"/>
          </w:tcPr>
          <w:p w14:paraId="00932958">
            <w:pPr>
              <w:pStyle w:val="34"/>
              <w:spacing w:beforeLines="0" w:afterLines="0"/>
              <w:rPr>
                <w:color w:val="FF0000"/>
                <w:szCs w:val="24"/>
              </w:rPr>
            </w:pPr>
            <w:r>
              <w:rPr>
                <w:color w:val="FF0000"/>
                <w:szCs w:val="24"/>
              </w:rPr>
              <w:t>磷酸盐</w:t>
            </w:r>
          </w:p>
        </w:tc>
        <w:tc>
          <w:tcPr>
            <w:tcW w:w="2054" w:type="dxa"/>
            <w:vMerge w:val="continue"/>
            <w:vAlign w:val="center"/>
          </w:tcPr>
          <w:p w14:paraId="6E2B4C99">
            <w:pPr>
              <w:pStyle w:val="34"/>
              <w:spacing w:beforeLines="0" w:afterLines="0"/>
              <w:rPr>
                <w:color w:val="FF0000"/>
                <w:szCs w:val="24"/>
              </w:rPr>
            </w:pPr>
          </w:p>
        </w:tc>
        <w:tc>
          <w:tcPr>
            <w:tcW w:w="2422" w:type="dxa"/>
            <w:vMerge w:val="continue"/>
            <w:vAlign w:val="center"/>
          </w:tcPr>
          <w:p w14:paraId="2A8AB6A7">
            <w:pPr>
              <w:pStyle w:val="34"/>
              <w:spacing w:beforeLines="0" w:afterLines="0"/>
              <w:rPr>
                <w:color w:val="FF0000"/>
                <w:szCs w:val="24"/>
              </w:rPr>
            </w:pPr>
          </w:p>
        </w:tc>
      </w:tr>
      <w:tr w14:paraId="5FB72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vMerge w:val="continue"/>
            <w:vAlign w:val="center"/>
          </w:tcPr>
          <w:p w14:paraId="22CB2225">
            <w:pPr>
              <w:pStyle w:val="34"/>
              <w:spacing w:beforeLines="0" w:afterLines="0"/>
              <w:rPr>
                <w:color w:val="FF0000"/>
                <w:szCs w:val="24"/>
              </w:rPr>
            </w:pPr>
          </w:p>
        </w:tc>
        <w:tc>
          <w:tcPr>
            <w:tcW w:w="2065" w:type="dxa"/>
            <w:gridSpan w:val="2"/>
            <w:vMerge w:val="continue"/>
            <w:vAlign w:val="center"/>
          </w:tcPr>
          <w:p w14:paraId="72366939">
            <w:pPr>
              <w:pStyle w:val="34"/>
              <w:spacing w:beforeLines="0" w:afterLines="0"/>
              <w:rPr>
                <w:color w:val="FF0000"/>
                <w:szCs w:val="24"/>
              </w:rPr>
            </w:pPr>
          </w:p>
        </w:tc>
        <w:tc>
          <w:tcPr>
            <w:tcW w:w="1500" w:type="dxa"/>
            <w:vAlign w:val="center"/>
          </w:tcPr>
          <w:p w14:paraId="6CA06B07">
            <w:pPr>
              <w:pStyle w:val="34"/>
              <w:spacing w:beforeLines="0" w:afterLines="0"/>
              <w:rPr>
                <w:color w:val="FF0000"/>
                <w:szCs w:val="24"/>
              </w:rPr>
            </w:pPr>
            <w:r>
              <w:rPr>
                <w:color w:val="FF0000"/>
                <w:szCs w:val="24"/>
              </w:rPr>
              <w:t>生化需氧量</w:t>
            </w:r>
          </w:p>
        </w:tc>
        <w:tc>
          <w:tcPr>
            <w:tcW w:w="2054" w:type="dxa"/>
            <w:vMerge w:val="continue"/>
            <w:vAlign w:val="center"/>
          </w:tcPr>
          <w:p w14:paraId="3028DE3A">
            <w:pPr>
              <w:pStyle w:val="34"/>
              <w:spacing w:beforeLines="0" w:afterLines="0"/>
              <w:rPr>
                <w:color w:val="FF0000"/>
                <w:szCs w:val="24"/>
              </w:rPr>
            </w:pPr>
          </w:p>
        </w:tc>
        <w:tc>
          <w:tcPr>
            <w:tcW w:w="2422" w:type="dxa"/>
            <w:vMerge w:val="continue"/>
            <w:vAlign w:val="center"/>
          </w:tcPr>
          <w:p w14:paraId="2A50A05A">
            <w:pPr>
              <w:pStyle w:val="34"/>
              <w:spacing w:beforeLines="0" w:afterLines="0"/>
              <w:rPr>
                <w:color w:val="FF0000"/>
                <w:szCs w:val="24"/>
              </w:rPr>
            </w:pPr>
          </w:p>
        </w:tc>
      </w:tr>
      <w:tr w14:paraId="730BE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9" w:type="dxa"/>
            <w:vMerge w:val="continue"/>
            <w:vAlign w:val="center"/>
          </w:tcPr>
          <w:p w14:paraId="069B4B89">
            <w:pPr>
              <w:pStyle w:val="34"/>
              <w:spacing w:beforeLines="0" w:afterLines="0"/>
              <w:rPr>
                <w:color w:val="FF0000"/>
                <w:szCs w:val="24"/>
              </w:rPr>
            </w:pPr>
          </w:p>
        </w:tc>
        <w:tc>
          <w:tcPr>
            <w:tcW w:w="2065" w:type="dxa"/>
            <w:gridSpan w:val="2"/>
            <w:vMerge w:val="continue"/>
            <w:vAlign w:val="center"/>
          </w:tcPr>
          <w:p w14:paraId="203DB2B1">
            <w:pPr>
              <w:pStyle w:val="34"/>
              <w:spacing w:beforeLines="0" w:afterLines="0"/>
              <w:rPr>
                <w:color w:val="FF0000"/>
                <w:szCs w:val="24"/>
              </w:rPr>
            </w:pPr>
          </w:p>
        </w:tc>
        <w:tc>
          <w:tcPr>
            <w:tcW w:w="1500" w:type="dxa"/>
            <w:vAlign w:val="center"/>
          </w:tcPr>
          <w:p w14:paraId="61BAE76D">
            <w:pPr>
              <w:pStyle w:val="34"/>
              <w:spacing w:beforeLines="0" w:afterLines="0"/>
              <w:rPr>
                <w:color w:val="FF0000"/>
                <w:szCs w:val="24"/>
              </w:rPr>
            </w:pPr>
            <w:r>
              <w:rPr>
                <w:color w:val="FF0000"/>
                <w:szCs w:val="24"/>
              </w:rPr>
              <w:t>COD</w:t>
            </w:r>
          </w:p>
        </w:tc>
        <w:tc>
          <w:tcPr>
            <w:tcW w:w="2054" w:type="dxa"/>
            <w:vMerge w:val="continue"/>
            <w:vAlign w:val="center"/>
          </w:tcPr>
          <w:p w14:paraId="39A53B6B">
            <w:pPr>
              <w:pStyle w:val="34"/>
              <w:spacing w:beforeLines="0" w:afterLines="0"/>
              <w:rPr>
                <w:color w:val="FF0000"/>
                <w:szCs w:val="24"/>
              </w:rPr>
            </w:pPr>
          </w:p>
        </w:tc>
        <w:tc>
          <w:tcPr>
            <w:tcW w:w="2422" w:type="dxa"/>
            <w:vMerge w:val="continue"/>
            <w:vAlign w:val="center"/>
          </w:tcPr>
          <w:p w14:paraId="5D9FF08E">
            <w:pPr>
              <w:pStyle w:val="34"/>
              <w:spacing w:beforeLines="0" w:afterLines="0"/>
              <w:rPr>
                <w:color w:val="FF0000"/>
                <w:szCs w:val="24"/>
              </w:rPr>
            </w:pPr>
          </w:p>
        </w:tc>
      </w:tr>
      <w:tr w14:paraId="1BB94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9" w:type="dxa"/>
            <w:vMerge w:val="continue"/>
            <w:vAlign w:val="center"/>
          </w:tcPr>
          <w:p w14:paraId="7615FBCD">
            <w:pPr>
              <w:pStyle w:val="34"/>
              <w:spacing w:beforeLines="0" w:afterLines="0"/>
              <w:rPr>
                <w:color w:val="FF0000"/>
                <w:szCs w:val="24"/>
              </w:rPr>
            </w:pPr>
          </w:p>
        </w:tc>
        <w:tc>
          <w:tcPr>
            <w:tcW w:w="2065" w:type="dxa"/>
            <w:gridSpan w:val="2"/>
            <w:vMerge w:val="continue"/>
            <w:vAlign w:val="center"/>
          </w:tcPr>
          <w:p w14:paraId="7F6FDE2C">
            <w:pPr>
              <w:pStyle w:val="34"/>
              <w:spacing w:beforeLines="0" w:afterLines="0"/>
              <w:rPr>
                <w:color w:val="FF0000"/>
                <w:szCs w:val="24"/>
              </w:rPr>
            </w:pPr>
          </w:p>
        </w:tc>
        <w:tc>
          <w:tcPr>
            <w:tcW w:w="1500" w:type="dxa"/>
            <w:vAlign w:val="center"/>
          </w:tcPr>
          <w:p w14:paraId="74BF544F">
            <w:pPr>
              <w:pStyle w:val="34"/>
              <w:spacing w:beforeLines="0" w:afterLines="0"/>
              <w:rPr>
                <w:color w:val="FF0000"/>
                <w:szCs w:val="24"/>
              </w:rPr>
            </w:pPr>
            <w:r>
              <w:rPr>
                <w:color w:val="FF0000"/>
                <w:szCs w:val="24"/>
              </w:rPr>
              <w:t>SS</w:t>
            </w:r>
          </w:p>
        </w:tc>
        <w:tc>
          <w:tcPr>
            <w:tcW w:w="2054" w:type="dxa"/>
            <w:vMerge w:val="continue"/>
            <w:vAlign w:val="center"/>
          </w:tcPr>
          <w:p w14:paraId="705AC631">
            <w:pPr>
              <w:pStyle w:val="34"/>
              <w:spacing w:beforeLines="0" w:afterLines="0"/>
              <w:rPr>
                <w:color w:val="FF0000"/>
                <w:szCs w:val="24"/>
              </w:rPr>
            </w:pPr>
          </w:p>
        </w:tc>
        <w:tc>
          <w:tcPr>
            <w:tcW w:w="2422" w:type="dxa"/>
            <w:vMerge w:val="continue"/>
            <w:vAlign w:val="center"/>
          </w:tcPr>
          <w:p w14:paraId="317E5A29">
            <w:pPr>
              <w:pStyle w:val="34"/>
              <w:spacing w:beforeLines="0" w:afterLines="0"/>
              <w:rPr>
                <w:color w:val="FF0000"/>
                <w:szCs w:val="24"/>
              </w:rPr>
            </w:pPr>
          </w:p>
        </w:tc>
      </w:tr>
      <w:tr w14:paraId="409540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59" w:type="dxa"/>
            <w:vMerge w:val="continue"/>
            <w:vAlign w:val="center"/>
          </w:tcPr>
          <w:p w14:paraId="600861AA">
            <w:pPr>
              <w:pStyle w:val="34"/>
              <w:spacing w:beforeLines="0" w:afterLines="0"/>
              <w:rPr>
                <w:color w:val="FF0000"/>
                <w:szCs w:val="24"/>
              </w:rPr>
            </w:pPr>
          </w:p>
        </w:tc>
        <w:tc>
          <w:tcPr>
            <w:tcW w:w="2065" w:type="dxa"/>
            <w:gridSpan w:val="2"/>
            <w:vMerge w:val="continue"/>
            <w:vAlign w:val="center"/>
          </w:tcPr>
          <w:p w14:paraId="63E57A07">
            <w:pPr>
              <w:pStyle w:val="34"/>
              <w:spacing w:beforeLines="0" w:afterLines="0"/>
              <w:rPr>
                <w:color w:val="FF0000"/>
                <w:szCs w:val="24"/>
              </w:rPr>
            </w:pPr>
          </w:p>
        </w:tc>
        <w:tc>
          <w:tcPr>
            <w:tcW w:w="1500" w:type="dxa"/>
            <w:vAlign w:val="center"/>
          </w:tcPr>
          <w:p w14:paraId="463BECFF">
            <w:pPr>
              <w:pStyle w:val="34"/>
              <w:spacing w:beforeLines="0" w:afterLines="0"/>
              <w:rPr>
                <w:color w:val="FF0000"/>
                <w:szCs w:val="24"/>
              </w:rPr>
            </w:pPr>
            <w:r>
              <w:rPr>
                <w:color w:val="FF0000"/>
                <w:szCs w:val="24"/>
              </w:rPr>
              <w:t>NH</w:t>
            </w:r>
            <w:r>
              <w:rPr>
                <w:color w:val="FF0000"/>
                <w:szCs w:val="24"/>
                <w:vertAlign w:val="subscript"/>
              </w:rPr>
              <w:t>3</w:t>
            </w:r>
            <w:r>
              <w:rPr>
                <w:color w:val="FF0000"/>
                <w:szCs w:val="24"/>
              </w:rPr>
              <w:t>-N</w:t>
            </w:r>
          </w:p>
        </w:tc>
        <w:tc>
          <w:tcPr>
            <w:tcW w:w="2054" w:type="dxa"/>
            <w:vMerge w:val="continue"/>
            <w:vAlign w:val="center"/>
          </w:tcPr>
          <w:p w14:paraId="2BC560F2">
            <w:pPr>
              <w:pStyle w:val="34"/>
              <w:spacing w:beforeLines="0" w:afterLines="0"/>
              <w:rPr>
                <w:color w:val="FF0000"/>
                <w:szCs w:val="24"/>
              </w:rPr>
            </w:pPr>
          </w:p>
        </w:tc>
        <w:tc>
          <w:tcPr>
            <w:tcW w:w="2422" w:type="dxa"/>
            <w:vMerge w:val="continue"/>
            <w:vAlign w:val="center"/>
          </w:tcPr>
          <w:p w14:paraId="3978DC54">
            <w:pPr>
              <w:pStyle w:val="34"/>
              <w:spacing w:beforeLines="0" w:afterLines="0"/>
              <w:rPr>
                <w:color w:val="FF0000"/>
                <w:szCs w:val="24"/>
              </w:rPr>
            </w:pPr>
          </w:p>
        </w:tc>
      </w:tr>
      <w:tr w14:paraId="0A6474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759" w:type="dxa"/>
            <w:vAlign w:val="center"/>
          </w:tcPr>
          <w:p w14:paraId="3B82F665">
            <w:pPr>
              <w:pStyle w:val="34"/>
              <w:spacing w:beforeLines="0" w:afterLines="0"/>
              <w:rPr>
                <w:color w:val="FF0000"/>
                <w:szCs w:val="24"/>
              </w:rPr>
            </w:pPr>
            <w:r>
              <w:rPr>
                <w:color w:val="FF0000"/>
                <w:szCs w:val="24"/>
              </w:rPr>
              <w:t>声环境</w:t>
            </w:r>
          </w:p>
        </w:tc>
        <w:tc>
          <w:tcPr>
            <w:tcW w:w="2065" w:type="dxa"/>
            <w:gridSpan w:val="2"/>
            <w:vAlign w:val="center"/>
          </w:tcPr>
          <w:p w14:paraId="1FAEFE50">
            <w:pPr>
              <w:pStyle w:val="34"/>
              <w:spacing w:beforeLines="0" w:afterLines="0"/>
              <w:rPr>
                <w:color w:val="FF0000"/>
                <w:szCs w:val="24"/>
              </w:rPr>
            </w:pPr>
            <w:r>
              <w:rPr>
                <w:color w:val="FF0000"/>
                <w:szCs w:val="24"/>
              </w:rPr>
              <w:t>生产设备</w:t>
            </w:r>
          </w:p>
        </w:tc>
        <w:tc>
          <w:tcPr>
            <w:tcW w:w="1500" w:type="dxa"/>
            <w:vAlign w:val="center"/>
          </w:tcPr>
          <w:p w14:paraId="3891E65B">
            <w:pPr>
              <w:pStyle w:val="34"/>
              <w:spacing w:beforeLines="0" w:afterLines="0"/>
              <w:rPr>
                <w:color w:val="FF0000"/>
                <w:szCs w:val="24"/>
              </w:rPr>
            </w:pPr>
            <w:r>
              <w:rPr>
                <w:color w:val="FF0000"/>
                <w:szCs w:val="24"/>
              </w:rPr>
              <w:t>噪声</w:t>
            </w:r>
          </w:p>
        </w:tc>
        <w:tc>
          <w:tcPr>
            <w:tcW w:w="2054" w:type="dxa"/>
            <w:vAlign w:val="center"/>
          </w:tcPr>
          <w:p w14:paraId="2ED7D4D7">
            <w:pPr>
              <w:pStyle w:val="34"/>
              <w:spacing w:beforeLines="0" w:afterLines="0"/>
              <w:rPr>
                <w:color w:val="FF0000"/>
                <w:szCs w:val="24"/>
              </w:rPr>
            </w:pPr>
            <w:r>
              <w:rPr>
                <w:color w:val="FF0000"/>
                <w:szCs w:val="24"/>
              </w:rPr>
              <w:t>基础减震、厂房隔声</w:t>
            </w:r>
          </w:p>
        </w:tc>
        <w:tc>
          <w:tcPr>
            <w:tcW w:w="2422" w:type="dxa"/>
            <w:vAlign w:val="center"/>
          </w:tcPr>
          <w:p w14:paraId="52243D3A">
            <w:pPr>
              <w:pStyle w:val="34"/>
              <w:spacing w:beforeLines="0" w:afterLines="0"/>
              <w:rPr>
                <w:color w:val="FF0000"/>
                <w:szCs w:val="24"/>
              </w:rPr>
            </w:pPr>
            <w:r>
              <w:rPr>
                <w:color w:val="FF0000"/>
                <w:szCs w:val="24"/>
              </w:rPr>
              <w:t>《工业企业厂界环境噪声排放标准》（GB12348-2008）中 3类标准限值</w:t>
            </w:r>
          </w:p>
        </w:tc>
      </w:tr>
      <w:tr w14:paraId="6C6BE7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59" w:type="dxa"/>
            <w:vAlign w:val="center"/>
          </w:tcPr>
          <w:p w14:paraId="32AAE46F">
            <w:pPr>
              <w:pStyle w:val="34"/>
              <w:spacing w:beforeLines="0" w:afterLines="0"/>
              <w:rPr>
                <w:color w:val="FF0000"/>
                <w:szCs w:val="24"/>
              </w:rPr>
            </w:pPr>
            <w:r>
              <w:rPr>
                <w:color w:val="FF0000"/>
                <w:szCs w:val="24"/>
              </w:rPr>
              <w:t>电磁辐射</w:t>
            </w:r>
          </w:p>
        </w:tc>
        <w:tc>
          <w:tcPr>
            <w:tcW w:w="2065" w:type="dxa"/>
            <w:gridSpan w:val="2"/>
            <w:vAlign w:val="center"/>
          </w:tcPr>
          <w:p w14:paraId="5AAE4E2D">
            <w:pPr>
              <w:pStyle w:val="34"/>
              <w:spacing w:beforeLines="0" w:afterLines="0"/>
              <w:rPr>
                <w:color w:val="FF0000"/>
                <w:szCs w:val="24"/>
              </w:rPr>
            </w:pPr>
            <w:r>
              <w:rPr>
                <w:color w:val="FF0000"/>
                <w:szCs w:val="24"/>
              </w:rPr>
              <w:t>/</w:t>
            </w:r>
          </w:p>
        </w:tc>
        <w:tc>
          <w:tcPr>
            <w:tcW w:w="1500" w:type="dxa"/>
            <w:vAlign w:val="center"/>
          </w:tcPr>
          <w:p w14:paraId="2501A647">
            <w:pPr>
              <w:pStyle w:val="34"/>
              <w:spacing w:beforeLines="0" w:afterLines="0"/>
              <w:rPr>
                <w:color w:val="FF0000"/>
                <w:szCs w:val="24"/>
              </w:rPr>
            </w:pPr>
            <w:r>
              <w:rPr>
                <w:color w:val="FF0000"/>
                <w:szCs w:val="24"/>
              </w:rPr>
              <w:t>/</w:t>
            </w:r>
          </w:p>
        </w:tc>
        <w:tc>
          <w:tcPr>
            <w:tcW w:w="2054" w:type="dxa"/>
            <w:vAlign w:val="center"/>
          </w:tcPr>
          <w:p w14:paraId="2C1505E2">
            <w:pPr>
              <w:pStyle w:val="34"/>
              <w:spacing w:beforeLines="0" w:afterLines="0"/>
              <w:rPr>
                <w:color w:val="FF0000"/>
                <w:szCs w:val="24"/>
              </w:rPr>
            </w:pPr>
            <w:r>
              <w:rPr>
                <w:color w:val="FF0000"/>
                <w:szCs w:val="24"/>
              </w:rPr>
              <w:t>/</w:t>
            </w:r>
          </w:p>
        </w:tc>
        <w:tc>
          <w:tcPr>
            <w:tcW w:w="2422" w:type="dxa"/>
            <w:vAlign w:val="center"/>
          </w:tcPr>
          <w:p w14:paraId="6212160A">
            <w:pPr>
              <w:pStyle w:val="34"/>
              <w:spacing w:beforeLines="0" w:afterLines="0"/>
              <w:rPr>
                <w:color w:val="FF0000"/>
                <w:szCs w:val="24"/>
              </w:rPr>
            </w:pPr>
            <w:r>
              <w:rPr>
                <w:color w:val="FF0000"/>
                <w:szCs w:val="24"/>
              </w:rPr>
              <w:t>/</w:t>
            </w:r>
          </w:p>
        </w:tc>
      </w:tr>
      <w:tr w14:paraId="363DD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759" w:type="dxa"/>
            <w:vAlign w:val="center"/>
          </w:tcPr>
          <w:p w14:paraId="7B973CDB">
            <w:pPr>
              <w:pStyle w:val="34"/>
              <w:spacing w:beforeLines="0" w:afterLines="0"/>
              <w:rPr>
                <w:color w:val="FF0000"/>
                <w:szCs w:val="24"/>
              </w:rPr>
            </w:pPr>
            <w:r>
              <w:rPr>
                <w:color w:val="FF0000"/>
                <w:szCs w:val="24"/>
              </w:rPr>
              <w:t>固体废物</w:t>
            </w:r>
          </w:p>
        </w:tc>
        <w:tc>
          <w:tcPr>
            <w:tcW w:w="5619" w:type="dxa"/>
            <w:gridSpan w:val="4"/>
            <w:vAlign w:val="center"/>
          </w:tcPr>
          <w:p w14:paraId="125F9C3E">
            <w:pPr>
              <w:pStyle w:val="34"/>
              <w:spacing w:beforeLines="0" w:afterLines="0"/>
              <w:rPr>
                <w:color w:val="FF0000"/>
                <w:szCs w:val="24"/>
              </w:rPr>
            </w:pPr>
            <w:r>
              <w:rPr>
                <w:color w:val="FF0000"/>
                <w:szCs w:val="24"/>
              </w:rPr>
              <w:t>生活垃圾委托环卫部门清运，切割料集中收集后回用于压制工序，灰渣灰分收集后用于农田肥料，废离子交换树脂由出售离子交换树脂厂家替换处理，切割工序除尘设施产生的粉尘集中收集后回用于压制工序；废弃包装袋集中收集后外售；水泥料仓粉尘收集后回用于生产。</w:t>
            </w:r>
          </w:p>
        </w:tc>
        <w:tc>
          <w:tcPr>
            <w:tcW w:w="2422" w:type="dxa"/>
            <w:vAlign w:val="center"/>
          </w:tcPr>
          <w:p w14:paraId="3F65851B">
            <w:pPr>
              <w:pStyle w:val="34"/>
              <w:spacing w:beforeLines="0" w:afterLines="0"/>
              <w:rPr>
                <w:color w:val="FF0000"/>
                <w:szCs w:val="24"/>
              </w:rPr>
            </w:pPr>
            <w:r>
              <w:rPr>
                <w:color w:val="FF0000"/>
                <w:szCs w:val="24"/>
              </w:rPr>
              <w:t>《一般工业固体废物贮存和填埋污染控制标准》（GB18599-2020）</w:t>
            </w:r>
          </w:p>
        </w:tc>
      </w:tr>
      <w:tr w14:paraId="7AE9BE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759" w:type="dxa"/>
            <w:vAlign w:val="center"/>
          </w:tcPr>
          <w:p w14:paraId="319355C9">
            <w:pPr>
              <w:pStyle w:val="34"/>
              <w:spacing w:beforeLines="0" w:afterLines="0"/>
              <w:rPr>
                <w:color w:val="FF0000"/>
                <w:szCs w:val="24"/>
              </w:rPr>
            </w:pPr>
            <w:r>
              <w:rPr>
                <w:color w:val="FF0000"/>
                <w:szCs w:val="24"/>
              </w:rPr>
              <w:t>土壤及地下水污染防治措施</w:t>
            </w:r>
          </w:p>
        </w:tc>
        <w:tc>
          <w:tcPr>
            <w:tcW w:w="8041" w:type="dxa"/>
            <w:gridSpan w:val="5"/>
            <w:vAlign w:val="center"/>
          </w:tcPr>
          <w:p w14:paraId="7E3BF321">
            <w:pPr>
              <w:adjustRightInd/>
              <w:snapToGrid/>
              <w:spacing w:line="240" w:lineRule="auto"/>
              <w:ind w:firstLine="0" w:firstLineChars="0"/>
              <w:jc w:val="center"/>
              <w:rPr>
                <w:color w:val="FF0000"/>
              </w:rPr>
            </w:pPr>
            <w:r>
              <w:rPr>
                <w:color w:val="FF0000"/>
                <w:kern w:val="0"/>
              </w:rPr>
              <w:t>无</w:t>
            </w:r>
          </w:p>
        </w:tc>
      </w:tr>
      <w:tr w14:paraId="46AA4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59" w:type="dxa"/>
            <w:vAlign w:val="center"/>
          </w:tcPr>
          <w:p w14:paraId="00A5890A">
            <w:pPr>
              <w:pStyle w:val="34"/>
              <w:spacing w:beforeLines="0" w:afterLines="0"/>
              <w:rPr>
                <w:color w:val="FF0000"/>
                <w:szCs w:val="24"/>
              </w:rPr>
            </w:pPr>
            <w:r>
              <w:rPr>
                <w:color w:val="FF0000"/>
                <w:szCs w:val="24"/>
              </w:rPr>
              <w:t>生态保护措施</w:t>
            </w:r>
          </w:p>
        </w:tc>
        <w:tc>
          <w:tcPr>
            <w:tcW w:w="8041" w:type="dxa"/>
            <w:gridSpan w:val="5"/>
            <w:vAlign w:val="center"/>
          </w:tcPr>
          <w:p w14:paraId="3BA2BD00">
            <w:pPr>
              <w:pStyle w:val="34"/>
              <w:spacing w:beforeLines="0" w:afterLines="0"/>
              <w:rPr>
                <w:color w:val="FF0000"/>
                <w:szCs w:val="24"/>
              </w:rPr>
            </w:pPr>
            <w:r>
              <w:rPr>
                <w:color w:val="FF0000"/>
                <w:szCs w:val="24"/>
              </w:rPr>
              <w:t>无</w:t>
            </w:r>
          </w:p>
        </w:tc>
      </w:tr>
      <w:tr w14:paraId="544A17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759" w:type="dxa"/>
            <w:vAlign w:val="center"/>
          </w:tcPr>
          <w:p w14:paraId="2073756E">
            <w:pPr>
              <w:pStyle w:val="34"/>
              <w:spacing w:beforeLines="0" w:afterLines="0"/>
              <w:rPr>
                <w:color w:val="FF0000"/>
                <w:szCs w:val="24"/>
              </w:rPr>
            </w:pPr>
            <w:r>
              <w:rPr>
                <w:color w:val="FF0000"/>
                <w:szCs w:val="24"/>
              </w:rPr>
              <w:t>环境风险防范措施</w:t>
            </w:r>
          </w:p>
        </w:tc>
        <w:tc>
          <w:tcPr>
            <w:tcW w:w="8041" w:type="dxa"/>
            <w:gridSpan w:val="5"/>
            <w:vAlign w:val="center"/>
          </w:tcPr>
          <w:p w14:paraId="14934F0C">
            <w:pPr>
              <w:pStyle w:val="28"/>
              <w:adjustRightInd/>
              <w:snapToGrid/>
              <w:spacing w:line="240" w:lineRule="auto"/>
              <w:ind w:firstLine="0" w:firstLineChars="0"/>
              <w:jc w:val="center"/>
              <w:rPr>
                <w:color w:val="FF0000"/>
                <w:szCs w:val="24"/>
              </w:rPr>
            </w:pPr>
            <w:r>
              <w:rPr>
                <w:color w:val="FF0000"/>
                <w:szCs w:val="24"/>
              </w:rPr>
              <w:t>无</w:t>
            </w:r>
          </w:p>
        </w:tc>
      </w:tr>
      <w:tr w14:paraId="139EB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59" w:type="dxa"/>
            <w:vAlign w:val="center"/>
          </w:tcPr>
          <w:p w14:paraId="0724033F">
            <w:pPr>
              <w:pStyle w:val="34"/>
              <w:spacing w:beforeLines="0" w:afterLines="0"/>
              <w:rPr>
                <w:color w:val="FF0000"/>
                <w:szCs w:val="24"/>
              </w:rPr>
            </w:pPr>
            <w:r>
              <w:rPr>
                <w:color w:val="FF0000"/>
                <w:szCs w:val="24"/>
              </w:rPr>
              <w:t>其他环境管理要求</w:t>
            </w:r>
          </w:p>
        </w:tc>
        <w:tc>
          <w:tcPr>
            <w:tcW w:w="8041" w:type="dxa"/>
            <w:gridSpan w:val="5"/>
            <w:vAlign w:val="center"/>
          </w:tcPr>
          <w:p w14:paraId="5871B0E7">
            <w:pPr>
              <w:pStyle w:val="34"/>
              <w:spacing w:beforeLines="0" w:afterLines="0"/>
              <w:jc w:val="left"/>
              <w:rPr>
                <w:color w:val="FF0000"/>
                <w:szCs w:val="24"/>
              </w:rPr>
            </w:pPr>
            <w:r>
              <w:rPr>
                <w:color w:val="FF0000"/>
                <w:szCs w:val="24"/>
              </w:rPr>
              <w:t>为了加强排污许可管理，规范企业事业单位和其他生产经营者排污行为，控制污染物排放，保护和改善生态环境，建设单位在产生实际排污行为前应申请排污许可证。</w:t>
            </w:r>
            <w:r>
              <w:rPr>
                <w:rFonts w:hint="eastAsia"/>
                <w:color w:val="FF0000"/>
                <w:szCs w:val="24"/>
              </w:rPr>
              <w:t>按许可证规定落实</w:t>
            </w:r>
            <w:r>
              <w:rPr>
                <w:rFonts w:hint="eastAsia"/>
                <w:color w:val="FF0000"/>
                <w:szCs w:val="24"/>
                <w:lang w:val="en-US" w:eastAsia="zh-CN"/>
              </w:rPr>
              <w:t>相关的</w:t>
            </w:r>
            <w:r>
              <w:rPr>
                <w:rFonts w:hint="eastAsia"/>
                <w:color w:val="FF0000"/>
                <w:szCs w:val="24"/>
              </w:rPr>
              <w:t>环境管理要求。落实</w:t>
            </w:r>
            <w:r>
              <w:rPr>
                <w:rFonts w:hint="eastAsia"/>
                <w:color w:val="FF0000"/>
                <w:szCs w:val="24"/>
                <w:lang w:val="en-US" w:eastAsia="zh-CN"/>
              </w:rPr>
              <w:t>相关</w:t>
            </w:r>
            <w:r>
              <w:rPr>
                <w:rFonts w:hint="eastAsia"/>
                <w:color w:val="FF0000"/>
                <w:szCs w:val="24"/>
              </w:rPr>
              <w:t>的责任部门和责任人，明确工作职责，并对</w:t>
            </w:r>
            <w:r>
              <w:rPr>
                <w:rFonts w:hint="eastAsia"/>
                <w:color w:val="FF0000"/>
                <w:szCs w:val="24"/>
                <w:lang w:val="en-US" w:eastAsia="zh-CN"/>
              </w:rPr>
              <w:t>排污许可内容</w:t>
            </w:r>
            <w:r>
              <w:rPr>
                <w:rFonts w:hint="eastAsia"/>
                <w:color w:val="FF0000"/>
                <w:szCs w:val="24"/>
              </w:rPr>
              <w:t>的真实性、完整性和规范性负责。</w:t>
            </w:r>
          </w:p>
        </w:tc>
      </w:tr>
    </w:tbl>
    <w:p w14:paraId="56E87E4A">
      <w:pPr>
        <w:pStyle w:val="20"/>
        <w:spacing w:before="0" w:beforeAutospacing="0" w:after="0" w:afterAutospacing="0" w:line="240" w:lineRule="auto"/>
        <w:ind w:firstLine="0" w:firstLineChars="0"/>
        <w:jc w:val="center"/>
        <w:outlineLvl w:val="0"/>
        <w:rPr>
          <w:rFonts w:ascii="Times New Roman" w:hAnsi="Times New Roman" w:eastAsia="黑体"/>
          <w:snapToGrid w:val="0"/>
          <w:sz w:val="30"/>
          <w:szCs w:val="30"/>
        </w:rPr>
      </w:pPr>
      <w:r>
        <w:rPr>
          <w:rFonts w:ascii="Times New Roman" w:hAnsi="Times New Roman"/>
          <w:snapToGrid w:val="0"/>
        </w:rPr>
        <w:br w:type="page"/>
      </w:r>
      <w:r>
        <w:rPr>
          <w:rStyle w:val="31"/>
        </w:rPr>
        <w:t>六、结论</w:t>
      </w:r>
    </w:p>
    <w:tbl>
      <w:tblPr>
        <w:tblStyle w:val="24"/>
        <w:tblW w:w="97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756"/>
      </w:tblGrid>
      <w:tr w14:paraId="01408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991" w:hRule="atLeast"/>
          <w:jc w:val="center"/>
        </w:trPr>
        <w:tc>
          <w:tcPr>
            <w:tcW w:w="9756" w:type="dxa"/>
          </w:tcPr>
          <w:p w14:paraId="198D1219">
            <w:pPr>
              <w:pStyle w:val="6"/>
              <w:spacing w:beforeLines="0" w:afterLines="0" w:line="360" w:lineRule="auto"/>
              <w:ind w:firstLine="0" w:firstLineChars="0"/>
            </w:pPr>
          </w:p>
          <w:p w14:paraId="3AB6189D">
            <w:pPr>
              <w:ind w:firstLine="480"/>
            </w:pPr>
            <w:r>
              <w:rPr>
                <w:rStyle w:val="44"/>
                <w:rFonts w:ascii="Times New Roman" w:hAnsi="Times New Roman" w:cs="Times New Roman"/>
                <w:color w:val="auto"/>
              </w:rPr>
              <w:t>综上所述，本建设项目符合国家相关产业政策和规划要求，选址合理。</w:t>
            </w:r>
            <w:r>
              <w:t>在认真执行“三同时”制度的前提下，只要严格落实各项环保措施，可以做到各类污染物达标排放，对周围环境影响较小。</w:t>
            </w:r>
            <w:r>
              <w:rPr>
                <w:rStyle w:val="44"/>
                <w:rFonts w:ascii="Times New Roman" w:hAnsi="Times New Roman" w:cs="Times New Roman"/>
                <w:color w:val="auto"/>
              </w:rPr>
              <w:t>则本项目从环保角度来说是可行的。</w:t>
            </w:r>
            <w:r>
              <w:t xml:space="preserve"> </w:t>
            </w:r>
          </w:p>
        </w:tc>
      </w:tr>
      <w:tr w14:paraId="49AE2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9756" w:type="dxa"/>
          </w:tcPr>
          <w:p w14:paraId="5A65E4F1">
            <w:pPr>
              <w:keepNext w:val="0"/>
              <w:keepLines w:val="0"/>
              <w:suppressLineNumbers w:val="0"/>
              <w:spacing w:before="156" w:beforeLines="50" w:beforeAutospacing="0" w:after="0" w:afterAutospacing="0" w:line="240" w:lineRule="auto"/>
              <w:ind w:left="0" w:leftChars="0" w:right="0" w:firstLine="0" w:firstLineChars="0"/>
              <w:rPr>
                <w:rFonts w:hint="eastAsia" w:ascii="宋体" w:hAnsi="宋体" w:eastAsia="宋体" w:cs="宋体"/>
                <w:sz w:val="21"/>
                <w:szCs w:val="21"/>
              </w:rPr>
            </w:pPr>
            <w:r>
              <w:rPr>
                <w:rFonts w:hint="eastAsia" w:ascii="宋体" w:hAnsi="宋体" w:eastAsia="宋体" w:cs="宋体"/>
                <w:sz w:val="21"/>
                <w:szCs w:val="21"/>
              </w:rPr>
              <w:t>审批意见:</w:t>
            </w:r>
            <w:r>
              <w:rPr>
                <w:rFonts w:hint="eastAsia" w:ascii="宋体" w:hAnsi="宋体" w:eastAsia="宋体" w:cs="宋体"/>
                <w:sz w:val="21"/>
                <w:szCs w:val="21"/>
                <w:lang w:val="en-US" w:eastAsia="zh-CN"/>
              </w:rPr>
              <w:t xml:space="preserve">                                         盘县环审[2022]0</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号</w:t>
            </w:r>
          </w:p>
          <w:p w14:paraId="238BF6E5">
            <w:pPr>
              <w:adjustRightInd w:val="0"/>
              <w:snapToGrid w:val="0"/>
              <w:spacing w:line="240" w:lineRule="auto"/>
              <w:ind w:firstLine="420" w:firstLineChars="20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上海德迈世欧化工有限公司辽宁分公司：</w:t>
            </w:r>
          </w:p>
          <w:p w14:paraId="1233083F">
            <w:pPr>
              <w:adjustRightInd w:val="0"/>
              <w:snapToGrid w:val="0"/>
              <w:spacing w:line="240" w:lineRule="auto"/>
              <w:ind w:firstLine="420" w:firstLineChars="20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你单位报送的《15万立方米/年复合不燃隔热保温新材料生产项目环境影响报告表》（以下简称“报告表”）已收悉，经我局组织有关专家审查，经盘山</w:t>
            </w:r>
            <w:r>
              <w:rPr>
                <w:rFonts w:hint="eastAsia" w:ascii="宋体" w:hAnsi="宋体" w:eastAsia="宋体" w:cs="宋体"/>
                <w:b w:val="0"/>
                <w:bCs w:val="0"/>
                <w:sz w:val="21"/>
                <w:szCs w:val="21"/>
                <w:u w:val="none"/>
                <w:lang w:eastAsia="zh-CN"/>
              </w:rPr>
              <w:t>生态环境分</w:t>
            </w:r>
            <w:r>
              <w:rPr>
                <w:rFonts w:hint="eastAsia" w:ascii="宋体" w:hAnsi="宋体" w:eastAsia="宋体" w:cs="宋体"/>
                <w:b w:val="0"/>
                <w:bCs w:val="0"/>
                <w:sz w:val="21"/>
                <w:szCs w:val="21"/>
                <w:u w:val="none"/>
              </w:rPr>
              <w:t>局局务会研究决定，现就该“报告表”批复如下：</w:t>
            </w:r>
          </w:p>
          <w:p w14:paraId="3C80AFF5">
            <w:pPr>
              <w:keepNext w:val="0"/>
              <w:keepLines w:val="0"/>
              <w:numPr>
                <w:ilvl w:val="0"/>
                <w:numId w:val="5"/>
              </w:numPr>
              <w:suppressLineNumbers w:val="0"/>
              <w:spacing w:before="0" w:beforeAutospacing="0" w:after="0" w:afterAutospacing="0" w:line="240" w:lineRule="auto"/>
              <w:ind w:left="0" w:right="0" w:firstLine="48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同意“报告表”专家评审意见。“报告表”编制较规范，依据充分，环境保护目标明确，环境标准和污染因子选择准确，污染工程分析和评价结论可信，环保对策措施可行，符合环评导则要求，可作为该工程建设和环境管理的依据。</w:t>
            </w:r>
          </w:p>
          <w:p w14:paraId="5AACCF2A">
            <w:pPr>
              <w:spacing w:line="240" w:lineRule="auto"/>
              <w:ind w:firstLine="48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二、上海德迈世欧化工有限公司辽宁分公司</w:t>
            </w:r>
            <w:r>
              <w:rPr>
                <w:rFonts w:hint="eastAsia" w:ascii="宋体" w:hAnsi="宋体" w:eastAsia="宋体" w:cs="宋体"/>
                <w:b w:val="0"/>
                <w:bCs w:val="0"/>
                <w:sz w:val="21"/>
                <w:szCs w:val="21"/>
                <w:u w:val="none"/>
                <w:lang w:eastAsia="zh-CN"/>
              </w:rPr>
              <w:t>拟</w:t>
            </w:r>
            <w:r>
              <w:rPr>
                <w:rFonts w:hint="eastAsia" w:ascii="宋体" w:hAnsi="宋体" w:eastAsia="宋体" w:cs="宋体"/>
                <w:b w:val="0"/>
                <w:bCs w:val="0"/>
                <w:sz w:val="21"/>
                <w:szCs w:val="21"/>
                <w:u w:val="none"/>
                <w:lang w:val="en-US" w:eastAsia="zh-CN"/>
              </w:rPr>
              <w:t>投资2360万元在</w:t>
            </w:r>
            <w:r>
              <w:rPr>
                <w:rFonts w:hint="eastAsia" w:ascii="宋体" w:hAnsi="宋体" w:eastAsia="宋体" w:cs="宋体"/>
                <w:b w:val="0"/>
                <w:bCs w:val="0"/>
                <w:color w:val="auto"/>
                <w:sz w:val="21"/>
                <w:szCs w:val="21"/>
                <w:highlight w:val="none"/>
                <w:u w:val="none"/>
              </w:rPr>
              <w:t>盘锦市盘山县辽宁新材料产业经济开发区</w:t>
            </w:r>
            <w:r>
              <w:rPr>
                <w:rFonts w:hint="eastAsia" w:ascii="宋体" w:hAnsi="宋体" w:eastAsia="宋体" w:cs="宋体"/>
                <w:b w:val="0"/>
                <w:bCs w:val="0"/>
                <w:sz w:val="21"/>
                <w:szCs w:val="21"/>
                <w:u w:val="none"/>
                <w:lang w:eastAsia="zh-CN"/>
              </w:rPr>
              <w:t>建设</w:t>
            </w:r>
            <w:r>
              <w:rPr>
                <w:rFonts w:hint="eastAsia" w:ascii="宋体" w:hAnsi="宋体" w:eastAsia="宋体" w:cs="宋体"/>
                <w:b w:val="0"/>
                <w:bCs w:val="0"/>
                <w:sz w:val="21"/>
                <w:szCs w:val="21"/>
                <w:u w:val="none"/>
              </w:rPr>
              <w:t>15万立方米/年复合不燃隔热保温新材料生产项目，项目租用锦鹤门业公司部分厂房，建筑面积10000平方米，设立一条自动生产线、自动发泡机、全自动生物质蒸汽发生器、发泡料仓、水泥料仓、切割区、搅拌区、压制区、熟化区、成品区等</w:t>
            </w:r>
            <w:r>
              <w:rPr>
                <w:rFonts w:hint="eastAsia" w:ascii="宋体" w:hAnsi="宋体" w:eastAsia="宋体" w:cs="宋体"/>
                <w:b w:val="0"/>
                <w:bCs w:val="0"/>
                <w:sz w:val="21"/>
                <w:szCs w:val="21"/>
                <w:u w:val="none"/>
                <w:lang w:eastAsia="zh-CN"/>
              </w:rPr>
              <w:t>，</w:t>
            </w:r>
            <w:r>
              <w:rPr>
                <w:rFonts w:hint="eastAsia" w:ascii="宋体" w:hAnsi="宋体" w:eastAsia="宋体" w:cs="宋体"/>
                <w:b w:val="0"/>
                <w:bCs w:val="0"/>
                <w:sz w:val="21"/>
                <w:szCs w:val="21"/>
                <w:u w:val="none"/>
              </w:rPr>
              <w:t>年产复合不燃保温板15万立方米。项目建设符合国家产业政策，项目在建设过程中只要认真落实“报告表”提出的各项污染防治措施，本项目环保可行。同意你单位按照环评报告表中所列的建设项目性质、规模、地点、内容、环保目标 、环境标准和污染因子、污染防治措施等进行建设。</w:t>
            </w:r>
          </w:p>
          <w:p w14:paraId="5200CFE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三、在项目建设和运行过程中，建设单位必须认真落实“报告表”提出的各项环保措施，严格环保管理，还要重点做好如下工作：</w:t>
            </w:r>
          </w:p>
          <w:p w14:paraId="62FD070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1大气污染防治措施</w:t>
            </w:r>
          </w:p>
          <w:p w14:paraId="731185BC">
            <w:pPr>
              <w:spacing w:line="240" w:lineRule="auto"/>
              <w:ind w:firstLine="480"/>
              <w:rPr>
                <w:rFonts w:hint="eastAsia" w:ascii="宋体" w:hAnsi="宋体" w:eastAsia="宋体" w:cs="宋体"/>
                <w:b w:val="0"/>
                <w:bCs w:val="0"/>
                <w:color w:val="000000" w:themeColor="text1"/>
                <w:sz w:val="21"/>
                <w:szCs w:val="21"/>
                <w:u w:val="none"/>
              </w:rPr>
            </w:pPr>
            <w:r>
              <w:rPr>
                <w:rFonts w:hint="eastAsia" w:ascii="宋体" w:hAnsi="宋体" w:eastAsia="宋体" w:cs="宋体"/>
                <w:b w:val="0"/>
                <w:bCs w:val="0"/>
                <w:color w:val="000000" w:themeColor="text1"/>
                <w:sz w:val="21"/>
                <w:szCs w:val="21"/>
                <w:u w:val="none"/>
              </w:rPr>
              <w:t>项目切割工序中产生的粉尘经切割机自带的密闭除尘集尘系统（旋风除尘+袋式除尘）收集，粉尘经除尘系统处理后通过15m高排气筒排放。满足《水泥工业大气污染物排放标准》（GB4915-2013）表2中相关标准。</w:t>
            </w:r>
          </w:p>
          <w:p w14:paraId="6DD52D22">
            <w:pPr>
              <w:spacing w:line="240" w:lineRule="auto"/>
              <w:ind w:firstLine="480"/>
              <w:rPr>
                <w:rFonts w:hint="eastAsia" w:ascii="宋体" w:hAnsi="宋体" w:eastAsia="宋体" w:cs="宋体"/>
                <w:b w:val="0"/>
                <w:bCs w:val="0"/>
                <w:color w:val="000000" w:themeColor="text1"/>
                <w:sz w:val="21"/>
                <w:szCs w:val="21"/>
                <w:u w:val="none"/>
              </w:rPr>
            </w:pPr>
            <w:r>
              <w:rPr>
                <w:rFonts w:hint="eastAsia" w:ascii="宋体" w:hAnsi="宋体" w:eastAsia="宋体" w:cs="宋体"/>
                <w:b w:val="0"/>
                <w:bCs w:val="0"/>
                <w:color w:val="000000" w:themeColor="text1"/>
                <w:sz w:val="21"/>
                <w:szCs w:val="21"/>
                <w:u w:val="none"/>
              </w:rPr>
              <w:t>项目产生的非甲烷总烃主要是来自发泡剂中的戊烷</w:t>
            </w:r>
            <w:r>
              <w:rPr>
                <w:rFonts w:hint="eastAsia" w:ascii="宋体" w:hAnsi="宋体" w:eastAsia="宋体" w:cs="宋体"/>
                <w:b w:val="0"/>
                <w:bCs w:val="0"/>
                <w:color w:val="000000" w:themeColor="text1"/>
                <w:sz w:val="21"/>
                <w:szCs w:val="21"/>
                <w:u w:val="none"/>
                <w:lang w:eastAsia="zh-CN"/>
              </w:rPr>
              <w:t>，</w:t>
            </w:r>
            <w:r>
              <w:rPr>
                <w:rFonts w:hint="eastAsia" w:ascii="宋体" w:hAnsi="宋体" w:eastAsia="宋体" w:cs="宋体"/>
                <w:b w:val="0"/>
                <w:bCs w:val="0"/>
                <w:color w:val="000000" w:themeColor="text1"/>
                <w:sz w:val="21"/>
                <w:szCs w:val="21"/>
                <w:u w:val="none"/>
              </w:rPr>
              <w:t>项目发泡工序整个过程为密闭状态，产生的废气（蒸汽+非甲烷总烃）经管道收集进入蒸汽冷凝吸收塔，把90%以上的蒸汽冷凝成水送到搅拌工序使用，剩下的戊烷气体及蒸汽余汽一起送进生物质蒸汽发生器炉膛中进行燃烧处理</w:t>
            </w:r>
            <w:r>
              <w:rPr>
                <w:rFonts w:hint="eastAsia" w:ascii="宋体" w:hAnsi="宋体" w:eastAsia="宋体" w:cs="宋体"/>
                <w:b w:val="0"/>
                <w:bCs w:val="0"/>
                <w:color w:val="000000" w:themeColor="text1"/>
                <w:sz w:val="21"/>
                <w:szCs w:val="21"/>
                <w:u w:val="none"/>
                <w:lang w:eastAsia="zh-CN"/>
              </w:rPr>
              <w:t>，</w:t>
            </w:r>
            <w:r>
              <w:rPr>
                <w:rFonts w:hint="eastAsia" w:ascii="宋体" w:hAnsi="宋体" w:eastAsia="宋体" w:cs="宋体"/>
                <w:b w:val="0"/>
                <w:bCs w:val="0"/>
                <w:color w:val="000000" w:themeColor="text1"/>
                <w:sz w:val="21"/>
                <w:szCs w:val="21"/>
                <w:u w:val="none"/>
              </w:rPr>
              <w:t>处理后经生物质发生器30m高排气筒排放</w:t>
            </w:r>
            <w:r>
              <w:rPr>
                <w:rFonts w:hint="eastAsia" w:ascii="宋体" w:hAnsi="宋体" w:eastAsia="宋体" w:cs="宋体"/>
                <w:b w:val="0"/>
                <w:bCs w:val="0"/>
                <w:color w:val="000000" w:themeColor="text1"/>
                <w:sz w:val="21"/>
                <w:szCs w:val="21"/>
                <w:u w:val="none"/>
                <w:lang w:eastAsia="zh-CN"/>
              </w:rPr>
              <w:t>，</w:t>
            </w:r>
            <w:r>
              <w:rPr>
                <w:rStyle w:val="27"/>
                <w:rFonts w:hint="eastAsia" w:ascii="宋体" w:hAnsi="宋体" w:eastAsia="宋体" w:cs="宋体"/>
                <w:b w:val="0"/>
                <w:bCs w:val="0"/>
                <w:color w:val="000000" w:themeColor="text1"/>
                <w:sz w:val="21"/>
                <w:szCs w:val="21"/>
                <w:u w:val="none"/>
              </w:rPr>
              <w:t>满足</w:t>
            </w:r>
            <w:r>
              <w:rPr>
                <w:rFonts w:hint="eastAsia" w:ascii="宋体" w:hAnsi="宋体" w:eastAsia="宋体" w:cs="宋体"/>
                <w:b w:val="0"/>
                <w:bCs w:val="0"/>
                <w:color w:val="000000" w:themeColor="text1"/>
                <w:sz w:val="21"/>
                <w:szCs w:val="21"/>
                <w:u w:val="none"/>
              </w:rPr>
              <w:t>《</w:t>
            </w:r>
            <w:r>
              <w:rPr>
                <w:rFonts w:hint="eastAsia" w:ascii="宋体" w:hAnsi="宋体" w:eastAsia="宋体" w:cs="宋体"/>
                <w:b w:val="0"/>
                <w:bCs w:val="0"/>
                <w:color w:val="000000" w:themeColor="text1"/>
                <w:sz w:val="21"/>
                <w:szCs w:val="21"/>
                <w:u w:val="none"/>
                <w:lang w:eastAsia="zh-CN"/>
              </w:rPr>
              <w:t>大气污染物综合排放标准</w:t>
            </w:r>
            <w:r>
              <w:rPr>
                <w:rFonts w:hint="eastAsia" w:ascii="宋体" w:hAnsi="宋体" w:eastAsia="宋体" w:cs="宋体"/>
                <w:b w:val="0"/>
                <w:bCs w:val="0"/>
                <w:color w:val="000000" w:themeColor="text1"/>
                <w:sz w:val="21"/>
                <w:szCs w:val="21"/>
                <w:u w:val="none"/>
              </w:rPr>
              <w:t>》（GB</w:t>
            </w:r>
            <w:r>
              <w:rPr>
                <w:rFonts w:hint="eastAsia" w:ascii="宋体" w:hAnsi="宋体" w:eastAsia="宋体" w:cs="宋体"/>
                <w:b w:val="0"/>
                <w:bCs w:val="0"/>
                <w:color w:val="000000" w:themeColor="text1"/>
                <w:sz w:val="21"/>
                <w:szCs w:val="21"/>
                <w:u w:val="none"/>
                <w:lang w:val="en-US" w:eastAsia="zh-CN"/>
              </w:rPr>
              <w:t>16297-1996</w:t>
            </w:r>
            <w:r>
              <w:rPr>
                <w:rFonts w:hint="eastAsia" w:ascii="宋体" w:hAnsi="宋体" w:eastAsia="宋体" w:cs="宋体"/>
                <w:b w:val="0"/>
                <w:bCs w:val="0"/>
                <w:color w:val="000000" w:themeColor="text1"/>
                <w:sz w:val="21"/>
                <w:szCs w:val="21"/>
                <w:u w:val="none"/>
              </w:rPr>
              <w:t>）中相关要求。</w:t>
            </w:r>
          </w:p>
          <w:p w14:paraId="384B7784">
            <w:pPr>
              <w:pStyle w:val="10"/>
              <w:spacing w:line="240" w:lineRule="auto"/>
              <w:ind w:firstLine="480"/>
              <w:jc w:val="both"/>
              <w:rPr>
                <w:rFonts w:hint="eastAsia" w:ascii="宋体" w:hAnsi="宋体" w:eastAsia="宋体" w:cs="宋体"/>
                <w:b w:val="0"/>
                <w:bCs w:val="0"/>
                <w:color w:val="000000" w:themeColor="text1"/>
                <w:kern w:val="0"/>
                <w:sz w:val="21"/>
                <w:szCs w:val="21"/>
                <w:u w:val="none"/>
              </w:rPr>
            </w:pPr>
            <w:r>
              <w:rPr>
                <w:rFonts w:hint="eastAsia" w:ascii="宋体" w:hAnsi="宋体" w:eastAsia="宋体" w:cs="宋体"/>
                <w:b w:val="0"/>
                <w:bCs w:val="0"/>
                <w:color w:val="000000" w:themeColor="text1"/>
                <w:sz w:val="21"/>
                <w:szCs w:val="21"/>
                <w:u w:val="none"/>
                <w:lang w:eastAsia="zh-CN"/>
              </w:rPr>
              <w:t>项目</w:t>
            </w:r>
            <w:r>
              <w:rPr>
                <w:rFonts w:hint="eastAsia" w:ascii="宋体" w:hAnsi="宋体" w:eastAsia="宋体" w:cs="宋体"/>
                <w:b w:val="0"/>
                <w:bCs w:val="0"/>
                <w:color w:val="000000" w:themeColor="text1"/>
                <w:sz w:val="21"/>
                <w:szCs w:val="21"/>
                <w:u w:val="none"/>
              </w:rPr>
              <w:t>生物质蒸汽发生器产生的废气经低氮燃烧+旋风除尘+袋式除尘处理后通过30m高排气筒排放</w:t>
            </w:r>
            <w:r>
              <w:rPr>
                <w:rFonts w:hint="eastAsia" w:ascii="宋体" w:hAnsi="宋体" w:eastAsia="宋体" w:cs="宋体"/>
                <w:b w:val="0"/>
                <w:bCs w:val="0"/>
                <w:color w:val="000000" w:themeColor="text1"/>
                <w:sz w:val="21"/>
                <w:szCs w:val="21"/>
                <w:u w:val="none"/>
                <w:lang w:eastAsia="zh-CN"/>
              </w:rPr>
              <w:t>。</w:t>
            </w:r>
            <w:r>
              <w:rPr>
                <w:rFonts w:hint="eastAsia" w:ascii="宋体" w:hAnsi="宋体" w:eastAsia="宋体" w:cs="宋体"/>
                <w:b w:val="0"/>
                <w:bCs w:val="0"/>
                <w:color w:val="000000" w:themeColor="text1"/>
                <w:sz w:val="21"/>
                <w:szCs w:val="21"/>
                <w:u w:val="none"/>
              </w:rPr>
              <w:t>颗粒物、二氧化硫、氮氧化物满足中《锅炉大气污染物排放标准》（GB13271-2014）中表3相关要求。</w:t>
            </w:r>
          </w:p>
          <w:p w14:paraId="76899DD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420" w:firstLineChars="200"/>
              <w:jc w:val="both"/>
              <w:textAlignment w:val="auto"/>
              <w:rPr>
                <w:rFonts w:hint="eastAsia" w:ascii="宋体" w:hAnsi="宋体" w:eastAsia="宋体" w:cs="宋体"/>
                <w:b w:val="0"/>
                <w:bCs w:val="0"/>
                <w:color w:val="000000" w:themeColor="text1"/>
                <w:sz w:val="21"/>
                <w:szCs w:val="21"/>
                <w:u w:val="none"/>
                <w:lang w:val="en-US" w:eastAsia="zh-CN"/>
              </w:rPr>
            </w:pPr>
            <w:r>
              <w:rPr>
                <w:rFonts w:hint="eastAsia" w:ascii="宋体" w:hAnsi="宋体" w:eastAsia="宋体" w:cs="宋体"/>
                <w:b w:val="0"/>
                <w:bCs w:val="0"/>
                <w:color w:val="000000" w:themeColor="text1"/>
                <w:sz w:val="21"/>
                <w:szCs w:val="21"/>
                <w:u w:val="none"/>
                <w:lang w:val="en-US" w:eastAsia="zh-CN"/>
              </w:rPr>
              <w:t>2水污染防治措施</w:t>
            </w:r>
          </w:p>
          <w:p w14:paraId="7EF7C258">
            <w:pPr>
              <w:keepNext w:val="0"/>
              <w:keepLines w:val="0"/>
              <w:pageBreakBefore w:val="0"/>
              <w:widowControl w:val="0"/>
              <w:kinsoku/>
              <w:wordWrap/>
              <w:overflowPunct/>
              <w:topLinePunct w:val="0"/>
              <w:autoSpaceDE/>
              <w:autoSpaceDN/>
              <w:bidi w:val="0"/>
              <w:adjustRightInd/>
              <w:snapToGrid/>
              <w:spacing w:line="240" w:lineRule="auto"/>
              <w:ind w:firstLine="480"/>
              <w:jc w:val="both"/>
              <w:textAlignment w:val="auto"/>
              <w:rPr>
                <w:rFonts w:hint="eastAsia" w:ascii="宋体" w:hAnsi="宋体" w:eastAsia="宋体" w:cs="宋体"/>
                <w:b w:val="0"/>
                <w:bCs w:val="0"/>
                <w:color w:val="000000" w:themeColor="text1"/>
                <w:sz w:val="21"/>
                <w:szCs w:val="21"/>
                <w:u w:val="none"/>
                <w:lang w:val="en-US" w:eastAsia="zh-CN"/>
              </w:rPr>
            </w:pPr>
            <w:r>
              <w:rPr>
                <w:rFonts w:hint="eastAsia" w:ascii="宋体" w:hAnsi="宋体" w:eastAsia="宋体" w:cs="宋体"/>
                <w:b w:val="0"/>
                <w:bCs w:val="0"/>
                <w:color w:val="000000" w:themeColor="text1"/>
                <w:sz w:val="21"/>
                <w:szCs w:val="21"/>
                <w:u w:val="none"/>
              </w:rPr>
              <w:t>项目搅拌机冲洗废水回用于搅拌工序用水，不外排；蒸汽发生器废水回用于搅拌工序用水，不外排；冷凝吸附设施蒸汽冷却为冷凝水回用于搅拌工序不外排。生活污水经厂区</w:t>
            </w:r>
            <w:r>
              <w:rPr>
                <w:rFonts w:hint="eastAsia" w:ascii="宋体" w:hAnsi="宋体" w:cs="宋体"/>
                <w:b w:val="0"/>
                <w:bCs w:val="0"/>
                <w:color w:val="000000" w:themeColor="text1"/>
                <w:sz w:val="21"/>
                <w:szCs w:val="21"/>
                <w:u w:val="none"/>
                <w:lang w:eastAsia="zh-CN"/>
              </w:rPr>
              <w:t>经</w:t>
            </w:r>
            <w:r>
              <w:rPr>
                <w:rFonts w:hint="eastAsia" w:ascii="宋体" w:hAnsi="宋体" w:eastAsia="宋体" w:cs="宋体"/>
                <w:b w:val="0"/>
                <w:bCs w:val="0"/>
                <w:color w:val="000000" w:themeColor="text1"/>
                <w:sz w:val="21"/>
                <w:szCs w:val="21"/>
                <w:u w:val="none"/>
              </w:rPr>
              <w:t>现有化粪池处理</w:t>
            </w:r>
            <w:r>
              <w:rPr>
                <w:rFonts w:hint="eastAsia" w:ascii="宋体" w:hAnsi="宋体" w:cs="宋体"/>
                <w:b w:val="0"/>
                <w:bCs w:val="0"/>
                <w:color w:val="000000" w:themeColor="text1"/>
                <w:sz w:val="21"/>
                <w:szCs w:val="21"/>
                <w:u w:val="none"/>
                <w:lang w:eastAsia="zh-CN"/>
              </w:rPr>
              <w:t>后定期清掏不外排。待园区管网连接后</w:t>
            </w:r>
            <w:r>
              <w:rPr>
                <w:rFonts w:hint="eastAsia" w:ascii="宋体" w:hAnsi="宋体" w:eastAsia="宋体" w:cs="宋体"/>
                <w:b w:val="0"/>
                <w:bCs w:val="0"/>
                <w:color w:val="000000" w:themeColor="text1"/>
                <w:sz w:val="21"/>
                <w:szCs w:val="21"/>
                <w:u w:val="none"/>
              </w:rPr>
              <w:t>排入园区污水处理厂</w:t>
            </w:r>
            <w:r>
              <w:rPr>
                <w:rFonts w:hint="eastAsia" w:ascii="宋体" w:hAnsi="宋体" w:cs="宋体"/>
                <w:b w:val="0"/>
                <w:bCs w:val="0"/>
                <w:color w:val="000000" w:themeColor="text1"/>
                <w:sz w:val="21"/>
                <w:szCs w:val="21"/>
                <w:u w:val="none"/>
                <w:lang w:eastAsia="zh-CN"/>
              </w:rPr>
              <w:t>，符合</w:t>
            </w:r>
            <w:r>
              <w:rPr>
                <w:rFonts w:hint="eastAsia" w:ascii="宋体" w:hAnsi="宋体" w:eastAsia="宋体" w:cs="宋体"/>
                <w:b w:val="0"/>
                <w:bCs w:val="0"/>
                <w:color w:val="000000" w:themeColor="text1"/>
                <w:sz w:val="21"/>
                <w:szCs w:val="21"/>
                <w:u w:val="none"/>
              </w:rPr>
              <w:t>《辽宁省污水综合排放标准》（DB21/1627-2008）排入污水处理厂标准。</w:t>
            </w:r>
          </w:p>
          <w:p w14:paraId="17BDAA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rPr>
                <w:rFonts w:hint="eastAsia" w:ascii="宋体" w:hAnsi="宋体" w:eastAsia="宋体" w:cs="宋体"/>
                <w:b w:val="0"/>
                <w:bCs w:val="0"/>
                <w:color w:val="000000" w:themeColor="text1"/>
                <w:sz w:val="21"/>
                <w:szCs w:val="21"/>
                <w:u w:val="none"/>
                <w:lang w:val="en-US" w:eastAsia="zh-CN"/>
              </w:rPr>
            </w:pPr>
            <w:r>
              <w:rPr>
                <w:rFonts w:hint="eastAsia" w:ascii="宋体" w:hAnsi="宋体" w:eastAsia="宋体" w:cs="宋体"/>
                <w:b w:val="0"/>
                <w:bCs w:val="0"/>
                <w:color w:val="000000" w:themeColor="text1"/>
                <w:sz w:val="21"/>
                <w:szCs w:val="21"/>
                <w:u w:val="none"/>
                <w:lang w:val="en-US" w:eastAsia="zh-CN"/>
              </w:rPr>
              <w:t>3噪声污染防治措</w:t>
            </w:r>
          </w:p>
          <w:p w14:paraId="41F6D1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20" w:firstLineChars="200"/>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sz w:val="21"/>
                <w:szCs w:val="21"/>
                <w:u w:val="none"/>
              </w:rPr>
              <w:t>项目选用低噪声设备，对设备基础减振措施，加强设备日常检修和维护，</w:t>
            </w:r>
            <w:r>
              <w:rPr>
                <w:rFonts w:hint="eastAsia" w:ascii="宋体" w:hAnsi="宋体" w:eastAsia="宋体" w:cs="宋体"/>
                <w:b w:val="0"/>
                <w:bCs w:val="0"/>
                <w:color w:val="auto"/>
                <w:kern w:val="2"/>
                <w:sz w:val="21"/>
                <w:szCs w:val="21"/>
                <w:highlight w:val="none"/>
                <w:u w:val="none"/>
                <w:lang w:val="en-US" w:eastAsia="zh-CN" w:bidi="ar-SA"/>
              </w:rPr>
              <w:t>厂界噪声满足《工业企业厂界环境噪声排放标准》（GB12348-2008）中的3类标准要求。</w:t>
            </w:r>
          </w:p>
          <w:p w14:paraId="49638D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4固体废物污染防治措施</w:t>
            </w:r>
          </w:p>
          <w:p w14:paraId="2B12EC76">
            <w:pPr>
              <w:pStyle w:val="18"/>
              <w:numPr>
                <w:ilvl w:val="0"/>
                <w:numId w:val="0"/>
              </w:numPr>
              <w:spacing w:line="240" w:lineRule="auto"/>
              <w:ind w:firstLine="420" w:firstLineChars="20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lang w:eastAsia="zh-CN"/>
              </w:rPr>
              <w:t>项目</w:t>
            </w:r>
            <w:r>
              <w:rPr>
                <w:rFonts w:hint="eastAsia" w:ascii="宋体" w:hAnsi="宋体" w:eastAsia="宋体" w:cs="宋体"/>
                <w:b w:val="0"/>
                <w:bCs w:val="0"/>
                <w:sz w:val="21"/>
                <w:szCs w:val="21"/>
                <w:u w:val="none"/>
              </w:rPr>
              <w:t>生活垃圾经垃圾桶收集后委托环卫部门清运，切割料集中收集后回用于压制工序，灰渣灰分收集后用于农田肥料，废离子交换树脂由出售离子交换树脂厂家替换处理，切割工序除尘设施产生的粉尘集中收集后回用于压制工序，废弃包装袋集中收集后外售。</w:t>
            </w:r>
          </w:p>
          <w:p w14:paraId="28F541DC">
            <w:pPr>
              <w:pStyle w:val="18"/>
              <w:numPr>
                <w:ilvl w:val="0"/>
                <w:numId w:val="0"/>
              </w:numPr>
              <w:spacing w:line="240" w:lineRule="auto"/>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四、你公司应按照《排污许可管理办法》（试行）规定，向生态环境主管部门提交排污许可申请，依法持有排污许可证，并按规定排放污染物，未取得排污许可前，不得排放污染物。</w:t>
            </w:r>
          </w:p>
          <w:p w14:paraId="00796D8C">
            <w:pPr>
              <w:numPr>
                <w:ilvl w:val="0"/>
                <w:numId w:val="0"/>
              </w:numPr>
              <w:spacing w:line="240" w:lineRule="auto"/>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五、环境影响报告表经批准后，项目建设的地点、性质、规模、工艺或者防治污染措施发生重大变动的，应当重新报批该项目的环境影响报告表。自环境影响报告表批复文件批准之日起，如超过5年开工建设，环境影响报告表应报我局重新审核。</w:t>
            </w:r>
          </w:p>
          <w:p w14:paraId="0DA9A8A5">
            <w:pPr>
              <w:pStyle w:val="8"/>
              <w:numPr>
                <w:ilvl w:val="0"/>
                <w:numId w:val="0"/>
              </w:numPr>
              <w:spacing w:line="240" w:lineRule="auto"/>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六</w:t>
            </w:r>
            <w:r>
              <w:rPr>
                <w:rFonts w:hint="eastAsia" w:ascii="宋体" w:hAnsi="宋体" w:eastAsia="宋体" w:cs="宋体"/>
                <w:b w:val="0"/>
                <w:bCs w:val="0"/>
                <w:sz w:val="21"/>
                <w:szCs w:val="21"/>
                <w:u w:val="none"/>
                <w:lang w:eastAsia="zh-CN"/>
              </w:rPr>
              <w:t>、</w:t>
            </w:r>
            <w:r>
              <w:rPr>
                <w:rFonts w:hint="eastAsia" w:ascii="宋体" w:hAnsi="宋体" w:eastAsia="宋体" w:cs="宋体"/>
                <w:b w:val="0"/>
                <w:bCs w:val="0"/>
                <w:sz w:val="21"/>
                <w:szCs w:val="21"/>
                <w:u w:val="none"/>
              </w:rPr>
              <w:t>项目建设必须严格执行配套建设的环境保护设施与主体工程同时设计、同时施工、同时投产使用的环境保护“三同时”制度，项目竣工符合环保验收条件后，要</w:t>
            </w:r>
            <w:r>
              <w:rPr>
                <w:rFonts w:hint="eastAsia" w:ascii="宋体" w:hAnsi="宋体" w:eastAsia="宋体" w:cs="宋体"/>
                <w:b w:val="0"/>
                <w:bCs w:val="0"/>
                <w:sz w:val="21"/>
                <w:szCs w:val="21"/>
                <w:u w:val="none"/>
                <w:lang w:eastAsia="zh-CN"/>
              </w:rPr>
              <w:t>按照环保相关法规规定进行</w:t>
            </w:r>
            <w:r>
              <w:rPr>
                <w:rFonts w:hint="eastAsia" w:ascii="宋体" w:hAnsi="宋体" w:eastAsia="宋体" w:cs="宋体"/>
                <w:b w:val="0"/>
                <w:bCs w:val="0"/>
                <w:sz w:val="21"/>
                <w:szCs w:val="21"/>
                <w:u w:val="none"/>
              </w:rPr>
              <w:t>验收，经审查验收合格后，该建设项目方可投入正常运行</w:t>
            </w:r>
            <w:r>
              <w:rPr>
                <w:rFonts w:hint="eastAsia" w:ascii="宋体" w:hAnsi="宋体" w:eastAsia="宋体" w:cs="宋体"/>
                <w:b w:val="0"/>
                <w:bCs w:val="0"/>
                <w:sz w:val="21"/>
                <w:szCs w:val="21"/>
                <w:u w:val="none"/>
                <w:lang w:eastAsia="zh-CN"/>
              </w:rPr>
              <w:t>，由县生态环境执法队负责项目建设和运行期环境监管工作</w:t>
            </w:r>
            <w:r>
              <w:rPr>
                <w:rFonts w:hint="eastAsia" w:ascii="宋体" w:hAnsi="宋体" w:eastAsia="宋体" w:cs="宋体"/>
                <w:b w:val="0"/>
                <w:bCs w:val="0"/>
                <w:sz w:val="21"/>
                <w:szCs w:val="21"/>
                <w:u w:val="none"/>
              </w:rPr>
              <w:t>。</w:t>
            </w:r>
          </w:p>
          <w:p w14:paraId="2A1173E5">
            <w:pPr>
              <w:keepNext w:val="0"/>
              <w:keepLines w:val="0"/>
              <w:numPr>
                <w:ilvl w:val="0"/>
                <w:numId w:val="0"/>
              </w:numPr>
              <w:suppressLineNumbers w:val="0"/>
              <w:spacing w:before="0" w:beforeAutospacing="0" w:after="0" w:afterAutospacing="0" w:line="240" w:lineRule="auto"/>
              <w:ind w:right="0" w:firstLine="5880" w:firstLineChars="2800"/>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rPr>
              <w:t>公  章</w:t>
            </w:r>
            <w:r>
              <w:rPr>
                <w:rFonts w:hint="eastAsia" w:ascii="宋体" w:hAnsi="宋体" w:eastAsia="宋体" w:cs="宋体"/>
                <w:b w:val="0"/>
                <w:bCs w:val="0"/>
                <w:sz w:val="21"/>
                <w:szCs w:val="21"/>
                <w:u w:val="none"/>
                <w:lang w:eastAsia="zh-CN"/>
              </w:rPr>
              <w:t>）</w:t>
            </w:r>
          </w:p>
          <w:p w14:paraId="3B1ACD93">
            <w:pPr>
              <w:spacing w:line="240" w:lineRule="auto"/>
              <w:ind w:firstLine="840" w:firstLineChars="400"/>
              <w:rPr>
                <w:rStyle w:val="44"/>
                <w:rFonts w:ascii="Times New Roman" w:hAnsi="Times New Roman" w:cs="Times New Roman"/>
                <w:color w:val="auto"/>
              </w:rPr>
            </w:pPr>
            <w:r>
              <w:rPr>
                <w:rFonts w:hint="eastAsia" w:ascii="宋体" w:hAnsi="宋体" w:eastAsia="宋体" w:cs="宋体"/>
                <w:b w:val="0"/>
                <w:bCs w:val="0"/>
                <w:sz w:val="21"/>
                <w:szCs w:val="21"/>
                <w:u w:val="none"/>
              </w:rPr>
              <w:t xml:space="preserve">经办人：                             </w:t>
            </w:r>
            <w:r>
              <w:rPr>
                <w:rFonts w:hint="eastAsia" w:ascii="宋体" w:hAnsi="宋体" w:cs="宋体"/>
                <w:b w:val="0"/>
                <w:bCs w:val="0"/>
                <w:sz w:val="21"/>
                <w:szCs w:val="21"/>
                <w:u w:val="none"/>
                <w:lang w:val="en-US" w:eastAsia="zh-CN"/>
              </w:rPr>
              <w:t xml:space="preserve">      </w:t>
            </w:r>
            <w:r>
              <w:rPr>
                <w:rFonts w:hint="eastAsia" w:ascii="宋体" w:hAnsi="宋体" w:eastAsia="宋体" w:cs="宋体"/>
                <w:b w:val="0"/>
                <w:bCs w:val="0"/>
                <w:sz w:val="21"/>
                <w:szCs w:val="21"/>
                <w:u w:val="none"/>
              </w:rPr>
              <w:t xml:space="preserve"> </w:t>
            </w:r>
            <w:r>
              <w:rPr>
                <w:rFonts w:hint="eastAsia" w:ascii="宋体" w:hAnsi="宋体" w:eastAsia="宋体" w:cs="宋体"/>
                <w:b w:val="0"/>
                <w:bCs w:val="0"/>
                <w:sz w:val="21"/>
                <w:szCs w:val="21"/>
                <w:u w:val="none"/>
                <w:lang w:val="en-US" w:eastAsia="zh-CN"/>
              </w:rPr>
              <w:t>2022</w:t>
            </w:r>
            <w:r>
              <w:rPr>
                <w:rFonts w:hint="eastAsia" w:ascii="宋体" w:hAnsi="宋体" w:eastAsia="宋体" w:cs="宋体"/>
                <w:b w:val="0"/>
                <w:bCs w:val="0"/>
                <w:sz w:val="21"/>
                <w:szCs w:val="21"/>
                <w:u w:val="none"/>
              </w:rPr>
              <w:t xml:space="preserve">年 </w:t>
            </w:r>
            <w:r>
              <w:rPr>
                <w:rFonts w:hint="eastAsia" w:ascii="宋体" w:hAnsi="宋体" w:cs="宋体"/>
                <w:b w:val="0"/>
                <w:bCs w:val="0"/>
                <w:sz w:val="21"/>
                <w:szCs w:val="21"/>
                <w:u w:val="none"/>
                <w:lang w:val="en-US" w:eastAsia="zh-CN"/>
              </w:rPr>
              <w:t>5</w:t>
            </w:r>
            <w:r>
              <w:rPr>
                <w:rFonts w:hint="eastAsia" w:ascii="宋体" w:hAnsi="宋体" w:eastAsia="宋体" w:cs="宋体"/>
                <w:b w:val="0"/>
                <w:bCs w:val="0"/>
                <w:sz w:val="21"/>
                <w:szCs w:val="21"/>
                <w:u w:val="none"/>
              </w:rPr>
              <w:t xml:space="preserve">月 </w:t>
            </w:r>
            <w:r>
              <w:rPr>
                <w:rFonts w:hint="eastAsia" w:ascii="宋体" w:hAnsi="宋体" w:cs="宋体"/>
                <w:b w:val="0"/>
                <w:bCs w:val="0"/>
                <w:sz w:val="21"/>
                <w:szCs w:val="21"/>
                <w:u w:val="none"/>
                <w:lang w:val="en-US" w:eastAsia="zh-CN"/>
              </w:rPr>
              <w:t>19</w:t>
            </w:r>
            <w:r>
              <w:rPr>
                <w:rFonts w:hint="eastAsia" w:ascii="宋体" w:hAnsi="宋体" w:eastAsia="宋体" w:cs="宋体"/>
                <w:b w:val="0"/>
                <w:bCs w:val="0"/>
                <w:sz w:val="21"/>
                <w:szCs w:val="21"/>
                <w:u w:val="none"/>
              </w:rPr>
              <w:t>日</w:t>
            </w:r>
          </w:p>
        </w:tc>
      </w:tr>
    </w:tbl>
    <w:p w14:paraId="1AC65028">
      <w:pPr>
        <w:ind w:firstLine="480"/>
        <w:sectPr>
          <w:pgSz w:w="11907" w:h="16840"/>
          <w:pgMar w:top="1474" w:right="1701" w:bottom="1474" w:left="1701" w:header="851" w:footer="907" w:gutter="0"/>
          <w:cols w:space="720" w:num="1"/>
          <w:docGrid w:linePitch="312" w:charSpace="0"/>
        </w:sectPr>
      </w:pPr>
    </w:p>
    <w:p w14:paraId="103E749A">
      <w:pPr>
        <w:pStyle w:val="3"/>
        <w:spacing w:before="120"/>
        <w:jc w:val="left"/>
      </w:pPr>
      <w:r>
        <w:t>附表</w:t>
      </w:r>
    </w:p>
    <w:p w14:paraId="43F107AB">
      <w:pPr>
        <w:pStyle w:val="4"/>
        <w:spacing w:before="120" w:after="120"/>
      </w:pPr>
      <w:r>
        <w:t>建设项目污染物排放量汇总表</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654"/>
        <w:gridCol w:w="1721"/>
        <w:gridCol w:w="1292"/>
        <w:gridCol w:w="1721"/>
        <w:gridCol w:w="1576"/>
        <w:gridCol w:w="1783"/>
        <w:gridCol w:w="1545"/>
        <w:gridCol w:w="1270"/>
      </w:tblGrid>
      <w:tr w14:paraId="0CD93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tcBorders>
              <w:tl2br w:val="single" w:color="auto" w:sz="4" w:space="0"/>
            </w:tcBorders>
            <w:tcMar>
              <w:left w:w="28" w:type="dxa"/>
              <w:right w:w="28" w:type="dxa"/>
            </w:tcMar>
            <w:vAlign w:val="center"/>
          </w:tcPr>
          <w:p w14:paraId="243B6B46">
            <w:pPr>
              <w:pStyle w:val="34"/>
              <w:spacing w:beforeLines="0" w:afterLines="0" w:line="360" w:lineRule="exact"/>
              <w:jc w:val="right"/>
              <w:rPr>
                <w:szCs w:val="24"/>
              </w:rPr>
            </w:pPr>
            <w:r>
              <w:rPr>
                <w:szCs w:val="24"/>
              </w:rPr>
              <w:t>项目</w:t>
            </w:r>
          </w:p>
          <w:p w14:paraId="49626AFE">
            <w:pPr>
              <w:pStyle w:val="34"/>
              <w:spacing w:beforeLines="0" w:afterLines="0" w:line="360" w:lineRule="exact"/>
              <w:jc w:val="both"/>
              <w:rPr>
                <w:szCs w:val="24"/>
              </w:rPr>
            </w:pPr>
            <w:r>
              <w:rPr>
                <w:szCs w:val="24"/>
              </w:rPr>
              <w:t>分类</w:t>
            </w:r>
          </w:p>
        </w:tc>
        <w:tc>
          <w:tcPr>
            <w:tcW w:w="593" w:type="pct"/>
            <w:tcMar>
              <w:left w:w="28" w:type="dxa"/>
              <w:right w:w="28" w:type="dxa"/>
            </w:tcMar>
            <w:vAlign w:val="center"/>
          </w:tcPr>
          <w:p w14:paraId="06F6DBF7">
            <w:pPr>
              <w:pStyle w:val="34"/>
              <w:spacing w:beforeLines="0" w:afterLines="0" w:line="360" w:lineRule="exact"/>
              <w:rPr>
                <w:szCs w:val="24"/>
              </w:rPr>
            </w:pPr>
            <w:r>
              <w:rPr>
                <w:szCs w:val="24"/>
              </w:rPr>
              <w:t>污染物名称</w:t>
            </w:r>
          </w:p>
        </w:tc>
        <w:tc>
          <w:tcPr>
            <w:tcW w:w="617" w:type="pct"/>
            <w:tcMar>
              <w:left w:w="28" w:type="dxa"/>
              <w:right w:w="28" w:type="dxa"/>
            </w:tcMar>
            <w:vAlign w:val="center"/>
          </w:tcPr>
          <w:p w14:paraId="2220B950">
            <w:pPr>
              <w:pStyle w:val="34"/>
              <w:spacing w:beforeLines="0" w:afterLines="0" w:line="360" w:lineRule="exact"/>
              <w:rPr>
                <w:szCs w:val="24"/>
              </w:rPr>
            </w:pPr>
            <w:r>
              <w:rPr>
                <w:szCs w:val="24"/>
              </w:rPr>
              <w:t>现有工程</w:t>
            </w:r>
          </w:p>
          <w:p w14:paraId="29B69836">
            <w:pPr>
              <w:pStyle w:val="34"/>
              <w:spacing w:beforeLines="0" w:afterLines="0" w:line="360" w:lineRule="exact"/>
              <w:rPr>
                <w:szCs w:val="24"/>
              </w:rPr>
            </w:pPr>
            <w:r>
              <w:rPr>
                <w:szCs w:val="24"/>
              </w:rPr>
              <w:t>排放量（固体废物产生量）</w:t>
            </w:r>
            <w:r>
              <w:rPr>
                <w:szCs w:val="24"/>
              </w:rPr>
              <w:fldChar w:fldCharType="begin"/>
            </w:r>
            <w:r>
              <w:rPr>
                <w:szCs w:val="24"/>
              </w:rPr>
              <w:instrText xml:space="preserve"> = 1 \* GB3 \* MERGEFORMAT </w:instrText>
            </w:r>
            <w:r>
              <w:rPr>
                <w:szCs w:val="24"/>
              </w:rPr>
              <w:fldChar w:fldCharType="separate"/>
            </w:r>
            <w:r>
              <w:rPr>
                <w:rFonts w:ascii="宋体"/>
                <w:szCs w:val="24"/>
              </w:rPr>
              <w:t>①</w:t>
            </w:r>
            <w:r>
              <w:rPr>
                <w:szCs w:val="24"/>
              </w:rPr>
              <w:fldChar w:fldCharType="end"/>
            </w:r>
          </w:p>
        </w:tc>
        <w:tc>
          <w:tcPr>
            <w:tcW w:w="463" w:type="pct"/>
            <w:tcMar>
              <w:left w:w="28" w:type="dxa"/>
              <w:right w:w="28" w:type="dxa"/>
            </w:tcMar>
            <w:vAlign w:val="center"/>
          </w:tcPr>
          <w:p w14:paraId="06B189CE">
            <w:pPr>
              <w:pStyle w:val="34"/>
              <w:spacing w:beforeLines="0" w:afterLines="0" w:line="360" w:lineRule="exact"/>
              <w:rPr>
                <w:szCs w:val="24"/>
              </w:rPr>
            </w:pPr>
            <w:r>
              <w:rPr>
                <w:szCs w:val="24"/>
              </w:rPr>
              <w:t>现有工程</w:t>
            </w:r>
          </w:p>
          <w:p w14:paraId="3E82094A">
            <w:pPr>
              <w:pStyle w:val="34"/>
              <w:spacing w:beforeLines="0" w:afterLines="0" w:line="360" w:lineRule="exact"/>
              <w:rPr>
                <w:szCs w:val="24"/>
              </w:rPr>
            </w:pPr>
            <w:r>
              <w:rPr>
                <w:szCs w:val="24"/>
              </w:rPr>
              <w:t>许可排放量</w:t>
            </w:r>
          </w:p>
          <w:p w14:paraId="3C839C37">
            <w:pPr>
              <w:pStyle w:val="34"/>
              <w:spacing w:beforeLines="0" w:afterLines="0" w:line="360" w:lineRule="exact"/>
              <w:rPr>
                <w:szCs w:val="24"/>
              </w:rPr>
            </w:pPr>
            <w:r>
              <w:rPr>
                <w:szCs w:val="24"/>
              </w:rPr>
              <w:fldChar w:fldCharType="begin"/>
            </w:r>
            <w:r>
              <w:rPr>
                <w:szCs w:val="24"/>
              </w:rPr>
              <w:instrText xml:space="preserve"> = 2 \* GB3 \* MERGEFORMAT </w:instrText>
            </w:r>
            <w:r>
              <w:rPr>
                <w:szCs w:val="24"/>
              </w:rPr>
              <w:fldChar w:fldCharType="separate"/>
            </w:r>
            <w:r>
              <w:rPr>
                <w:rFonts w:ascii="宋体"/>
                <w:szCs w:val="24"/>
              </w:rPr>
              <w:t>②</w:t>
            </w:r>
            <w:r>
              <w:rPr>
                <w:szCs w:val="24"/>
              </w:rPr>
              <w:fldChar w:fldCharType="end"/>
            </w:r>
          </w:p>
        </w:tc>
        <w:tc>
          <w:tcPr>
            <w:tcW w:w="617" w:type="pct"/>
            <w:tcMar>
              <w:left w:w="28" w:type="dxa"/>
              <w:right w:w="28" w:type="dxa"/>
            </w:tcMar>
            <w:vAlign w:val="center"/>
          </w:tcPr>
          <w:p w14:paraId="6EBDC422">
            <w:pPr>
              <w:pStyle w:val="34"/>
              <w:spacing w:beforeLines="0" w:afterLines="0" w:line="360" w:lineRule="exact"/>
              <w:rPr>
                <w:szCs w:val="24"/>
              </w:rPr>
            </w:pPr>
            <w:r>
              <w:rPr>
                <w:szCs w:val="24"/>
              </w:rPr>
              <w:t>在建工程</w:t>
            </w:r>
          </w:p>
          <w:p w14:paraId="16A5A893">
            <w:pPr>
              <w:pStyle w:val="34"/>
              <w:spacing w:beforeLines="0" w:afterLines="0" w:line="360" w:lineRule="exact"/>
              <w:rPr>
                <w:szCs w:val="24"/>
              </w:rPr>
            </w:pPr>
            <w:r>
              <w:rPr>
                <w:szCs w:val="24"/>
              </w:rPr>
              <w:t>排放量（固体废物产生量）</w:t>
            </w:r>
            <w:r>
              <w:rPr>
                <w:szCs w:val="24"/>
              </w:rPr>
              <w:fldChar w:fldCharType="begin"/>
            </w:r>
            <w:r>
              <w:rPr>
                <w:szCs w:val="24"/>
              </w:rPr>
              <w:instrText xml:space="preserve"> = 3 \* GB3 \* MERGEFORMAT </w:instrText>
            </w:r>
            <w:r>
              <w:rPr>
                <w:szCs w:val="24"/>
              </w:rPr>
              <w:fldChar w:fldCharType="separate"/>
            </w:r>
            <w:r>
              <w:rPr>
                <w:rFonts w:ascii="宋体"/>
                <w:szCs w:val="24"/>
              </w:rPr>
              <w:t>③</w:t>
            </w:r>
            <w:r>
              <w:rPr>
                <w:szCs w:val="24"/>
              </w:rPr>
              <w:fldChar w:fldCharType="end"/>
            </w:r>
          </w:p>
        </w:tc>
        <w:tc>
          <w:tcPr>
            <w:tcW w:w="565" w:type="pct"/>
            <w:tcMar>
              <w:left w:w="28" w:type="dxa"/>
              <w:right w:w="28" w:type="dxa"/>
            </w:tcMar>
            <w:vAlign w:val="center"/>
          </w:tcPr>
          <w:p w14:paraId="693ADD74">
            <w:pPr>
              <w:pStyle w:val="34"/>
              <w:spacing w:beforeLines="0" w:afterLines="0" w:line="360" w:lineRule="exact"/>
              <w:rPr>
                <w:szCs w:val="24"/>
              </w:rPr>
            </w:pPr>
            <w:r>
              <w:rPr>
                <w:szCs w:val="24"/>
              </w:rPr>
              <w:t>本项目</w:t>
            </w:r>
          </w:p>
          <w:p w14:paraId="43C54796">
            <w:pPr>
              <w:pStyle w:val="34"/>
              <w:spacing w:beforeLines="0" w:afterLines="0" w:line="360" w:lineRule="exact"/>
              <w:rPr>
                <w:szCs w:val="24"/>
              </w:rPr>
            </w:pPr>
            <w:r>
              <w:rPr>
                <w:szCs w:val="24"/>
              </w:rPr>
              <w:t>排放量（固体废物产生量）</w:t>
            </w:r>
            <w:r>
              <w:rPr>
                <w:szCs w:val="24"/>
              </w:rPr>
              <w:fldChar w:fldCharType="begin"/>
            </w:r>
            <w:r>
              <w:rPr>
                <w:szCs w:val="24"/>
              </w:rPr>
              <w:instrText xml:space="preserve"> = 4 \* GB3 \* MERGEFORMAT </w:instrText>
            </w:r>
            <w:r>
              <w:rPr>
                <w:szCs w:val="24"/>
              </w:rPr>
              <w:fldChar w:fldCharType="separate"/>
            </w:r>
            <w:r>
              <w:rPr>
                <w:rFonts w:ascii="宋体"/>
                <w:szCs w:val="24"/>
              </w:rPr>
              <w:t>④</w:t>
            </w:r>
            <w:r>
              <w:rPr>
                <w:szCs w:val="24"/>
              </w:rPr>
              <w:fldChar w:fldCharType="end"/>
            </w:r>
          </w:p>
        </w:tc>
        <w:tc>
          <w:tcPr>
            <w:tcW w:w="639" w:type="pct"/>
            <w:tcMar>
              <w:left w:w="28" w:type="dxa"/>
              <w:right w:w="28" w:type="dxa"/>
            </w:tcMar>
            <w:vAlign w:val="center"/>
          </w:tcPr>
          <w:p w14:paraId="74C1543A">
            <w:pPr>
              <w:pStyle w:val="34"/>
              <w:spacing w:beforeLines="0" w:afterLines="0" w:line="360" w:lineRule="exact"/>
              <w:rPr>
                <w:szCs w:val="24"/>
              </w:rPr>
            </w:pPr>
            <w:r>
              <w:rPr>
                <w:szCs w:val="24"/>
              </w:rPr>
              <w:t>以新带老削减量</w:t>
            </w:r>
          </w:p>
          <w:p w14:paraId="72395530">
            <w:pPr>
              <w:pStyle w:val="34"/>
              <w:spacing w:beforeLines="0" w:afterLines="0" w:line="360" w:lineRule="exact"/>
              <w:rPr>
                <w:szCs w:val="24"/>
              </w:rPr>
            </w:pPr>
            <w:r>
              <w:rPr>
                <w:szCs w:val="24"/>
              </w:rPr>
              <w:t>（新建项目不填）</w:t>
            </w:r>
            <w:r>
              <w:rPr>
                <w:szCs w:val="24"/>
              </w:rPr>
              <w:fldChar w:fldCharType="begin"/>
            </w:r>
            <w:r>
              <w:rPr>
                <w:szCs w:val="24"/>
              </w:rPr>
              <w:instrText xml:space="preserve"> = 5 \* GB3 \* MERGEFORMAT </w:instrText>
            </w:r>
            <w:r>
              <w:rPr>
                <w:szCs w:val="24"/>
              </w:rPr>
              <w:fldChar w:fldCharType="separate"/>
            </w:r>
            <w:r>
              <w:rPr>
                <w:rFonts w:ascii="宋体"/>
                <w:szCs w:val="24"/>
              </w:rPr>
              <w:t>⑤</w:t>
            </w:r>
            <w:r>
              <w:rPr>
                <w:szCs w:val="24"/>
              </w:rPr>
              <w:fldChar w:fldCharType="end"/>
            </w:r>
          </w:p>
        </w:tc>
        <w:tc>
          <w:tcPr>
            <w:tcW w:w="554" w:type="pct"/>
            <w:tcMar>
              <w:left w:w="28" w:type="dxa"/>
              <w:right w:w="28" w:type="dxa"/>
            </w:tcMar>
            <w:vAlign w:val="center"/>
          </w:tcPr>
          <w:p w14:paraId="290700DF">
            <w:pPr>
              <w:pStyle w:val="34"/>
              <w:spacing w:beforeLines="0" w:afterLines="0" w:line="360" w:lineRule="exact"/>
              <w:rPr>
                <w:szCs w:val="24"/>
              </w:rPr>
            </w:pPr>
            <w:r>
              <w:rPr>
                <w:szCs w:val="24"/>
              </w:rPr>
              <w:t>本项目建成后</w:t>
            </w:r>
          </w:p>
          <w:p w14:paraId="5191B5BE">
            <w:pPr>
              <w:pStyle w:val="34"/>
              <w:spacing w:beforeLines="0" w:afterLines="0" w:line="360" w:lineRule="exact"/>
              <w:rPr>
                <w:szCs w:val="24"/>
              </w:rPr>
            </w:pPr>
            <w:r>
              <w:rPr>
                <w:szCs w:val="24"/>
              </w:rPr>
              <w:t>全厂排放量（固体废物产生量）</w:t>
            </w:r>
            <w:r>
              <w:rPr>
                <w:szCs w:val="24"/>
              </w:rPr>
              <w:fldChar w:fldCharType="begin"/>
            </w:r>
            <w:r>
              <w:rPr>
                <w:szCs w:val="24"/>
              </w:rPr>
              <w:instrText xml:space="preserve"> = 6 \* GB3 \* MERGEFORMAT </w:instrText>
            </w:r>
            <w:r>
              <w:rPr>
                <w:szCs w:val="24"/>
              </w:rPr>
              <w:fldChar w:fldCharType="separate"/>
            </w:r>
            <w:r>
              <w:rPr>
                <w:rFonts w:ascii="宋体"/>
                <w:szCs w:val="24"/>
              </w:rPr>
              <w:t>⑥</w:t>
            </w:r>
            <w:r>
              <w:rPr>
                <w:szCs w:val="24"/>
              </w:rPr>
              <w:fldChar w:fldCharType="end"/>
            </w:r>
          </w:p>
        </w:tc>
        <w:tc>
          <w:tcPr>
            <w:tcW w:w="456" w:type="pct"/>
            <w:tcMar>
              <w:left w:w="28" w:type="dxa"/>
              <w:right w:w="28" w:type="dxa"/>
            </w:tcMar>
            <w:vAlign w:val="center"/>
          </w:tcPr>
          <w:p w14:paraId="2283EFB6">
            <w:pPr>
              <w:pStyle w:val="34"/>
              <w:spacing w:beforeLines="0" w:afterLines="0" w:line="360" w:lineRule="exact"/>
              <w:rPr>
                <w:szCs w:val="24"/>
              </w:rPr>
            </w:pPr>
            <w:r>
              <w:rPr>
                <w:szCs w:val="24"/>
              </w:rPr>
              <w:t>变化量</w:t>
            </w:r>
          </w:p>
          <w:p w14:paraId="3ACADA52">
            <w:pPr>
              <w:pStyle w:val="34"/>
              <w:spacing w:beforeLines="0" w:afterLines="0" w:line="360" w:lineRule="exact"/>
              <w:rPr>
                <w:szCs w:val="24"/>
              </w:rPr>
            </w:pPr>
            <w:r>
              <w:rPr>
                <w:szCs w:val="24"/>
              </w:rPr>
              <w:fldChar w:fldCharType="begin"/>
            </w:r>
            <w:r>
              <w:rPr>
                <w:szCs w:val="24"/>
              </w:rPr>
              <w:instrText xml:space="preserve"> = 7 \* GB3 \* MERGEFORMAT </w:instrText>
            </w:r>
            <w:r>
              <w:rPr>
                <w:szCs w:val="24"/>
              </w:rPr>
              <w:fldChar w:fldCharType="separate"/>
            </w:r>
            <w:r>
              <w:rPr>
                <w:rFonts w:ascii="宋体"/>
                <w:szCs w:val="24"/>
              </w:rPr>
              <w:t>⑦</w:t>
            </w:r>
            <w:r>
              <w:rPr>
                <w:szCs w:val="24"/>
              </w:rPr>
              <w:fldChar w:fldCharType="end"/>
            </w:r>
          </w:p>
        </w:tc>
      </w:tr>
      <w:tr w14:paraId="43A8A6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97" w:type="pct"/>
            <w:vMerge w:val="restart"/>
            <w:vAlign w:val="center"/>
          </w:tcPr>
          <w:p w14:paraId="3D844CC7">
            <w:pPr>
              <w:pStyle w:val="34"/>
              <w:spacing w:beforeLines="0" w:afterLines="0" w:line="360" w:lineRule="exact"/>
              <w:rPr>
                <w:szCs w:val="24"/>
              </w:rPr>
            </w:pPr>
            <w:r>
              <w:rPr>
                <w:szCs w:val="24"/>
              </w:rPr>
              <w:t>废气</w:t>
            </w:r>
          </w:p>
        </w:tc>
        <w:tc>
          <w:tcPr>
            <w:tcW w:w="593" w:type="pct"/>
            <w:vAlign w:val="center"/>
          </w:tcPr>
          <w:p w14:paraId="65D4D0D0">
            <w:pPr>
              <w:pStyle w:val="34"/>
              <w:spacing w:beforeLines="0" w:afterLines="0" w:line="360" w:lineRule="exact"/>
              <w:rPr>
                <w:szCs w:val="24"/>
              </w:rPr>
            </w:pPr>
            <w:r>
              <w:rPr>
                <w:szCs w:val="24"/>
              </w:rPr>
              <w:t>颗粒物</w:t>
            </w:r>
          </w:p>
        </w:tc>
        <w:tc>
          <w:tcPr>
            <w:tcW w:w="617" w:type="pct"/>
            <w:vAlign w:val="center"/>
          </w:tcPr>
          <w:p w14:paraId="17BDE9A8">
            <w:pPr>
              <w:pStyle w:val="34"/>
              <w:spacing w:beforeLines="0" w:afterLines="0" w:line="360" w:lineRule="exact"/>
              <w:rPr>
                <w:szCs w:val="24"/>
              </w:rPr>
            </w:pPr>
            <w:r>
              <w:rPr>
                <w:szCs w:val="24"/>
              </w:rPr>
              <w:t>0</w:t>
            </w:r>
          </w:p>
        </w:tc>
        <w:tc>
          <w:tcPr>
            <w:tcW w:w="463" w:type="pct"/>
            <w:vAlign w:val="center"/>
          </w:tcPr>
          <w:p w14:paraId="73AA10D1">
            <w:pPr>
              <w:pStyle w:val="34"/>
              <w:spacing w:beforeLines="0" w:afterLines="0" w:line="360" w:lineRule="exact"/>
              <w:rPr>
                <w:szCs w:val="24"/>
              </w:rPr>
            </w:pPr>
            <w:r>
              <w:rPr>
                <w:szCs w:val="24"/>
              </w:rPr>
              <w:t>0</w:t>
            </w:r>
          </w:p>
        </w:tc>
        <w:tc>
          <w:tcPr>
            <w:tcW w:w="617" w:type="pct"/>
            <w:vAlign w:val="center"/>
          </w:tcPr>
          <w:p w14:paraId="75AE35C8">
            <w:pPr>
              <w:pStyle w:val="34"/>
              <w:spacing w:beforeLines="0" w:afterLines="0" w:line="360" w:lineRule="exact"/>
              <w:rPr>
                <w:szCs w:val="24"/>
              </w:rPr>
            </w:pPr>
            <w:r>
              <w:rPr>
                <w:szCs w:val="24"/>
              </w:rPr>
              <w:t>0</w:t>
            </w:r>
          </w:p>
        </w:tc>
        <w:tc>
          <w:tcPr>
            <w:tcW w:w="565" w:type="pct"/>
            <w:vAlign w:val="center"/>
          </w:tcPr>
          <w:p w14:paraId="2C32FF52">
            <w:pPr>
              <w:pStyle w:val="34"/>
              <w:spacing w:beforeLines="0" w:afterLines="0" w:line="360" w:lineRule="exact"/>
              <w:rPr>
                <w:szCs w:val="24"/>
              </w:rPr>
            </w:pPr>
            <w:r>
              <w:rPr>
                <w:szCs w:val="24"/>
              </w:rPr>
              <w:t>0.3257t/a</w:t>
            </w:r>
          </w:p>
        </w:tc>
        <w:tc>
          <w:tcPr>
            <w:tcW w:w="639" w:type="pct"/>
            <w:vAlign w:val="center"/>
          </w:tcPr>
          <w:p w14:paraId="5EE11A42">
            <w:pPr>
              <w:pStyle w:val="34"/>
              <w:spacing w:beforeLines="0" w:afterLines="0" w:line="360" w:lineRule="exact"/>
              <w:rPr>
                <w:szCs w:val="24"/>
              </w:rPr>
            </w:pPr>
            <w:r>
              <w:rPr>
                <w:szCs w:val="24"/>
              </w:rPr>
              <w:t>0</w:t>
            </w:r>
          </w:p>
        </w:tc>
        <w:tc>
          <w:tcPr>
            <w:tcW w:w="554" w:type="pct"/>
            <w:vAlign w:val="center"/>
          </w:tcPr>
          <w:p w14:paraId="7A5A5CA9">
            <w:pPr>
              <w:pStyle w:val="34"/>
              <w:spacing w:beforeLines="0" w:afterLines="0" w:line="360" w:lineRule="exact"/>
              <w:rPr>
                <w:szCs w:val="24"/>
              </w:rPr>
            </w:pPr>
            <w:r>
              <w:rPr>
                <w:szCs w:val="24"/>
              </w:rPr>
              <w:t>0.3257t/a</w:t>
            </w:r>
          </w:p>
        </w:tc>
        <w:tc>
          <w:tcPr>
            <w:tcW w:w="456" w:type="pct"/>
            <w:vAlign w:val="center"/>
          </w:tcPr>
          <w:p w14:paraId="66593289">
            <w:pPr>
              <w:pStyle w:val="34"/>
              <w:spacing w:beforeLines="0" w:afterLines="0" w:line="360" w:lineRule="exact"/>
              <w:rPr>
                <w:szCs w:val="24"/>
              </w:rPr>
            </w:pPr>
            <w:r>
              <w:rPr>
                <w:szCs w:val="24"/>
              </w:rPr>
              <w:t>+0.3257t/a</w:t>
            </w:r>
          </w:p>
        </w:tc>
      </w:tr>
      <w:tr w14:paraId="53D0E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vMerge w:val="continue"/>
            <w:vAlign w:val="center"/>
          </w:tcPr>
          <w:p w14:paraId="55DE2DC5">
            <w:pPr>
              <w:pStyle w:val="34"/>
              <w:spacing w:beforeLines="0" w:afterLines="0" w:line="360" w:lineRule="exact"/>
              <w:rPr>
                <w:szCs w:val="24"/>
              </w:rPr>
            </w:pPr>
          </w:p>
        </w:tc>
        <w:tc>
          <w:tcPr>
            <w:tcW w:w="593" w:type="pct"/>
            <w:vAlign w:val="center"/>
          </w:tcPr>
          <w:p w14:paraId="5362F09E">
            <w:pPr>
              <w:pStyle w:val="34"/>
              <w:spacing w:beforeLines="0" w:afterLines="0" w:line="360" w:lineRule="exact"/>
              <w:rPr>
                <w:szCs w:val="24"/>
              </w:rPr>
            </w:pPr>
            <w:r>
              <w:rPr>
                <w:szCs w:val="24"/>
              </w:rPr>
              <w:t>二氧化硫</w:t>
            </w:r>
          </w:p>
        </w:tc>
        <w:tc>
          <w:tcPr>
            <w:tcW w:w="617" w:type="pct"/>
            <w:vAlign w:val="center"/>
          </w:tcPr>
          <w:p w14:paraId="52008A0A">
            <w:pPr>
              <w:pStyle w:val="34"/>
              <w:spacing w:beforeLines="0" w:afterLines="0" w:line="360" w:lineRule="exact"/>
              <w:rPr>
                <w:szCs w:val="24"/>
              </w:rPr>
            </w:pPr>
            <w:r>
              <w:rPr>
                <w:szCs w:val="24"/>
              </w:rPr>
              <w:t>0</w:t>
            </w:r>
          </w:p>
        </w:tc>
        <w:tc>
          <w:tcPr>
            <w:tcW w:w="463" w:type="pct"/>
            <w:vAlign w:val="center"/>
          </w:tcPr>
          <w:p w14:paraId="645A4370">
            <w:pPr>
              <w:pStyle w:val="34"/>
              <w:spacing w:beforeLines="0" w:afterLines="0" w:line="360" w:lineRule="exact"/>
              <w:rPr>
                <w:szCs w:val="24"/>
              </w:rPr>
            </w:pPr>
            <w:r>
              <w:rPr>
                <w:szCs w:val="24"/>
              </w:rPr>
              <w:t>0</w:t>
            </w:r>
          </w:p>
        </w:tc>
        <w:tc>
          <w:tcPr>
            <w:tcW w:w="617" w:type="pct"/>
            <w:vAlign w:val="center"/>
          </w:tcPr>
          <w:p w14:paraId="3CA7369C">
            <w:pPr>
              <w:pStyle w:val="34"/>
              <w:spacing w:beforeLines="0" w:afterLines="0" w:line="360" w:lineRule="exact"/>
              <w:rPr>
                <w:szCs w:val="24"/>
              </w:rPr>
            </w:pPr>
            <w:r>
              <w:rPr>
                <w:szCs w:val="24"/>
              </w:rPr>
              <w:t>0</w:t>
            </w:r>
          </w:p>
        </w:tc>
        <w:tc>
          <w:tcPr>
            <w:tcW w:w="565" w:type="pct"/>
            <w:vAlign w:val="center"/>
          </w:tcPr>
          <w:p w14:paraId="5E933074">
            <w:pPr>
              <w:pStyle w:val="34"/>
              <w:spacing w:beforeLines="0" w:afterLines="0" w:line="360" w:lineRule="exact"/>
              <w:rPr>
                <w:szCs w:val="24"/>
              </w:rPr>
            </w:pPr>
            <w:r>
              <w:rPr>
                <w:szCs w:val="24"/>
              </w:rPr>
              <w:t>0.27t/a</w:t>
            </w:r>
          </w:p>
        </w:tc>
        <w:tc>
          <w:tcPr>
            <w:tcW w:w="639" w:type="pct"/>
            <w:vAlign w:val="center"/>
          </w:tcPr>
          <w:p w14:paraId="5DAF8579">
            <w:pPr>
              <w:pStyle w:val="34"/>
              <w:spacing w:beforeLines="0" w:afterLines="0" w:line="360" w:lineRule="exact"/>
              <w:rPr>
                <w:szCs w:val="24"/>
              </w:rPr>
            </w:pPr>
            <w:r>
              <w:rPr>
                <w:szCs w:val="24"/>
              </w:rPr>
              <w:t>0</w:t>
            </w:r>
          </w:p>
        </w:tc>
        <w:tc>
          <w:tcPr>
            <w:tcW w:w="554" w:type="pct"/>
            <w:vAlign w:val="center"/>
          </w:tcPr>
          <w:p w14:paraId="7466B727">
            <w:pPr>
              <w:pStyle w:val="34"/>
              <w:spacing w:beforeLines="0" w:afterLines="0" w:line="360" w:lineRule="exact"/>
              <w:rPr>
                <w:szCs w:val="24"/>
              </w:rPr>
            </w:pPr>
            <w:r>
              <w:rPr>
                <w:szCs w:val="24"/>
              </w:rPr>
              <w:t>0.27t/a</w:t>
            </w:r>
          </w:p>
        </w:tc>
        <w:tc>
          <w:tcPr>
            <w:tcW w:w="456" w:type="pct"/>
            <w:vAlign w:val="center"/>
          </w:tcPr>
          <w:p w14:paraId="76A2C1A9">
            <w:pPr>
              <w:pStyle w:val="34"/>
              <w:spacing w:beforeLines="0" w:afterLines="0" w:line="360" w:lineRule="exact"/>
              <w:rPr>
                <w:szCs w:val="24"/>
              </w:rPr>
            </w:pPr>
            <w:r>
              <w:rPr>
                <w:szCs w:val="24"/>
              </w:rPr>
              <w:t>+0.27t/a</w:t>
            </w:r>
          </w:p>
        </w:tc>
      </w:tr>
      <w:tr w14:paraId="4F180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vMerge w:val="continue"/>
            <w:vAlign w:val="center"/>
          </w:tcPr>
          <w:p w14:paraId="34A98CB1">
            <w:pPr>
              <w:pStyle w:val="34"/>
              <w:spacing w:beforeLines="0" w:afterLines="0" w:line="360" w:lineRule="exact"/>
              <w:rPr>
                <w:szCs w:val="24"/>
              </w:rPr>
            </w:pPr>
          </w:p>
        </w:tc>
        <w:tc>
          <w:tcPr>
            <w:tcW w:w="593" w:type="pct"/>
            <w:vAlign w:val="center"/>
          </w:tcPr>
          <w:p w14:paraId="150C3BF4">
            <w:pPr>
              <w:pStyle w:val="34"/>
              <w:spacing w:beforeLines="0" w:afterLines="0" w:line="360" w:lineRule="exact"/>
              <w:rPr>
                <w:szCs w:val="24"/>
              </w:rPr>
            </w:pPr>
            <w:r>
              <w:rPr>
                <w:szCs w:val="24"/>
              </w:rPr>
              <w:t>氮氧化物</w:t>
            </w:r>
          </w:p>
        </w:tc>
        <w:tc>
          <w:tcPr>
            <w:tcW w:w="617" w:type="pct"/>
            <w:vAlign w:val="center"/>
          </w:tcPr>
          <w:p w14:paraId="20566A32">
            <w:pPr>
              <w:pStyle w:val="34"/>
              <w:spacing w:beforeLines="0" w:afterLines="0" w:line="360" w:lineRule="exact"/>
              <w:rPr>
                <w:szCs w:val="24"/>
              </w:rPr>
            </w:pPr>
            <w:r>
              <w:rPr>
                <w:szCs w:val="24"/>
              </w:rPr>
              <w:t>0</w:t>
            </w:r>
          </w:p>
        </w:tc>
        <w:tc>
          <w:tcPr>
            <w:tcW w:w="463" w:type="pct"/>
            <w:vAlign w:val="center"/>
          </w:tcPr>
          <w:p w14:paraId="6398CA57">
            <w:pPr>
              <w:pStyle w:val="34"/>
              <w:spacing w:beforeLines="0" w:afterLines="0" w:line="360" w:lineRule="exact"/>
              <w:rPr>
                <w:szCs w:val="24"/>
              </w:rPr>
            </w:pPr>
            <w:r>
              <w:rPr>
                <w:szCs w:val="24"/>
              </w:rPr>
              <w:t>0</w:t>
            </w:r>
          </w:p>
        </w:tc>
        <w:tc>
          <w:tcPr>
            <w:tcW w:w="617" w:type="pct"/>
            <w:vAlign w:val="center"/>
          </w:tcPr>
          <w:p w14:paraId="54C60493">
            <w:pPr>
              <w:pStyle w:val="34"/>
              <w:spacing w:beforeLines="0" w:afterLines="0" w:line="360" w:lineRule="exact"/>
              <w:rPr>
                <w:szCs w:val="24"/>
              </w:rPr>
            </w:pPr>
            <w:r>
              <w:rPr>
                <w:szCs w:val="24"/>
              </w:rPr>
              <w:t>0</w:t>
            </w:r>
          </w:p>
        </w:tc>
        <w:tc>
          <w:tcPr>
            <w:tcW w:w="565" w:type="pct"/>
            <w:vAlign w:val="center"/>
          </w:tcPr>
          <w:p w14:paraId="7C202CC2">
            <w:pPr>
              <w:pStyle w:val="34"/>
              <w:spacing w:beforeLines="0" w:afterLines="0" w:line="360" w:lineRule="exact"/>
              <w:rPr>
                <w:szCs w:val="24"/>
              </w:rPr>
            </w:pPr>
            <w:r>
              <w:rPr>
                <w:szCs w:val="24"/>
              </w:rPr>
              <w:t>0.55t/a</w:t>
            </w:r>
          </w:p>
        </w:tc>
        <w:tc>
          <w:tcPr>
            <w:tcW w:w="639" w:type="pct"/>
            <w:vAlign w:val="center"/>
          </w:tcPr>
          <w:p w14:paraId="19E62CEA">
            <w:pPr>
              <w:pStyle w:val="34"/>
              <w:spacing w:beforeLines="0" w:afterLines="0" w:line="360" w:lineRule="exact"/>
              <w:rPr>
                <w:szCs w:val="24"/>
              </w:rPr>
            </w:pPr>
            <w:r>
              <w:rPr>
                <w:szCs w:val="24"/>
              </w:rPr>
              <w:t>0</w:t>
            </w:r>
          </w:p>
        </w:tc>
        <w:tc>
          <w:tcPr>
            <w:tcW w:w="554" w:type="pct"/>
            <w:vAlign w:val="center"/>
          </w:tcPr>
          <w:p w14:paraId="6393636D">
            <w:pPr>
              <w:pStyle w:val="34"/>
              <w:spacing w:beforeLines="0" w:afterLines="0" w:line="360" w:lineRule="exact"/>
              <w:rPr>
                <w:szCs w:val="24"/>
              </w:rPr>
            </w:pPr>
            <w:r>
              <w:rPr>
                <w:szCs w:val="24"/>
              </w:rPr>
              <w:t>0.55t/a</w:t>
            </w:r>
          </w:p>
        </w:tc>
        <w:tc>
          <w:tcPr>
            <w:tcW w:w="456" w:type="pct"/>
            <w:vAlign w:val="center"/>
          </w:tcPr>
          <w:p w14:paraId="18C54946">
            <w:pPr>
              <w:pStyle w:val="34"/>
              <w:spacing w:beforeLines="0" w:afterLines="0" w:line="360" w:lineRule="exact"/>
              <w:rPr>
                <w:szCs w:val="24"/>
              </w:rPr>
            </w:pPr>
            <w:r>
              <w:rPr>
                <w:szCs w:val="24"/>
              </w:rPr>
              <w:t>+0.55t/a</w:t>
            </w:r>
          </w:p>
        </w:tc>
      </w:tr>
      <w:tr w14:paraId="10F674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vMerge w:val="continue"/>
            <w:vAlign w:val="center"/>
          </w:tcPr>
          <w:p w14:paraId="2E285B51">
            <w:pPr>
              <w:pStyle w:val="34"/>
              <w:spacing w:beforeLines="0" w:afterLines="0" w:line="360" w:lineRule="exact"/>
              <w:rPr>
                <w:szCs w:val="24"/>
              </w:rPr>
            </w:pPr>
          </w:p>
        </w:tc>
        <w:tc>
          <w:tcPr>
            <w:tcW w:w="593" w:type="pct"/>
            <w:vAlign w:val="center"/>
          </w:tcPr>
          <w:p w14:paraId="63C172EC">
            <w:pPr>
              <w:pStyle w:val="34"/>
              <w:spacing w:beforeLines="0" w:afterLines="0" w:line="360" w:lineRule="exact"/>
              <w:rPr>
                <w:szCs w:val="24"/>
              </w:rPr>
            </w:pPr>
            <w:r>
              <w:rPr>
                <w:szCs w:val="24"/>
              </w:rPr>
              <w:t>非甲烷总烃</w:t>
            </w:r>
          </w:p>
        </w:tc>
        <w:tc>
          <w:tcPr>
            <w:tcW w:w="617" w:type="pct"/>
            <w:vAlign w:val="center"/>
          </w:tcPr>
          <w:p w14:paraId="678910E4">
            <w:pPr>
              <w:pStyle w:val="34"/>
              <w:spacing w:beforeLines="0" w:afterLines="0" w:line="360" w:lineRule="exact"/>
              <w:rPr>
                <w:szCs w:val="24"/>
              </w:rPr>
            </w:pPr>
            <w:r>
              <w:rPr>
                <w:szCs w:val="24"/>
              </w:rPr>
              <w:t>0</w:t>
            </w:r>
          </w:p>
        </w:tc>
        <w:tc>
          <w:tcPr>
            <w:tcW w:w="463" w:type="pct"/>
            <w:vAlign w:val="center"/>
          </w:tcPr>
          <w:p w14:paraId="7F7D6085">
            <w:pPr>
              <w:pStyle w:val="34"/>
              <w:spacing w:beforeLines="0" w:afterLines="0" w:line="360" w:lineRule="exact"/>
              <w:rPr>
                <w:szCs w:val="24"/>
              </w:rPr>
            </w:pPr>
            <w:r>
              <w:rPr>
                <w:szCs w:val="24"/>
              </w:rPr>
              <w:t>0</w:t>
            </w:r>
          </w:p>
        </w:tc>
        <w:tc>
          <w:tcPr>
            <w:tcW w:w="617" w:type="pct"/>
            <w:vAlign w:val="center"/>
          </w:tcPr>
          <w:p w14:paraId="6EFDE7AB">
            <w:pPr>
              <w:pStyle w:val="34"/>
              <w:spacing w:beforeLines="0" w:afterLines="0" w:line="360" w:lineRule="exact"/>
              <w:rPr>
                <w:szCs w:val="24"/>
              </w:rPr>
            </w:pPr>
            <w:r>
              <w:rPr>
                <w:szCs w:val="24"/>
              </w:rPr>
              <w:t>0</w:t>
            </w:r>
          </w:p>
        </w:tc>
        <w:tc>
          <w:tcPr>
            <w:tcW w:w="565" w:type="pct"/>
            <w:vAlign w:val="center"/>
          </w:tcPr>
          <w:p w14:paraId="1E29A753">
            <w:pPr>
              <w:pStyle w:val="34"/>
              <w:spacing w:beforeLines="0" w:afterLines="0" w:line="360" w:lineRule="exact"/>
              <w:rPr>
                <w:szCs w:val="24"/>
              </w:rPr>
            </w:pPr>
            <w:r>
              <w:rPr>
                <w:szCs w:val="24"/>
              </w:rPr>
              <w:t>0.1788t/a</w:t>
            </w:r>
          </w:p>
        </w:tc>
        <w:tc>
          <w:tcPr>
            <w:tcW w:w="639" w:type="pct"/>
            <w:vAlign w:val="center"/>
          </w:tcPr>
          <w:p w14:paraId="1D8B53EF">
            <w:pPr>
              <w:pStyle w:val="34"/>
              <w:spacing w:beforeLines="0" w:afterLines="0" w:line="360" w:lineRule="exact"/>
              <w:rPr>
                <w:szCs w:val="24"/>
              </w:rPr>
            </w:pPr>
            <w:r>
              <w:rPr>
                <w:szCs w:val="24"/>
              </w:rPr>
              <w:t>0</w:t>
            </w:r>
          </w:p>
        </w:tc>
        <w:tc>
          <w:tcPr>
            <w:tcW w:w="554" w:type="pct"/>
            <w:vAlign w:val="center"/>
          </w:tcPr>
          <w:p w14:paraId="71CFA80F">
            <w:pPr>
              <w:pStyle w:val="34"/>
              <w:spacing w:beforeLines="0" w:afterLines="0" w:line="360" w:lineRule="exact"/>
              <w:rPr>
                <w:szCs w:val="24"/>
              </w:rPr>
            </w:pPr>
            <w:r>
              <w:rPr>
                <w:szCs w:val="24"/>
              </w:rPr>
              <w:t>0.1788t/a</w:t>
            </w:r>
          </w:p>
        </w:tc>
        <w:tc>
          <w:tcPr>
            <w:tcW w:w="456" w:type="pct"/>
            <w:vAlign w:val="center"/>
          </w:tcPr>
          <w:p w14:paraId="24F9C72A">
            <w:pPr>
              <w:pStyle w:val="34"/>
              <w:spacing w:beforeLines="0" w:afterLines="0" w:line="360" w:lineRule="exact"/>
              <w:rPr>
                <w:szCs w:val="24"/>
              </w:rPr>
            </w:pPr>
            <w:r>
              <w:rPr>
                <w:szCs w:val="24"/>
              </w:rPr>
              <w:t>+0.1788t/a</w:t>
            </w:r>
          </w:p>
        </w:tc>
      </w:tr>
      <w:tr w14:paraId="5E441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vMerge w:val="restart"/>
            <w:vAlign w:val="center"/>
          </w:tcPr>
          <w:p w14:paraId="44648F64">
            <w:pPr>
              <w:pStyle w:val="34"/>
              <w:spacing w:beforeLines="0" w:afterLines="0" w:line="360" w:lineRule="exact"/>
              <w:rPr>
                <w:szCs w:val="24"/>
              </w:rPr>
            </w:pPr>
            <w:r>
              <w:rPr>
                <w:szCs w:val="24"/>
              </w:rPr>
              <w:t>废水</w:t>
            </w:r>
          </w:p>
        </w:tc>
        <w:tc>
          <w:tcPr>
            <w:tcW w:w="593" w:type="pct"/>
            <w:vAlign w:val="center"/>
          </w:tcPr>
          <w:p w14:paraId="0652AA79">
            <w:pPr>
              <w:pStyle w:val="34"/>
              <w:spacing w:beforeLines="0" w:afterLines="0" w:line="360" w:lineRule="exact"/>
              <w:rPr>
                <w:szCs w:val="24"/>
              </w:rPr>
            </w:pPr>
            <w:r>
              <w:rPr>
                <w:szCs w:val="24"/>
              </w:rPr>
              <w:t>生活污水量</w:t>
            </w:r>
          </w:p>
        </w:tc>
        <w:tc>
          <w:tcPr>
            <w:tcW w:w="617" w:type="pct"/>
            <w:vAlign w:val="center"/>
          </w:tcPr>
          <w:p w14:paraId="746D86F9">
            <w:pPr>
              <w:pStyle w:val="34"/>
              <w:spacing w:beforeLines="0" w:afterLines="0" w:line="360" w:lineRule="exact"/>
              <w:rPr>
                <w:szCs w:val="24"/>
              </w:rPr>
            </w:pPr>
            <w:r>
              <w:rPr>
                <w:szCs w:val="24"/>
              </w:rPr>
              <w:t>0</w:t>
            </w:r>
          </w:p>
        </w:tc>
        <w:tc>
          <w:tcPr>
            <w:tcW w:w="463" w:type="pct"/>
            <w:vAlign w:val="center"/>
          </w:tcPr>
          <w:p w14:paraId="0C73C116">
            <w:pPr>
              <w:pStyle w:val="34"/>
              <w:spacing w:beforeLines="0" w:afterLines="0" w:line="360" w:lineRule="exact"/>
              <w:rPr>
                <w:szCs w:val="24"/>
              </w:rPr>
            </w:pPr>
            <w:r>
              <w:rPr>
                <w:szCs w:val="24"/>
              </w:rPr>
              <w:t>0</w:t>
            </w:r>
          </w:p>
        </w:tc>
        <w:tc>
          <w:tcPr>
            <w:tcW w:w="617" w:type="pct"/>
            <w:vAlign w:val="center"/>
          </w:tcPr>
          <w:p w14:paraId="7CFB910C">
            <w:pPr>
              <w:pStyle w:val="34"/>
              <w:spacing w:beforeLines="0" w:afterLines="0" w:line="360" w:lineRule="exact"/>
              <w:rPr>
                <w:szCs w:val="24"/>
              </w:rPr>
            </w:pPr>
            <w:r>
              <w:rPr>
                <w:szCs w:val="24"/>
              </w:rPr>
              <w:t>0</w:t>
            </w:r>
          </w:p>
        </w:tc>
        <w:tc>
          <w:tcPr>
            <w:tcW w:w="565" w:type="pct"/>
            <w:vAlign w:val="center"/>
          </w:tcPr>
          <w:p w14:paraId="4C596788">
            <w:pPr>
              <w:pStyle w:val="34"/>
              <w:spacing w:beforeLines="0" w:afterLines="0" w:line="360" w:lineRule="exact"/>
              <w:rPr>
                <w:szCs w:val="24"/>
              </w:rPr>
            </w:pPr>
            <w:r>
              <w:rPr>
                <w:szCs w:val="24"/>
              </w:rPr>
              <w:t>841.5t/a</w:t>
            </w:r>
          </w:p>
        </w:tc>
        <w:tc>
          <w:tcPr>
            <w:tcW w:w="639" w:type="pct"/>
            <w:vAlign w:val="center"/>
          </w:tcPr>
          <w:p w14:paraId="50565F3C">
            <w:pPr>
              <w:pStyle w:val="34"/>
              <w:spacing w:beforeLines="0" w:afterLines="0" w:line="360" w:lineRule="exact"/>
              <w:rPr>
                <w:szCs w:val="24"/>
              </w:rPr>
            </w:pPr>
            <w:r>
              <w:rPr>
                <w:szCs w:val="24"/>
              </w:rPr>
              <w:t>0</w:t>
            </w:r>
          </w:p>
        </w:tc>
        <w:tc>
          <w:tcPr>
            <w:tcW w:w="554" w:type="pct"/>
            <w:vAlign w:val="center"/>
          </w:tcPr>
          <w:p w14:paraId="4A3F379F">
            <w:pPr>
              <w:pStyle w:val="34"/>
              <w:spacing w:beforeLines="0" w:afterLines="0" w:line="360" w:lineRule="exact"/>
              <w:rPr>
                <w:szCs w:val="24"/>
              </w:rPr>
            </w:pPr>
            <w:r>
              <w:rPr>
                <w:szCs w:val="24"/>
              </w:rPr>
              <w:t>841.5t/a</w:t>
            </w:r>
          </w:p>
        </w:tc>
        <w:tc>
          <w:tcPr>
            <w:tcW w:w="456" w:type="pct"/>
            <w:vAlign w:val="center"/>
          </w:tcPr>
          <w:p w14:paraId="4FF085ED">
            <w:pPr>
              <w:pStyle w:val="34"/>
              <w:spacing w:beforeLines="0" w:afterLines="0" w:line="360" w:lineRule="exact"/>
              <w:rPr>
                <w:szCs w:val="24"/>
              </w:rPr>
            </w:pPr>
            <w:r>
              <w:rPr>
                <w:szCs w:val="24"/>
              </w:rPr>
              <w:t>+841.5t/a</w:t>
            </w:r>
          </w:p>
        </w:tc>
      </w:tr>
      <w:tr w14:paraId="6D405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vMerge w:val="continue"/>
            <w:vAlign w:val="center"/>
          </w:tcPr>
          <w:p w14:paraId="5B5A0DB8">
            <w:pPr>
              <w:pStyle w:val="34"/>
              <w:spacing w:beforeLines="0" w:afterLines="0" w:line="360" w:lineRule="exact"/>
              <w:rPr>
                <w:szCs w:val="24"/>
              </w:rPr>
            </w:pPr>
          </w:p>
        </w:tc>
        <w:tc>
          <w:tcPr>
            <w:tcW w:w="593" w:type="pct"/>
            <w:vAlign w:val="center"/>
          </w:tcPr>
          <w:p w14:paraId="1C980ED1">
            <w:pPr>
              <w:pStyle w:val="34"/>
              <w:spacing w:beforeLines="0" w:afterLines="0" w:line="360" w:lineRule="exact"/>
              <w:rPr>
                <w:szCs w:val="24"/>
              </w:rPr>
            </w:pPr>
            <w:r>
              <w:rPr>
                <w:szCs w:val="24"/>
              </w:rPr>
              <w:t>COD</w:t>
            </w:r>
          </w:p>
        </w:tc>
        <w:tc>
          <w:tcPr>
            <w:tcW w:w="617" w:type="pct"/>
            <w:vAlign w:val="center"/>
          </w:tcPr>
          <w:p w14:paraId="053CEFB3">
            <w:pPr>
              <w:pStyle w:val="34"/>
              <w:spacing w:beforeLines="0" w:afterLines="0" w:line="360" w:lineRule="exact"/>
              <w:rPr>
                <w:szCs w:val="24"/>
              </w:rPr>
            </w:pPr>
            <w:r>
              <w:rPr>
                <w:szCs w:val="24"/>
              </w:rPr>
              <w:t>0</w:t>
            </w:r>
          </w:p>
        </w:tc>
        <w:tc>
          <w:tcPr>
            <w:tcW w:w="463" w:type="pct"/>
            <w:vAlign w:val="center"/>
          </w:tcPr>
          <w:p w14:paraId="527FD96F">
            <w:pPr>
              <w:pStyle w:val="34"/>
              <w:spacing w:beforeLines="0" w:afterLines="0" w:line="360" w:lineRule="exact"/>
              <w:rPr>
                <w:szCs w:val="24"/>
              </w:rPr>
            </w:pPr>
            <w:r>
              <w:rPr>
                <w:szCs w:val="24"/>
              </w:rPr>
              <w:t>0</w:t>
            </w:r>
          </w:p>
        </w:tc>
        <w:tc>
          <w:tcPr>
            <w:tcW w:w="617" w:type="pct"/>
            <w:vAlign w:val="center"/>
          </w:tcPr>
          <w:p w14:paraId="3677821A">
            <w:pPr>
              <w:pStyle w:val="34"/>
              <w:spacing w:beforeLines="0" w:afterLines="0" w:line="360" w:lineRule="exact"/>
              <w:rPr>
                <w:szCs w:val="24"/>
              </w:rPr>
            </w:pPr>
            <w:r>
              <w:rPr>
                <w:szCs w:val="24"/>
              </w:rPr>
              <w:t>0</w:t>
            </w:r>
          </w:p>
        </w:tc>
        <w:tc>
          <w:tcPr>
            <w:tcW w:w="565" w:type="pct"/>
            <w:vAlign w:val="center"/>
          </w:tcPr>
          <w:p w14:paraId="42AF9349">
            <w:pPr>
              <w:pStyle w:val="34"/>
              <w:spacing w:beforeLines="0" w:afterLines="0" w:line="360" w:lineRule="exact"/>
              <w:rPr>
                <w:szCs w:val="24"/>
              </w:rPr>
            </w:pPr>
            <w:r>
              <w:rPr>
                <w:szCs w:val="24"/>
              </w:rPr>
              <w:t>0.21</w:t>
            </w:r>
          </w:p>
        </w:tc>
        <w:tc>
          <w:tcPr>
            <w:tcW w:w="639" w:type="pct"/>
            <w:vAlign w:val="center"/>
          </w:tcPr>
          <w:p w14:paraId="20AB9F16">
            <w:pPr>
              <w:pStyle w:val="34"/>
              <w:spacing w:beforeLines="0" w:afterLines="0" w:line="360" w:lineRule="exact"/>
              <w:rPr>
                <w:szCs w:val="24"/>
              </w:rPr>
            </w:pPr>
            <w:r>
              <w:rPr>
                <w:szCs w:val="24"/>
              </w:rPr>
              <w:t>0</w:t>
            </w:r>
          </w:p>
        </w:tc>
        <w:tc>
          <w:tcPr>
            <w:tcW w:w="554" w:type="pct"/>
            <w:vAlign w:val="center"/>
          </w:tcPr>
          <w:p w14:paraId="4FB2D454">
            <w:pPr>
              <w:pStyle w:val="34"/>
              <w:spacing w:beforeLines="0" w:afterLines="0" w:line="360" w:lineRule="exact"/>
              <w:rPr>
                <w:szCs w:val="24"/>
              </w:rPr>
            </w:pPr>
            <w:r>
              <w:rPr>
                <w:szCs w:val="24"/>
              </w:rPr>
              <w:t>0.21</w:t>
            </w:r>
          </w:p>
        </w:tc>
        <w:tc>
          <w:tcPr>
            <w:tcW w:w="456" w:type="pct"/>
            <w:vAlign w:val="center"/>
          </w:tcPr>
          <w:p w14:paraId="0C3C6F31">
            <w:pPr>
              <w:pStyle w:val="34"/>
              <w:spacing w:beforeLines="0" w:afterLines="0" w:line="360" w:lineRule="exact"/>
              <w:rPr>
                <w:szCs w:val="24"/>
              </w:rPr>
            </w:pPr>
            <w:r>
              <w:rPr>
                <w:szCs w:val="24"/>
              </w:rPr>
              <w:t>+0.21</w:t>
            </w:r>
          </w:p>
        </w:tc>
      </w:tr>
      <w:tr w14:paraId="1DE4D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vMerge w:val="continue"/>
            <w:vAlign w:val="center"/>
          </w:tcPr>
          <w:p w14:paraId="5EC92AE9">
            <w:pPr>
              <w:pStyle w:val="34"/>
              <w:spacing w:beforeLines="0" w:afterLines="0" w:line="360" w:lineRule="exact"/>
              <w:rPr>
                <w:szCs w:val="24"/>
              </w:rPr>
            </w:pPr>
          </w:p>
        </w:tc>
        <w:tc>
          <w:tcPr>
            <w:tcW w:w="593" w:type="pct"/>
            <w:vAlign w:val="center"/>
          </w:tcPr>
          <w:p w14:paraId="264CD96A">
            <w:pPr>
              <w:pStyle w:val="34"/>
              <w:spacing w:beforeLines="0" w:afterLines="0" w:line="360" w:lineRule="exact"/>
              <w:rPr>
                <w:szCs w:val="24"/>
              </w:rPr>
            </w:pPr>
            <w:r>
              <w:rPr>
                <w:szCs w:val="24"/>
              </w:rPr>
              <w:t>氨氮</w:t>
            </w:r>
          </w:p>
        </w:tc>
        <w:tc>
          <w:tcPr>
            <w:tcW w:w="617" w:type="pct"/>
            <w:vAlign w:val="center"/>
          </w:tcPr>
          <w:p w14:paraId="6CE51130">
            <w:pPr>
              <w:pStyle w:val="34"/>
              <w:spacing w:beforeLines="0" w:afterLines="0" w:line="360" w:lineRule="exact"/>
              <w:rPr>
                <w:szCs w:val="24"/>
              </w:rPr>
            </w:pPr>
            <w:r>
              <w:rPr>
                <w:szCs w:val="24"/>
              </w:rPr>
              <w:t>0</w:t>
            </w:r>
          </w:p>
        </w:tc>
        <w:tc>
          <w:tcPr>
            <w:tcW w:w="463" w:type="pct"/>
            <w:vAlign w:val="center"/>
          </w:tcPr>
          <w:p w14:paraId="095647F2">
            <w:pPr>
              <w:pStyle w:val="34"/>
              <w:spacing w:beforeLines="0" w:afterLines="0" w:line="360" w:lineRule="exact"/>
              <w:rPr>
                <w:szCs w:val="24"/>
              </w:rPr>
            </w:pPr>
            <w:r>
              <w:rPr>
                <w:szCs w:val="24"/>
              </w:rPr>
              <w:t>0</w:t>
            </w:r>
          </w:p>
        </w:tc>
        <w:tc>
          <w:tcPr>
            <w:tcW w:w="617" w:type="pct"/>
            <w:vAlign w:val="center"/>
          </w:tcPr>
          <w:p w14:paraId="0E89E189">
            <w:pPr>
              <w:pStyle w:val="34"/>
              <w:spacing w:beforeLines="0" w:afterLines="0" w:line="360" w:lineRule="exact"/>
              <w:rPr>
                <w:szCs w:val="24"/>
              </w:rPr>
            </w:pPr>
            <w:r>
              <w:rPr>
                <w:szCs w:val="24"/>
              </w:rPr>
              <w:t>0</w:t>
            </w:r>
          </w:p>
        </w:tc>
        <w:tc>
          <w:tcPr>
            <w:tcW w:w="565" w:type="pct"/>
            <w:vAlign w:val="center"/>
          </w:tcPr>
          <w:p w14:paraId="78303F49">
            <w:pPr>
              <w:pStyle w:val="34"/>
              <w:spacing w:beforeLines="0" w:afterLines="0" w:line="360" w:lineRule="exact"/>
              <w:rPr>
                <w:szCs w:val="24"/>
              </w:rPr>
            </w:pPr>
            <w:r>
              <w:rPr>
                <w:szCs w:val="24"/>
              </w:rPr>
              <w:t>0.021</w:t>
            </w:r>
          </w:p>
        </w:tc>
        <w:tc>
          <w:tcPr>
            <w:tcW w:w="639" w:type="pct"/>
            <w:vAlign w:val="center"/>
          </w:tcPr>
          <w:p w14:paraId="74DAD1C2">
            <w:pPr>
              <w:pStyle w:val="34"/>
              <w:spacing w:beforeLines="0" w:afterLines="0" w:line="360" w:lineRule="exact"/>
              <w:rPr>
                <w:szCs w:val="24"/>
              </w:rPr>
            </w:pPr>
            <w:r>
              <w:rPr>
                <w:szCs w:val="24"/>
              </w:rPr>
              <w:t>0</w:t>
            </w:r>
          </w:p>
        </w:tc>
        <w:tc>
          <w:tcPr>
            <w:tcW w:w="554" w:type="pct"/>
            <w:vAlign w:val="center"/>
          </w:tcPr>
          <w:p w14:paraId="42D003FD">
            <w:pPr>
              <w:pStyle w:val="34"/>
              <w:spacing w:beforeLines="0" w:afterLines="0" w:line="360" w:lineRule="exact"/>
              <w:rPr>
                <w:szCs w:val="24"/>
              </w:rPr>
            </w:pPr>
            <w:r>
              <w:rPr>
                <w:szCs w:val="24"/>
              </w:rPr>
              <w:t>0.021</w:t>
            </w:r>
          </w:p>
        </w:tc>
        <w:tc>
          <w:tcPr>
            <w:tcW w:w="456" w:type="pct"/>
            <w:vAlign w:val="center"/>
          </w:tcPr>
          <w:p w14:paraId="3A34B4DD">
            <w:pPr>
              <w:pStyle w:val="34"/>
              <w:spacing w:beforeLines="0" w:afterLines="0" w:line="360" w:lineRule="exact"/>
              <w:rPr>
                <w:szCs w:val="24"/>
              </w:rPr>
            </w:pPr>
            <w:r>
              <w:rPr>
                <w:szCs w:val="24"/>
              </w:rPr>
              <w:t>+0.021</w:t>
            </w:r>
          </w:p>
        </w:tc>
      </w:tr>
      <w:tr w14:paraId="4704E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vMerge w:val="restart"/>
            <w:vAlign w:val="center"/>
          </w:tcPr>
          <w:p w14:paraId="232A1B80">
            <w:pPr>
              <w:pStyle w:val="34"/>
              <w:spacing w:beforeLines="0" w:afterLines="0" w:line="360" w:lineRule="exact"/>
              <w:rPr>
                <w:szCs w:val="24"/>
              </w:rPr>
            </w:pPr>
            <w:r>
              <w:rPr>
                <w:szCs w:val="24"/>
              </w:rPr>
              <w:t>一般工业</w:t>
            </w:r>
          </w:p>
          <w:p w14:paraId="0D9D4EE8">
            <w:pPr>
              <w:pStyle w:val="34"/>
              <w:spacing w:beforeLines="0" w:afterLines="0" w:line="360" w:lineRule="exact"/>
              <w:rPr>
                <w:szCs w:val="24"/>
              </w:rPr>
            </w:pPr>
            <w:r>
              <w:rPr>
                <w:szCs w:val="24"/>
              </w:rPr>
              <w:t>固体废物</w:t>
            </w:r>
          </w:p>
        </w:tc>
        <w:tc>
          <w:tcPr>
            <w:tcW w:w="593" w:type="pct"/>
            <w:vAlign w:val="center"/>
          </w:tcPr>
          <w:p w14:paraId="19EBD250">
            <w:pPr>
              <w:pStyle w:val="32"/>
              <w:spacing w:beforeLines="0" w:afterLines="0" w:line="360" w:lineRule="exact"/>
              <w:rPr>
                <w:kern w:val="2"/>
                <w:sz w:val="24"/>
                <w:szCs w:val="24"/>
              </w:rPr>
            </w:pPr>
            <w:r>
              <w:rPr>
                <w:kern w:val="2"/>
                <w:sz w:val="24"/>
                <w:szCs w:val="24"/>
              </w:rPr>
              <w:t>生活垃圾</w:t>
            </w:r>
          </w:p>
        </w:tc>
        <w:tc>
          <w:tcPr>
            <w:tcW w:w="617" w:type="pct"/>
            <w:vAlign w:val="center"/>
          </w:tcPr>
          <w:p w14:paraId="2DE6D04A">
            <w:pPr>
              <w:pStyle w:val="34"/>
              <w:spacing w:beforeLines="0" w:afterLines="0" w:line="360" w:lineRule="exact"/>
              <w:rPr>
                <w:szCs w:val="24"/>
              </w:rPr>
            </w:pPr>
            <w:r>
              <w:rPr>
                <w:szCs w:val="24"/>
              </w:rPr>
              <w:t>0</w:t>
            </w:r>
          </w:p>
        </w:tc>
        <w:tc>
          <w:tcPr>
            <w:tcW w:w="463" w:type="pct"/>
            <w:vAlign w:val="center"/>
          </w:tcPr>
          <w:p w14:paraId="57C84692">
            <w:pPr>
              <w:pStyle w:val="34"/>
              <w:spacing w:beforeLines="0" w:afterLines="0" w:line="360" w:lineRule="exact"/>
              <w:rPr>
                <w:szCs w:val="24"/>
              </w:rPr>
            </w:pPr>
            <w:r>
              <w:rPr>
                <w:szCs w:val="24"/>
              </w:rPr>
              <w:t>0</w:t>
            </w:r>
          </w:p>
        </w:tc>
        <w:tc>
          <w:tcPr>
            <w:tcW w:w="617" w:type="pct"/>
            <w:vAlign w:val="center"/>
          </w:tcPr>
          <w:p w14:paraId="32C1377F">
            <w:pPr>
              <w:pStyle w:val="34"/>
              <w:spacing w:beforeLines="0" w:afterLines="0" w:line="360" w:lineRule="exact"/>
              <w:rPr>
                <w:szCs w:val="24"/>
              </w:rPr>
            </w:pPr>
            <w:r>
              <w:rPr>
                <w:szCs w:val="24"/>
              </w:rPr>
              <w:t>0</w:t>
            </w:r>
          </w:p>
        </w:tc>
        <w:tc>
          <w:tcPr>
            <w:tcW w:w="565" w:type="pct"/>
            <w:vAlign w:val="center"/>
          </w:tcPr>
          <w:p w14:paraId="0A837429">
            <w:pPr>
              <w:pStyle w:val="34"/>
              <w:spacing w:beforeLines="0" w:afterLines="0" w:line="360" w:lineRule="exact"/>
              <w:rPr>
                <w:szCs w:val="24"/>
              </w:rPr>
            </w:pPr>
            <w:r>
              <w:rPr>
                <w:szCs w:val="24"/>
              </w:rPr>
              <w:t>8.25t/a</w:t>
            </w:r>
          </w:p>
        </w:tc>
        <w:tc>
          <w:tcPr>
            <w:tcW w:w="639" w:type="pct"/>
            <w:vAlign w:val="center"/>
          </w:tcPr>
          <w:p w14:paraId="43A19407">
            <w:pPr>
              <w:pStyle w:val="34"/>
              <w:spacing w:beforeLines="0" w:afterLines="0" w:line="360" w:lineRule="exact"/>
              <w:rPr>
                <w:szCs w:val="24"/>
              </w:rPr>
            </w:pPr>
            <w:r>
              <w:rPr>
                <w:szCs w:val="24"/>
              </w:rPr>
              <w:t>0</w:t>
            </w:r>
          </w:p>
        </w:tc>
        <w:tc>
          <w:tcPr>
            <w:tcW w:w="554" w:type="pct"/>
            <w:vAlign w:val="center"/>
          </w:tcPr>
          <w:p w14:paraId="07D850F7">
            <w:pPr>
              <w:pStyle w:val="34"/>
              <w:spacing w:beforeLines="0" w:afterLines="0" w:line="360" w:lineRule="exact"/>
              <w:rPr>
                <w:szCs w:val="24"/>
              </w:rPr>
            </w:pPr>
            <w:r>
              <w:rPr>
                <w:szCs w:val="24"/>
              </w:rPr>
              <w:t>8.25t/a</w:t>
            </w:r>
          </w:p>
        </w:tc>
        <w:tc>
          <w:tcPr>
            <w:tcW w:w="456" w:type="pct"/>
            <w:vAlign w:val="center"/>
          </w:tcPr>
          <w:p w14:paraId="56B87DA5">
            <w:pPr>
              <w:pStyle w:val="34"/>
              <w:spacing w:beforeLines="0" w:afterLines="0" w:line="360" w:lineRule="exact"/>
              <w:rPr>
                <w:szCs w:val="24"/>
              </w:rPr>
            </w:pPr>
            <w:r>
              <w:rPr>
                <w:szCs w:val="24"/>
              </w:rPr>
              <w:t>+8.25t/a</w:t>
            </w:r>
          </w:p>
        </w:tc>
      </w:tr>
      <w:tr w14:paraId="76463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vMerge w:val="continue"/>
            <w:vAlign w:val="center"/>
          </w:tcPr>
          <w:p w14:paraId="65968BD0">
            <w:pPr>
              <w:pStyle w:val="34"/>
              <w:spacing w:beforeLines="0" w:afterLines="0" w:line="360" w:lineRule="exact"/>
              <w:rPr>
                <w:szCs w:val="24"/>
              </w:rPr>
            </w:pPr>
          </w:p>
        </w:tc>
        <w:tc>
          <w:tcPr>
            <w:tcW w:w="593" w:type="pct"/>
            <w:vAlign w:val="center"/>
          </w:tcPr>
          <w:p w14:paraId="68571482">
            <w:pPr>
              <w:pStyle w:val="32"/>
              <w:spacing w:beforeLines="0" w:afterLines="0" w:line="360" w:lineRule="exact"/>
              <w:rPr>
                <w:kern w:val="2"/>
                <w:sz w:val="24"/>
                <w:szCs w:val="24"/>
              </w:rPr>
            </w:pPr>
            <w:r>
              <w:rPr>
                <w:kern w:val="2"/>
                <w:sz w:val="24"/>
                <w:szCs w:val="24"/>
              </w:rPr>
              <w:t>废离子交换树脂</w:t>
            </w:r>
          </w:p>
        </w:tc>
        <w:tc>
          <w:tcPr>
            <w:tcW w:w="617" w:type="pct"/>
            <w:vAlign w:val="center"/>
          </w:tcPr>
          <w:p w14:paraId="4059E608">
            <w:pPr>
              <w:pStyle w:val="34"/>
              <w:spacing w:beforeLines="0" w:afterLines="0" w:line="360" w:lineRule="exact"/>
              <w:rPr>
                <w:szCs w:val="24"/>
              </w:rPr>
            </w:pPr>
            <w:r>
              <w:rPr>
                <w:szCs w:val="24"/>
              </w:rPr>
              <w:t>0</w:t>
            </w:r>
          </w:p>
        </w:tc>
        <w:tc>
          <w:tcPr>
            <w:tcW w:w="463" w:type="pct"/>
            <w:vAlign w:val="center"/>
          </w:tcPr>
          <w:p w14:paraId="48F85219">
            <w:pPr>
              <w:pStyle w:val="34"/>
              <w:spacing w:beforeLines="0" w:afterLines="0" w:line="360" w:lineRule="exact"/>
              <w:rPr>
                <w:szCs w:val="24"/>
              </w:rPr>
            </w:pPr>
            <w:r>
              <w:rPr>
                <w:szCs w:val="24"/>
              </w:rPr>
              <w:t>0</w:t>
            </w:r>
          </w:p>
        </w:tc>
        <w:tc>
          <w:tcPr>
            <w:tcW w:w="617" w:type="pct"/>
            <w:vAlign w:val="center"/>
          </w:tcPr>
          <w:p w14:paraId="7577FFCD">
            <w:pPr>
              <w:pStyle w:val="34"/>
              <w:spacing w:beforeLines="0" w:afterLines="0" w:line="360" w:lineRule="exact"/>
              <w:rPr>
                <w:szCs w:val="24"/>
              </w:rPr>
            </w:pPr>
            <w:r>
              <w:rPr>
                <w:szCs w:val="24"/>
              </w:rPr>
              <w:t>0</w:t>
            </w:r>
          </w:p>
        </w:tc>
        <w:tc>
          <w:tcPr>
            <w:tcW w:w="565" w:type="pct"/>
            <w:vAlign w:val="center"/>
          </w:tcPr>
          <w:p w14:paraId="328F6132">
            <w:pPr>
              <w:pStyle w:val="34"/>
              <w:spacing w:beforeLines="0" w:afterLines="0" w:line="360" w:lineRule="exact"/>
              <w:rPr>
                <w:szCs w:val="24"/>
              </w:rPr>
            </w:pPr>
            <w:r>
              <w:rPr>
                <w:szCs w:val="24"/>
              </w:rPr>
              <w:t>0.10t/2a</w:t>
            </w:r>
          </w:p>
        </w:tc>
        <w:tc>
          <w:tcPr>
            <w:tcW w:w="639" w:type="pct"/>
            <w:vAlign w:val="center"/>
          </w:tcPr>
          <w:p w14:paraId="2BE7955F">
            <w:pPr>
              <w:pStyle w:val="34"/>
              <w:spacing w:beforeLines="0" w:afterLines="0" w:line="360" w:lineRule="exact"/>
              <w:rPr>
                <w:szCs w:val="24"/>
              </w:rPr>
            </w:pPr>
            <w:r>
              <w:rPr>
                <w:szCs w:val="24"/>
              </w:rPr>
              <w:t>0</w:t>
            </w:r>
          </w:p>
        </w:tc>
        <w:tc>
          <w:tcPr>
            <w:tcW w:w="554" w:type="pct"/>
            <w:vAlign w:val="center"/>
          </w:tcPr>
          <w:p w14:paraId="1B3211AD">
            <w:pPr>
              <w:pStyle w:val="34"/>
              <w:spacing w:beforeLines="0" w:afterLines="0" w:line="360" w:lineRule="exact"/>
              <w:rPr>
                <w:szCs w:val="24"/>
              </w:rPr>
            </w:pPr>
            <w:r>
              <w:rPr>
                <w:szCs w:val="24"/>
              </w:rPr>
              <w:t>0.10t/2a</w:t>
            </w:r>
          </w:p>
        </w:tc>
        <w:tc>
          <w:tcPr>
            <w:tcW w:w="456" w:type="pct"/>
            <w:vAlign w:val="center"/>
          </w:tcPr>
          <w:p w14:paraId="5ED295D5">
            <w:pPr>
              <w:pStyle w:val="34"/>
              <w:spacing w:beforeLines="0" w:afterLines="0" w:line="360" w:lineRule="exact"/>
              <w:rPr>
                <w:szCs w:val="24"/>
              </w:rPr>
            </w:pPr>
            <w:r>
              <w:rPr>
                <w:szCs w:val="24"/>
              </w:rPr>
              <w:t>+0.10t/2a</w:t>
            </w:r>
          </w:p>
        </w:tc>
      </w:tr>
      <w:tr w14:paraId="2FE84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vMerge w:val="continue"/>
            <w:vAlign w:val="center"/>
          </w:tcPr>
          <w:p w14:paraId="76D29605">
            <w:pPr>
              <w:pStyle w:val="34"/>
              <w:spacing w:beforeLines="0" w:afterLines="0" w:line="360" w:lineRule="exact"/>
              <w:rPr>
                <w:szCs w:val="24"/>
              </w:rPr>
            </w:pPr>
          </w:p>
        </w:tc>
        <w:tc>
          <w:tcPr>
            <w:tcW w:w="593" w:type="pct"/>
            <w:vAlign w:val="center"/>
          </w:tcPr>
          <w:p w14:paraId="5983D83A">
            <w:pPr>
              <w:pStyle w:val="32"/>
              <w:spacing w:beforeLines="0" w:afterLines="0" w:line="360" w:lineRule="exact"/>
              <w:rPr>
                <w:kern w:val="2"/>
                <w:sz w:val="24"/>
                <w:szCs w:val="24"/>
              </w:rPr>
            </w:pPr>
            <w:r>
              <w:rPr>
                <w:kern w:val="2"/>
                <w:sz w:val="24"/>
                <w:szCs w:val="24"/>
              </w:rPr>
              <w:t>灰渣灰分</w:t>
            </w:r>
          </w:p>
        </w:tc>
        <w:tc>
          <w:tcPr>
            <w:tcW w:w="617" w:type="pct"/>
            <w:vAlign w:val="center"/>
          </w:tcPr>
          <w:p w14:paraId="65454EF1">
            <w:pPr>
              <w:pStyle w:val="34"/>
              <w:spacing w:beforeLines="0" w:afterLines="0" w:line="360" w:lineRule="exact"/>
              <w:rPr>
                <w:szCs w:val="24"/>
              </w:rPr>
            </w:pPr>
            <w:r>
              <w:rPr>
                <w:szCs w:val="24"/>
              </w:rPr>
              <w:t>0</w:t>
            </w:r>
          </w:p>
        </w:tc>
        <w:tc>
          <w:tcPr>
            <w:tcW w:w="463" w:type="pct"/>
            <w:vAlign w:val="center"/>
          </w:tcPr>
          <w:p w14:paraId="000C9E8C">
            <w:pPr>
              <w:pStyle w:val="34"/>
              <w:spacing w:beforeLines="0" w:afterLines="0" w:line="360" w:lineRule="exact"/>
              <w:rPr>
                <w:szCs w:val="24"/>
              </w:rPr>
            </w:pPr>
            <w:r>
              <w:rPr>
                <w:szCs w:val="24"/>
              </w:rPr>
              <w:t>0</w:t>
            </w:r>
          </w:p>
        </w:tc>
        <w:tc>
          <w:tcPr>
            <w:tcW w:w="617" w:type="pct"/>
            <w:vAlign w:val="center"/>
          </w:tcPr>
          <w:p w14:paraId="00E2A720">
            <w:pPr>
              <w:pStyle w:val="34"/>
              <w:spacing w:beforeLines="0" w:afterLines="0" w:line="360" w:lineRule="exact"/>
              <w:rPr>
                <w:szCs w:val="24"/>
              </w:rPr>
            </w:pPr>
            <w:r>
              <w:rPr>
                <w:szCs w:val="24"/>
              </w:rPr>
              <w:t>0</w:t>
            </w:r>
          </w:p>
        </w:tc>
        <w:tc>
          <w:tcPr>
            <w:tcW w:w="565" w:type="pct"/>
            <w:vAlign w:val="center"/>
          </w:tcPr>
          <w:p w14:paraId="289F7815">
            <w:pPr>
              <w:pStyle w:val="34"/>
              <w:spacing w:beforeLines="0" w:afterLines="0" w:line="360" w:lineRule="exact"/>
              <w:rPr>
                <w:szCs w:val="24"/>
              </w:rPr>
            </w:pPr>
            <w:r>
              <w:t>4.2861</w:t>
            </w:r>
            <w:r>
              <w:rPr>
                <w:szCs w:val="24"/>
              </w:rPr>
              <w:t>t/a</w:t>
            </w:r>
          </w:p>
        </w:tc>
        <w:tc>
          <w:tcPr>
            <w:tcW w:w="639" w:type="pct"/>
            <w:vAlign w:val="center"/>
          </w:tcPr>
          <w:p w14:paraId="3DC6AE8C">
            <w:pPr>
              <w:pStyle w:val="34"/>
              <w:spacing w:beforeLines="0" w:afterLines="0" w:line="360" w:lineRule="exact"/>
              <w:rPr>
                <w:szCs w:val="24"/>
              </w:rPr>
            </w:pPr>
            <w:r>
              <w:rPr>
                <w:szCs w:val="24"/>
              </w:rPr>
              <w:t>0</w:t>
            </w:r>
          </w:p>
        </w:tc>
        <w:tc>
          <w:tcPr>
            <w:tcW w:w="554" w:type="pct"/>
            <w:vAlign w:val="center"/>
          </w:tcPr>
          <w:p w14:paraId="6743D764">
            <w:pPr>
              <w:pStyle w:val="34"/>
              <w:spacing w:beforeLines="0" w:afterLines="0" w:line="360" w:lineRule="exact"/>
              <w:rPr>
                <w:szCs w:val="24"/>
              </w:rPr>
            </w:pPr>
            <w:r>
              <w:t>4.2861</w:t>
            </w:r>
            <w:r>
              <w:rPr>
                <w:szCs w:val="24"/>
              </w:rPr>
              <w:t>t/a</w:t>
            </w:r>
          </w:p>
        </w:tc>
        <w:tc>
          <w:tcPr>
            <w:tcW w:w="456" w:type="pct"/>
            <w:vAlign w:val="center"/>
          </w:tcPr>
          <w:p w14:paraId="27D791F0">
            <w:pPr>
              <w:pStyle w:val="34"/>
              <w:spacing w:beforeLines="0" w:afterLines="0" w:line="360" w:lineRule="exact"/>
              <w:rPr>
                <w:szCs w:val="24"/>
              </w:rPr>
            </w:pPr>
            <w:r>
              <w:rPr>
                <w:szCs w:val="24"/>
              </w:rPr>
              <w:t>+</w:t>
            </w:r>
            <w:r>
              <w:t>4.2861</w:t>
            </w:r>
            <w:r>
              <w:rPr>
                <w:szCs w:val="24"/>
              </w:rPr>
              <w:t>t/a</w:t>
            </w:r>
          </w:p>
        </w:tc>
      </w:tr>
      <w:tr w14:paraId="3359A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vMerge w:val="continue"/>
            <w:vAlign w:val="center"/>
          </w:tcPr>
          <w:p w14:paraId="54792F9A">
            <w:pPr>
              <w:pStyle w:val="34"/>
              <w:spacing w:beforeLines="0" w:afterLines="0" w:line="360" w:lineRule="exact"/>
              <w:rPr>
                <w:szCs w:val="24"/>
              </w:rPr>
            </w:pPr>
          </w:p>
        </w:tc>
        <w:tc>
          <w:tcPr>
            <w:tcW w:w="593" w:type="pct"/>
            <w:vAlign w:val="center"/>
          </w:tcPr>
          <w:p w14:paraId="2ABFD9F9">
            <w:pPr>
              <w:pStyle w:val="32"/>
              <w:spacing w:beforeLines="0" w:afterLines="0" w:line="360" w:lineRule="exact"/>
              <w:rPr>
                <w:kern w:val="2"/>
                <w:sz w:val="24"/>
                <w:szCs w:val="24"/>
              </w:rPr>
            </w:pPr>
            <w:r>
              <w:rPr>
                <w:kern w:val="2"/>
                <w:sz w:val="24"/>
                <w:szCs w:val="24"/>
              </w:rPr>
              <w:t>废弃包装袋</w:t>
            </w:r>
          </w:p>
        </w:tc>
        <w:tc>
          <w:tcPr>
            <w:tcW w:w="617" w:type="pct"/>
            <w:vAlign w:val="center"/>
          </w:tcPr>
          <w:p w14:paraId="6E8658F1">
            <w:pPr>
              <w:pStyle w:val="34"/>
              <w:spacing w:beforeLines="0" w:afterLines="0" w:line="360" w:lineRule="exact"/>
              <w:rPr>
                <w:szCs w:val="24"/>
              </w:rPr>
            </w:pPr>
            <w:r>
              <w:rPr>
                <w:szCs w:val="24"/>
              </w:rPr>
              <w:t>0</w:t>
            </w:r>
          </w:p>
        </w:tc>
        <w:tc>
          <w:tcPr>
            <w:tcW w:w="463" w:type="pct"/>
            <w:vAlign w:val="center"/>
          </w:tcPr>
          <w:p w14:paraId="778C676A">
            <w:pPr>
              <w:pStyle w:val="34"/>
              <w:spacing w:beforeLines="0" w:afterLines="0" w:line="360" w:lineRule="exact"/>
              <w:rPr>
                <w:szCs w:val="24"/>
              </w:rPr>
            </w:pPr>
            <w:r>
              <w:rPr>
                <w:szCs w:val="24"/>
              </w:rPr>
              <w:t>0</w:t>
            </w:r>
          </w:p>
        </w:tc>
        <w:tc>
          <w:tcPr>
            <w:tcW w:w="617" w:type="pct"/>
            <w:vAlign w:val="center"/>
          </w:tcPr>
          <w:p w14:paraId="42D0C372">
            <w:pPr>
              <w:pStyle w:val="34"/>
              <w:spacing w:beforeLines="0" w:afterLines="0" w:line="360" w:lineRule="exact"/>
              <w:rPr>
                <w:szCs w:val="24"/>
              </w:rPr>
            </w:pPr>
            <w:r>
              <w:rPr>
                <w:szCs w:val="24"/>
              </w:rPr>
              <w:t>0</w:t>
            </w:r>
          </w:p>
        </w:tc>
        <w:tc>
          <w:tcPr>
            <w:tcW w:w="565" w:type="pct"/>
            <w:vAlign w:val="center"/>
          </w:tcPr>
          <w:p w14:paraId="12C2A225">
            <w:pPr>
              <w:pStyle w:val="34"/>
              <w:spacing w:beforeLines="0" w:afterLines="0" w:line="360" w:lineRule="exact"/>
            </w:pPr>
            <w:r>
              <w:t>0.5t/a</w:t>
            </w:r>
          </w:p>
        </w:tc>
        <w:tc>
          <w:tcPr>
            <w:tcW w:w="639" w:type="pct"/>
            <w:vAlign w:val="center"/>
          </w:tcPr>
          <w:p w14:paraId="28645197">
            <w:pPr>
              <w:pStyle w:val="34"/>
              <w:spacing w:beforeLines="0" w:afterLines="0" w:line="360" w:lineRule="exact"/>
              <w:rPr>
                <w:szCs w:val="24"/>
              </w:rPr>
            </w:pPr>
            <w:r>
              <w:rPr>
                <w:szCs w:val="24"/>
              </w:rPr>
              <w:t>0</w:t>
            </w:r>
          </w:p>
        </w:tc>
        <w:tc>
          <w:tcPr>
            <w:tcW w:w="554" w:type="pct"/>
            <w:vAlign w:val="center"/>
          </w:tcPr>
          <w:p w14:paraId="2AD88A66">
            <w:pPr>
              <w:pStyle w:val="34"/>
              <w:spacing w:beforeLines="0" w:afterLines="0" w:line="360" w:lineRule="exact"/>
            </w:pPr>
            <w:r>
              <w:t>0.5t/a</w:t>
            </w:r>
          </w:p>
        </w:tc>
        <w:tc>
          <w:tcPr>
            <w:tcW w:w="456" w:type="pct"/>
            <w:vAlign w:val="center"/>
          </w:tcPr>
          <w:p w14:paraId="6E1B4FAF">
            <w:pPr>
              <w:pStyle w:val="34"/>
              <w:spacing w:beforeLines="0" w:afterLines="0" w:line="360" w:lineRule="exact"/>
              <w:rPr>
                <w:szCs w:val="24"/>
              </w:rPr>
            </w:pPr>
            <w:r>
              <w:t>+0.5t/a</w:t>
            </w:r>
          </w:p>
        </w:tc>
      </w:tr>
    </w:tbl>
    <w:p w14:paraId="1001763C">
      <w:pPr>
        <w:spacing w:beforeLines="80" w:after="24"/>
        <w:ind w:firstLine="480"/>
        <w:jc w:val="left"/>
        <w:rPr>
          <w:rFonts w:hint="eastAsia"/>
          <w:snapToGrid w:val="0"/>
          <w:spacing w:val="-6"/>
          <w:kern w:val="21"/>
          <w:szCs w:val="21"/>
        </w:rPr>
      </w:pPr>
      <w:r>
        <w:rPr>
          <w:snapToGrid w:val="0"/>
          <w:kern w:val="21"/>
          <w:szCs w:val="21"/>
        </w:rPr>
        <w:t>注：</w:t>
      </w:r>
      <w:r>
        <w:rPr>
          <w:snapToGrid w:val="0"/>
          <w:spacing w:val="-16"/>
          <w:kern w:val="21"/>
          <w:szCs w:val="21"/>
        </w:rPr>
        <w:fldChar w:fldCharType="begin"/>
      </w:r>
      <w:r>
        <w:rPr>
          <w:snapToGrid w:val="0"/>
          <w:spacing w:val="-16"/>
          <w:kern w:val="21"/>
          <w:szCs w:val="21"/>
        </w:rPr>
        <w:instrText xml:space="preserve"> = 6 \* GB3 \* MERGEFORMAT </w:instrText>
      </w:r>
      <w:r>
        <w:rPr>
          <w:snapToGrid w:val="0"/>
          <w:spacing w:val="-16"/>
          <w:kern w:val="21"/>
          <w:szCs w:val="21"/>
        </w:rPr>
        <w:fldChar w:fldCharType="separate"/>
      </w:r>
      <w:r>
        <w:rPr>
          <w:rFonts w:ascii="宋体"/>
          <w:szCs w:val="21"/>
        </w:rPr>
        <w:t>⑥</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1 \* GB3 \* MERGEFORMAT </w:instrText>
      </w:r>
      <w:r>
        <w:rPr>
          <w:snapToGrid w:val="0"/>
          <w:spacing w:val="-6"/>
          <w:kern w:val="21"/>
          <w:szCs w:val="21"/>
        </w:rPr>
        <w:fldChar w:fldCharType="separate"/>
      </w:r>
      <w:r>
        <w:rPr>
          <w:rFonts w:ascii="宋体"/>
          <w:szCs w:val="21"/>
        </w:rPr>
        <w:t>①</w:t>
      </w:r>
      <w:r>
        <w:rPr>
          <w:snapToGrid w:val="0"/>
          <w:spacing w:val="-6"/>
          <w:kern w:val="21"/>
          <w:szCs w:val="21"/>
        </w:rPr>
        <w:fldChar w:fldCharType="end"/>
      </w:r>
      <w:r>
        <w:rPr>
          <w:snapToGrid w:val="0"/>
          <w:spacing w:val="-6"/>
          <w:kern w:val="21"/>
          <w:szCs w:val="21"/>
        </w:rPr>
        <w:t>+</w:t>
      </w:r>
      <w:r>
        <w:rPr>
          <w:snapToGrid w:val="0"/>
          <w:spacing w:val="-6"/>
          <w:kern w:val="21"/>
          <w:szCs w:val="21"/>
        </w:rPr>
        <w:fldChar w:fldCharType="begin"/>
      </w:r>
      <w:r>
        <w:rPr>
          <w:snapToGrid w:val="0"/>
          <w:spacing w:val="-6"/>
          <w:kern w:val="21"/>
          <w:szCs w:val="21"/>
        </w:rPr>
        <w:instrText xml:space="preserve"> = 3 \* GB3 \* MERGEFORMAT </w:instrText>
      </w:r>
      <w:r>
        <w:rPr>
          <w:snapToGrid w:val="0"/>
          <w:spacing w:val="-6"/>
          <w:kern w:val="21"/>
          <w:szCs w:val="21"/>
        </w:rPr>
        <w:fldChar w:fldCharType="separate"/>
      </w:r>
      <w:r>
        <w:rPr>
          <w:rFonts w:ascii="宋体"/>
          <w:szCs w:val="21"/>
        </w:rPr>
        <w:t>③</w:t>
      </w:r>
      <w:r>
        <w:rPr>
          <w:snapToGrid w:val="0"/>
          <w:spacing w:val="-6"/>
          <w:kern w:val="21"/>
          <w:szCs w:val="21"/>
        </w:rPr>
        <w:fldChar w:fldCharType="end"/>
      </w:r>
      <w:r>
        <w:rPr>
          <w:snapToGrid w:val="0"/>
          <w:spacing w:val="-6"/>
          <w:kern w:val="21"/>
          <w:szCs w:val="21"/>
        </w:rPr>
        <w:t>+</w:t>
      </w:r>
      <w:r>
        <w:rPr>
          <w:snapToGrid w:val="0"/>
          <w:spacing w:val="-6"/>
          <w:kern w:val="21"/>
          <w:szCs w:val="21"/>
        </w:rPr>
        <w:fldChar w:fldCharType="begin"/>
      </w:r>
      <w:r>
        <w:rPr>
          <w:snapToGrid w:val="0"/>
          <w:spacing w:val="-6"/>
          <w:kern w:val="21"/>
          <w:szCs w:val="21"/>
        </w:rPr>
        <w:instrText xml:space="preserve"> = 4 \* GB3 \* MERGEFORMAT </w:instrText>
      </w:r>
      <w:r>
        <w:rPr>
          <w:snapToGrid w:val="0"/>
          <w:spacing w:val="-6"/>
          <w:kern w:val="21"/>
          <w:szCs w:val="21"/>
        </w:rPr>
        <w:fldChar w:fldCharType="separate"/>
      </w:r>
      <w:r>
        <w:rPr>
          <w:rFonts w:ascii="宋体"/>
          <w:szCs w:val="21"/>
        </w:rPr>
        <w:t>④</w:t>
      </w:r>
      <w:r>
        <w:rPr>
          <w:snapToGrid w:val="0"/>
          <w:spacing w:val="-6"/>
          <w:kern w:val="21"/>
          <w:szCs w:val="21"/>
        </w:rPr>
        <w:fldChar w:fldCharType="end"/>
      </w:r>
      <w:r>
        <w:rPr>
          <w:snapToGrid w:val="0"/>
          <w:spacing w:val="-6"/>
          <w:kern w:val="21"/>
          <w:szCs w:val="21"/>
        </w:rPr>
        <w:t>-</w:t>
      </w:r>
      <w:r>
        <w:rPr>
          <w:snapToGrid w:val="0"/>
          <w:spacing w:val="-16"/>
          <w:kern w:val="21"/>
          <w:szCs w:val="21"/>
        </w:rPr>
        <w:fldChar w:fldCharType="begin"/>
      </w:r>
      <w:r>
        <w:rPr>
          <w:snapToGrid w:val="0"/>
          <w:spacing w:val="-16"/>
          <w:kern w:val="21"/>
          <w:szCs w:val="21"/>
        </w:rPr>
        <w:instrText xml:space="preserve"> = 5 \* GB3 \* MERGEFORMAT </w:instrText>
      </w:r>
      <w:r>
        <w:rPr>
          <w:snapToGrid w:val="0"/>
          <w:spacing w:val="-16"/>
          <w:kern w:val="21"/>
          <w:szCs w:val="21"/>
        </w:rPr>
        <w:fldChar w:fldCharType="separate"/>
      </w:r>
      <w:r>
        <w:rPr>
          <w:rFonts w:ascii="宋体"/>
          <w:szCs w:val="21"/>
        </w:rPr>
        <w:t>⑤</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7 \* GB3 \* MERGEFORMAT </w:instrText>
      </w:r>
      <w:r>
        <w:rPr>
          <w:snapToGrid w:val="0"/>
          <w:spacing w:val="-6"/>
          <w:kern w:val="21"/>
          <w:szCs w:val="21"/>
        </w:rPr>
        <w:fldChar w:fldCharType="separate"/>
      </w:r>
      <w:r>
        <w:rPr>
          <w:rFonts w:ascii="宋体"/>
          <w:szCs w:val="21"/>
        </w:rPr>
        <w:t>⑦</w:t>
      </w:r>
      <w:r>
        <w:rPr>
          <w:snapToGrid w:val="0"/>
          <w:spacing w:val="-6"/>
          <w:kern w:val="21"/>
          <w:szCs w:val="21"/>
        </w:rPr>
        <w:fldChar w:fldCharType="end"/>
      </w:r>
      <w:r>
        <w:rPr>
          <w:snapToGrid w:val="0"/>
          <w:spacing w:val="-6"/>
          <w:kern w:val="21"/>
          <w:szCs w:val="21"/>
        </w:rPr>
        <w:t>=</w:t>
      </w:r>
      <w:r>
        <w:rPr>
          <w:snapToGrid w:val="0"/>
          <w:spacing w:val="-16"/>
          <w:kern w:val="21"/>
          <w:szCs w:val="21"/>
        </w:rPr>
        <w:fldChar w:fldCharType="begin"/>
      </w:r>
      <w:r>
        <w:rPr>
          <w:snapToGrid w:val="0"/>
          <w:spacing w:val="-16"/>
          <w:kern w:val="21"/>
          <w:szCs w:val="21"/>
        </w:rPr>
        <w:instrText xml:space="preserve"> = 6 \* GB3 \* MERGEFORMAT </w:instrText>
      </w:r>
      <w:r>
        <w:rPr>
          <w:snapToGrid w:val="0"/>
          <w:spacing w:val="-16"/>
          <w:kern w:val="21"/>
          <w:szCs w:val="21"/>
        </w:rPr>
        <w:fldChar w:fldCharType="separate"/>
      </w:r>
      <w:r>
        <w:rPr>
          <w:rFonts w:ascii="宋体"/>
          <w:szCs w:val="21"/>
        </w:rPr>
        <w:t>⑥</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1 \* GB3 \* MERGEFORMAT </w:instrText>
      </w:r>
      <w:r>
        <w:rPr>
          <w:snapToGrid w:val="0"/>
          <w:spacing w:val="-6"/>
          <w:kern w:val="21"/>
          <w:szCs w:val="21"/>
        </w:rPr>
        <w:fldChar w:fldCharType="separate"/>
      </w:r>
      <w:r>
        <w:rPr>
          <w:rFonts w:ascii="宋体"/>
          <w:szCs w:val="21"/>
        </w:rPr>
        <w:t>①</w:t>
      </w:r>
      <w:r>
        <w:rPr>
          <w:snapToGrid w:val="0"/>
          <w:spacing w:val="-6"/>
          <w:kern w:val="21"/>
          <w:szCs w:val="21"/>
        </w:rPr>
        <w:fldChar w:fldCharType="end"/>
      </w:r>
    </w:p>
    <w:p w14:paraId="5FBBE432">
      <w:pPr>
        <w:pStyle w:val="28"/>
        <w:ind w:firstLine="480"/>
        <w:rPr>
          <w:rFonts w:hint="eastAsia"/>
        </w:rPr>
      </w:pPr>
    </w:p>
    <w:p w14:paraId="61C1210A">
      <w:pPr>
        <w:pStyle w:val="15"/>
        <w:ind w:firstLine="360"/>
        <w:sectPr>
          <w:footerReference r:id="rId12" w:type="default"/>
          <w:pgSz w:w="16840" w:h="11907"/>
          <w:pgMar w:top="1701" w:right="1474" w:bottom="1701" w:left="1474" w:header="851" w:footer="907" w:gutter="0"/>
          <w:cols w:space="720" w:num="1"/>
          <w:docGrid w:linePitch="326" w:charSpace="0"/>
        </w:sectPr>
      </w:pPr>
    </w:p>
    <w:p w14:paraId="74052A0A">
      <w:pPr>
        <w:pStyle w:val="5"/>
        <w:spacing w:before="120" w:after="120"/>
        <w:rPr>
          <w:highlight w:val="yellow"/>
        </w:rPr>
      </w:pPr>
    </w:p>
    <w:sectPr>
      <w:pgSz w:w="11907" w:h="16840"/>
      <w:pgMar w:top="1474" w:right="1701" w:bottom="1474" w:left="1701" w:header="851" w:footer="90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64977">
    <w:pPr>
      <w:tabs>
        <w:tab w:val="center" w:pos="4153"/>
        <w:tab w:val="right" w:pos="8306"/>
      </w:tabs>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2755">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35F5B">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E6F26">
    <w:pPr>
      <w:tabs>
        <w:tab w:val="center" w:pos="4153"/>
        <w:tab w:val="right" w:pos="8306"/>
      </w:tabs>
      <w:ind w:firstLine="480"/>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path/>
          <v:fill on="f" focussize="0,0"/>
          <v:stroke on="f" joinstyle="miter"/>
          <v:imagedata o:title=""/>
          <o:lock v:ext="edit"/>
          <v:textbox inset="0mm,0mm,0mm,0mm" style="mso-fit-shape-to-text:t;">
            <w:txbxContent>
              <w:p w14:paraId="64FC8A16">
                <w:pPr>
                  <w:ind w:firstLine="480"/>
                  <w:rPr>
                    <w:szCs w:val="21"/>
                  </w:rPr>
                </w:pPr>
                <w:r>
                  <w:rPr>
                    <w:szCs w:val="21"/>
                  </w:rPr>
                  <w:fldChar w:fldCharType="begin"/>
                </w:r>
                <w:r>
                  <w:rPr>
                    <w:szCs w:val="21"/>
                  </w:rPr>
                  <w:instrText xml:space="preserve"> PAGE  \* MERGEFORMAT </w:instrText>
                </w:r>
                <w:r>
                  <w:rPr>
                    <w:szCs w:val="21"/>
                  </w:rPr>
                  <w:fldChar w:fldCharType="separate"/>
                </w:r>
                <w:r>
                  <w:t>45</w:t>
                </w:r>
                <w:r>
                  <w:rPr>
                    <w:szCs w:val="21"/>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6B6C8">
    <w:pPr>
      <w:pStyle w:val="18"/>
      <w:framePr w:wrap="around" w:vAnchor="text" w:hAnchor="margin" w:xAlign="center" w:y="1"/>
      <w:ind w:firstLine="560"/>
      <w:rPr>
        <w:rFonts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46</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p w14:paraId="10169D79">
    <w:pPr>
      <w:pStyle w:val="18"/>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B0297">
    <w:pPr>
      <w:pBdr>
        <w:bottom w:val="none" w:color="auto" w:sz="0" w:space="1"/>
      </w:pBdr>
      <w:tabs>
        <w:tab w:val="center" w:pos="4153"/>
        <w:tab w:val="right" w:pos="8306"/>
      </w:tabs>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E0B7B">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24D40">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94D8C"/>
    <w:multiLevelType w:val="singleLevel"/>
    <w:tmpl w:val="91494D8C"/>
    <w:lvl w:ilvl="0" w:tentative="0">
      <w:start w:val="1"/>
      <w:numFmt w:val="chineseCounting"/>
      <w:suff w:val="nothing"/>
      <w:lvlText w:val="%1、"/>
      <w:lvlJc w:val="left"/>
      <w:rPr>
        <w:rFonts w:hint="eastAsia"/>
      </w:rPr>
    </w:lvl>
  </w:abstractNum>
  <w:abstractNum w:abstractNumId="1">
    <w:nsid w:val="AE7B3A2F"/>
    <w:multiLevelType w:val="singleLevel"/>
    <w:tmpl w:val="AE7B3A2F"/>
    <w:lvl w:ilvl="0" w:tentative="0">
      <w:start w:val="1"/>
      <w:numFmt w:val="decimal"/>
      <w:suff w:val="nothing"/>
      <w:lvlText w:val="%1、"/>
      <w:lvlJc w:val="left"/>
    </w:lvl>
  </w:abstractNum>
  <w:abstractNum w:abstractNumId="2">
    <w:nsid w:val="C7BAD506"/>
    <w:multiLevelType w:val="singleLevel"/>
    <w:tmpl w:val="C7BAD506"/>
    <w:lvl w:ilvl="0" w:tentative="0">
      <w:start w:val="2"/>
      <w:numFmt w:val="decimal"/>
      <w:suff w:val="nothing"/>
      <w:lvlText w:val="%1、"/>
      <w:lvlJc w:val="left"/>
      <w:pPr>
        <w:ind w:left="-2"/>
      </w:pPr>
    </w:lvl>
  </w:abstractNum>
  <w:abstractNum w:abstractNumId="3">
    <w:nsid w:val="E0E9C816"/>
    <w:multiLevelType w:val="singleLevel"/>
    <w:tmpl w:val="E0E9C816"/>
    <w:lvl w:ilvl="0" w:tentative="0">
      <w:start w:val="2"/>
      <w:numFmt w:val="chineseCounting"/>
      <w:suff w:val="nothing"/>
      <w:lvlText w:val="%1、"/>
      <w:lvlJc w:val="left"/>
      <w:rPr>
        <w:rFonts w:hint="eastAsia"/>
      </w:rPr>
    </w:lvl>
  </w:abstractNum>
  <w:abstractNum w:abstractNumId="4">
    <w:nsid w:val="FF4BB62C"/>
    <w:multiLevelType w:val="singleLevel"/>
    <w:tmpl w:val="FF4BB62C"/>
    <w:lvl w:ilvl="0" w:tentative="0">
      <w:start w:val="2"/>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20"/>
  <w:drawingGridVerticalSpacing w:val="156"/>
  <w:displayHorizont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NlODUwMWI0NTQ1OGIxNWQ1NjE1ZWE0ODdkYWExZDkifQ=="/>
  </w:docVars>
  <w:rsids>
    <w:rsidRoot w:val="00172A27"/>
    <w:rsid w:val="00000683"/>
    <w:rsid w:val="0000086D"/>
    <w:rsid w:val="000079F8"/>
    <w:rsid w:val="00012128"/>
    <w:rsid w:val="00015D67"/>
    <w:rsid w:val="00017D1F"/>
    <w:rsid w:val="00023912"/>
    <w:rsid w:val="00024556"/>
    <w:rsid w:val="000310B1"/>
    <w:rsid w:val="00031780"/>
    <w:rsid w:val="0003254C"/>
    <w:rsid w:val="00046CA0"/>
    <w:rsid w:val="00046E32"/>
    <w:rsid w:val="00053141"/>
    <w:rsid w:val="00061521"/>
    <w:rsid w:val="00062261"/>
    <w:rsid w:val="00066D77"/>
    <w:rsid w:val="00067240"/>
    <w:rsid w:val="00072DA2"/>
    <w:rsid w:val="000800E9"/>
    <w:rsid w:val="0009527D"/>
    <w:rsid w:val="000953A4"/>
    <w:rsid w:val="000A2DEA"/>
    <w:rsid w:val="000A74FE"/>
    <w:rsid w:val="000A7778"/>
    <w:rsid w:val="000B1707"/>
    <w:rsid w:val="000B4D75"/>
    <w:rsid w:val="000B7A7E"/>
    <w:rsid w:val="000C1FF9"/>
    <w:rsid w:val="000C322C"/>
    <w:rsid w:val="000C3AB6"/>
    <w:rsid w:val="000D0E14"/>
    <w:rsid w:val="000D0EE8"/>
    <w:rsid w:val="000D162E"/>
    <w:rsid w:val="000E12F7"/>
    <w:rsid w:val="000E5740"/>
    <w:rsid w:val="000F083A"/>
    <w:rsid w:val="0010202E"/>
    <w:rsid w:val="001063D1"/>
    <w:rsid w:val="0011058F"/>
    <w:rsid w:val="001123CC"/>
    <w:rsid w:val="001154E4"/>
    <w:rsid w:val="00116989"/>
    <w:rsid w:val="0011760F"/>
    <w:rsid w:val="00117AC8"/>
    <w:rsid w:val="001208C9"/>
    <w:rsid w:val="00120BEB"/>
    <w:rsid w:val="00126FEA"/>
    <w:rsid w:val="001324C6"/>
    <w:rsid w:val="0013627D"/>
    <w:rsid w:val="00142403"/>
    <w:rsid w:val="001454FA"/>
    <w:rsid w:val="00145DF4"/>
    <w:rsid w:val="001539A3"/>
    <w:rsid w:val="00155351"/>
    <w:rsid w:val="001603FC"/>
    <w:rsid w:val="00166101"/>
    <w:rsid w:val="00172A27"/>
    <w:rsid w:val="00182223"/>
    <w:rsid w:val="00187D87"/>
    <w:rsid w:val="001A0ECE"/>
    <w:rsid w:val="001A50B5"/>
    <w:rsid w:val="001B4946"/>
    <w:rsid w:val="001B6B09"/>
    <w:rsid w:val="001B6E39"/>
    <w:rsid w:val="001C3324"/>
    <w:rsid w:val="001D1A8E"/>
    <w:rsid w:val="001D2BAD"/>
    <w:rsid w:val="001D5FB4"/>
    <w:rsid w:val="001E2DD9"/>
    <w:rsid w:val="001F225A"/>
    <w:rsid w:val="001F275C"/>
    <w:rsid w:val="001F7F7E"/>
    <w:rsid w:val="002013C2"/>
    <w:rsid w:val="0020468F"/>
    <w:rsid w:val="00205605"/>
    <w:rsid w:val="00207852"/>
    <w:rsid w:val="00212760"/>
    <w:rsid w:val="00214622"/>
    <w:rsid w:val="00222410"/>
    <w:rsid w:val="0022257D"/>
    <w:rsid w:val="00222B2D"/>
    <w:rsid w:val="00222CF9"/>
    <w:rsid w:val="00233762"/>
    <w:rsid w:val="00233A15"/>
    <w:rsid w:val="00237C88"/>
    <w:rsid w:val="0024181B"/>
    <w:rsid w:val="00242B68"/>
    <w:rsid w:val="00245E97"/>
    <w:rsid w:val="002472E1"/>
    <w:rsid w:val="00247B17"/>
    <w:rsid w:val="0026432F"/>
    <w:rsid w:val="00270BE1"/>
    <w:rsid w:val="00280232"/>
    <w:rsid w:val="00284294"/>
    <w:rsid w:val="00284527"/>
    <w:rsid w:val="0028596B"/>
    <w:rsid w:val="002875DD"/>
    <w:rsid w:val="00290389"/>
    <w:rsid w:val="002938C2"/>
    <w:rsid w:val="00296707"/>
    <w:rsid w:val="002A784F"/>
    <w:rsid w:val="002B33D5"/>
    <w:rsid w:val="002B51D5"/>
    <w:rsid w:val="002B5676"/>
    <w:rsid w:val="002C0F6F"/>
    <w:rsid w:val="002C48C6"/>
    <w:rsid w:val="002C61F7"/>
    <w:rsid w:val="002C77C7"/>
    <w:rsid w:val="002D43F7"/>
    <w:rsid w:val="002D5AB5"/>
    <w:rsid w:val="002E723A"/>
    <w:rsid w:val="002F188B"/>
    <w:rsid w:val="002F1A9C"/>
    <w:rsid w:val="002F75B5"/>
    <w:rsid w:val="00300A3C"/>
    <w:rsid w:val="00311076"/>
    <w:rsid w:val="00312509"/>
    <w:rsid w:val="0031380D"/>
    <w:rsid w:val="0031439B"/>
    <w:rsid w:val="0031450E"/>
    <w:rsid w:val="00314CE5"/>
    <w:rsid w:val="0033192E"/>
    <w:rsid w:val="0033648B"/>
    <w:rsid w:val="0034320B"/>
    <w:rsid w:val="00344F47"/>
    <w:rsid w:val="00350DF6"/>
    <w:rsid w:val="003550AC"/>
    <w:rsid w:val="00355CF2"/>
    <w:rsid w:val="00356666"/>
    <w:rsid w:val="00365901"/>
    <w:rsid w:val="00374B86"/>
    <w:rsid w:val="003765DB"/>
    <w:rsid w:val="00382699"/>
    <w:rsid w:val="0039291B"/>
    <w:rsid w:val="00392D6C"/>
    <w:rsid w:val="00394E50"/>
    <w:rsid w:val="003A2053"/>
    <w:rsid w:val="003A470D"/>
    <w:rsid w:val="003B1043"/>
    <w:rsid w:val="003B41F0"/>
    <w:rsid w:val="003B643A"/>
    <w:rsid w:val="003B6EF9"/>
    <w:rsid w:val="003B7D35"/>
    <w:rsid w:val="003D1EBF"/>
    <w:rsid w:val="003D21B2"/>
    <w:rsid w:val="003D6656"/>
    <w:rsid w:val="003D7F6D"/>
    <w:rsid w:val="003E086A"/>
    <w:rsid w:val="003E777B"/>
    <w:rsid w:val="003F109C"/>
    <w:rsid w:val="00401727"/>
    <w:rsid w:val="00406547"/>
    <w:rsid w:val="00406ED5"/>
    <w:rsid w:val="0041016A"/>
    <w:rsid w:val="004130C0"/>
    <w:rsid w:val="00413819"/>
    <w:rsid w:val="00414B3B"/>
    <w:rsid w:val="00415BB6"/>
    <w:rsid w:val="0043676F"/>
    <w:rsid w:val="00437088"/>
    <w:rsid w:val="00437FBF"/>
    <w:rsid w:val="00442247"/>
    <w:rsid w:val="0044581C"/>
    <w:rsid w:val="00446147"/>
    <w:rsid w:val="0045773C"/>
    <w:rsid w:val="004654A5"/>
    <w:rsid w:val="0046628D"/>
    <w:rsid w:val="00470C9C"/>
    <w:rsid w:val="004721A8"/>
    <w:rsid w:val="00475B72"/>
    <w:rsid w:val="00480E19"/>
    <w:rsid w:val="00482A71"/>
    <w:rsid w:val="00492A6C"/>
    <w:rsid w:val="00492DA3"/>
    <w:rsid w:val="00494C1D"/>
    <w:rsid w:val="00495DA5"/>
    <w:rsid w:val="00495F6D"/>
    <w:rsid w:val="0049731D"/>
    <w:rsid w:val="00497D75"/>
    <w:rsid w:val="004A22CD"/>
    <w:rsid w:val="004A242E"/>
    <w:rsid w:val="004B48CF"/>
    <w:rsid w:val="004B5322"/>
    <w:rsid w:val="004B73D7"/>
    <w:rsid w:val="004C1C5A"/>
    <w:rsid w:val="004C40B5"/>
    <w:rsid w:val="004E616D"/>
    <w:rsid w:val="004E6693"/>
    <w:rsid w:val="004F6FCA"/>
    <w:rsid w:val="00500138"/>
    <w:rsid w:val="00501AC5"/>
    <w:rsid w:val="005047E8"/>
    <w:rsid w:val="00510F3F"/>
    <w:rsid w:val="00512E4B"/>
    <w:rsid w:val="00515A7F"/>
    <w:rsid w:val="005219C9"/>
    <w:rsid w:val="00525B17"/>
    <w:rsid w:val="005430B7"/>
    <w:rsid w:val="005574FC"/>
    <w:rsid w:val="00562410"/>
    <w:rsid w:val="00567171"/>
    <w:rsid w:val="00580092"/>
    <w:rsid w:val="00581093"/>
    <w:rsid w:val="00584729"/>
    <w:rsid w:val="005A342B"/>
    <w:rsid w:val="005A3F54"/>
    <w:rsid w:val="005A6BCE"/>
    <w:rsid w:val="005B2E48"/>
    <w:rsid w:val="005B4028"/>
    <w:rsid w:val="005C1EF0"/>
    <w:rsid w:val="005C678B"/>
    <w:rsid w:val="005D320B"/>
    <w:rsid w:val="005E0AA6"/>
    <w:rsid w:val="005E1E48"/>
    <w:rsid w:val="005F0EE2"/>
    <w:rsid w:val="005F0FCD"/>
    <w:rsid w:val="005F3393"/>
    <w:rsid w:val="005F33EF"/>
    <w:rsid w:val="005F3EA7"/>
    <w:rsid w:val="005F3FC7"/>
    <w:rsid w:val="0060421B"/>
    <w:rsid w:val="00604928"/>
    <w:rsid w:val="00605DA8"/>
    <w:rsid w:val="006133EF"/>
    <w:rsid w:val="00613D66"/>
    <w:rsid w:val="00614EB0"/>
    <w:rsid w:val="00620C8A"/>
    <w:rsid w:val="00623B2A"/>
    <w:rsid w:val="00627228"/>
    <w:rsid w:val="00627E6B"/>
    <w:rsid w:val="006333CC"/>
    <w:rsid w:val="006464E9"/>
    <w:rsid w:val="006467B6"/>
    <w:rsid w:val="0064765E"/>
    <w:rsid w:val="00667112"/>
    <w:rsid w:val="006777DD"/>
    <w:rsid w:val="00680868"/>
    <w:rsid w:val="00690DF2"/>
    <w:rsid w:val="0069106E"/>
    <w:rsid w:val="00693632"/>
    <w:rsid w:val="00693685"/>
    <w:rsid w:val="006A3829"/>
    <w:rsid w:val="006A4C5B"/>
    <w:rsid w:val="006B2C9F"/>
    <w:rsid w:val="006B5AC2"/>
    <w:rsid w:val="006C1B4F"/>
    <w:rsid w:val="006C2184"/>
    <w:rsid w:val="006C79A4"/>
    <w:rsid w:val="006D0E50"/>
    <w:rsid w:val="006D73CE"/>
    <w:rsid w:val="006E627E"/>
    <w:rsid w:val="006F4188"/>
    <w:rsid w:val="00700062"/>
    <w:rsid w:val="007007DA"/>
    <w:rsid w:val="0070175D"/>
    <w:rsid w:val="00702870"/>
    <w:rsid w:val="00705264"/>
    <w:rsid w:val="007153B6"/>
    <w:rsid w:val="00722F80"/>
    <w:rsid w:val="00725668"/>
    <w:rsid w:val="00725702"/>
    <w:rsid w:val="00727787"/>
    <w:rsid w:val="007279CE"/>
    <w:rsid w:val="00730F0A"/>
    <w:rsid w:val="00731465"/>
    <w:rsid w:val="00734904"/>
    <w:rsid w:val="00734DC2"/>
    <w:rsid w:val="00737FF4"/>
    <w:rsid w:val="0074043F"/>
    <w:rsid w:val="00747943"/>
    <w:rsid w:val="00753088"/>
    <w:rsid w:val="00764A78"/>
    <w:rsid w:val="00764D8C"/>
    <w:rsid w:val="0076516A"/>
    <w:rsid w:val="00765CAA"/>
    <w:rsid w:val="00770492"/>
    <w:rsid w:val="00780495"/>
    <w:rsid w:val="00782EAF"/>
    <w:rsid w:val="00783EEA"/>
    <w:rsid w:val="00786298"/>
    <w:rsid w:val="00790DE4"/>
    <w:rsid w:val="00791CC0"/>
    <w:rsid w:val="00795788"/>
    <w:rsid w:val="007A1161"/>
    <w:rsid w:val="007A52F4"/>
    <w:rsid w:val="007A5BD5"/>
    <w:rsid w:val="007B24B9"/>
    <w:rsid w:val="007B24C4"/>
    <w:rsid w:val="007B7903"/>
    <w:rsid w:val="007C0F4D"/>
    <w:rsid w:val="007C1182"/>
    <w:rsid w:val="007C141C"/>
    <w:rsid w:val="007C327F"/>
    <w:rsid w:val="007C39C7"/>
    <w:rsid w:val="007D2008"/>
    <w:rsid w:val="007E0666"/>
    <w:rsid w:val="007E714B"/>
    <w:rsid w:val="007F37C5"/>
    <w:rsid w:val="00801AC1"/>
    <w:rsid w:val="008032FE"/>
    <w:rsid w:val="00803E9E"/>
    <w:rsid w:val="00807920"/>
    <w:rsid w:val="00810C83"/>
    <w:rsid w:val="00814570"/>
    <w:rsid w:val="008302C9"/>
    <w:rsid w:val="00832897"/>
    <w:rsid w:val="00835D00"/>
    <w:rsid w:val="00837EEB"/>
    <w:rsid w:val="00842E86"/>
    <w:rsid w:val="00846341"/>
    <w:rsid w:val="00851D29"/>
    <w:rsid w:val="00852D42"/>
    <w:rsid w:val="0085549E"/>
    <w:rsid w:val="00857D01"/>
    <w:rsid w:val="00860906"/>
    <w:rsid w:val="00861DAB"/>
    <w:rsid w:val="0086414B"/>
    <w:rsid w:val="008661F4"/>
    <w:rsid w:val="00867D57"/>
    <w:rsid w:val="0087509E"/>
    <w:rsid w:val="0087511D"/>
    <w:rsid w:val="00876F41"/>
    <w:rsid w:val="008779DF"/>
    <w:rsid w:val="00882E3F"/>
    <w:rsid w:val="00885EBF"/>
    <w:rsid w:val="00890E4F"/>
    <w:rsid w:val="008969B7"/>
    <w:rsid w:val="008A3041"/>
    <w:rsid w:val="008B1110"/>
    <w:rsid w:val="008B3BAC"/>
    <w:rsid w:val="008B4CF3"/>
    <w:rsid w:val="008B5614"/>
    <w:rsid w:val="008C525A"/>
    <w:rsid w:val="008C67E1"/>
    <w:rsid w:val="008D03A5"/>
    <w:rsid w:val="008D4EE8"/>
    <w:rsid w:val="008D7EE8"/>
    <w:rsid w:val="008E6F92"/>
    <w:rsid w:val="008E7052"/>
    <w:rsid w:val="008E711A"/>
    <w:rsid w:val="008F1CD5"/>
    <w:rsid w:val="008F58E1"/>
    <w:rsid w:val="00905F5E"/>
    <w:rsid w:val="00915616"/>
    <w:rsid w:val="00922CEF"/>
    <w:rsid w:val="00926842"/>
    <w:rsid w:val="009274C3"/>
    <w:rsid w:val="00927788"/>
    <w:rsid w:val="00934318"/>
    <w:rsid w:val="00934E3E"/>
    <w:rsid w:val="009416E9"/>
    <w:rsid w:val="009420DA"/>
    <w:rsid w:val="00954043"/>
    <w:rsid w:val="00961DFA"/>
    <w:rsid w:val="00963455"/>
    <w:rsid w:val="00965AAF"/>
    <w:rsid w:val="00980D8D"/>
    <w:rsid w:val="00991620"/>
    <w:rsid w:val="0099635E"/>
    <w:rsid w:val="009A3BB9"/>
    <w:rsid w:val="009A6163"/>
    <w:rsid w:val="009B28C1"/>
    <w:rsid w:val="009B5FA9"/>
    <w:rsid w:val="009C0457"/>
    <w:rsid w:val="009C2760"/>
    <w:rsid w:val="009C512B"/>
    <w:rsid w:val="009D5D4A"/>
    <w:rsid w:val="009E6A41"/>
    <w:rsid w:val="009F2D6B"/>
    <w:rsid w:val="009F6961"/>
    <w:rsid w:val="009F7F42"/>
    <w:rsid w:val="00A02201"/>
    <w:rsid w:val="00A02267"/>
    <w:rsid w:val="00A032AD"/>
    <w:rsid w:val="00A03B70"/>
    <w:rsid w:val="00A05FC8"/>
    <w:rsid w:val="00A0760B"/>
    <w:rsid w:val="00A11737"/>
    <w:rsid w:val="00A1440D"/>
    <w:rsid w:val="00A14AE2"/>
    <w:rsid w:val="00A27945"/>
    <w:rsid w:val="00A3307C"/>
    <w:rsid w:val="00A41657"/>
    <w:rsid w:val="00A433F9"/>
    <w:rsid w:val="00A51767"/>
    <w:rsid w:val="00A53412"/>
    <w:rsid w:val="00A53819"/>
    <w:rsid w:val="00A54A93"/>
    <w:rsid w:val="00A64FE6"/>
    <w:rsid w:val="00A67D58"/>
    <w:rsid w:val="00A70EE7"/>
    <w:rsid w:val="00A7689F"/>
    <w:rsid w:val="00A84253"/>
    <w:rsid w:val="00A93238"/>
    <w:rsid w:val="00A96FDA"/>
    <w:rsid w:val="00AA20A3"/>
    <w:rsid w:val="00AA4B7C"/>
    <w:rsid w:val="00AA5482"/>
    <w:rsid w:val="00AA59B6"/>
    <w:rsid w:val="00AB04CF"/>
    <w:rsid w:val="00AB1253"/>
    <w:rsid w:val="00AB1812"/>
    <w:rsid w:val="00AB2487"/>
    <w:rsid w:val="00AB407C"/>
    <w:rsid w:val="00AB7C55"/>
    <w:rsid w:val="00AC2679"/>
    <w:rsid w:val="00AC7A03"/>
    <w:rsid w:val="00AD1F4C"/>
    <w:rsid w:val="00AD4A87"/>
    <w:rsid w:val="00AD55CD"/>
    <w:rsid w:val="00AE4E5E"/>
    <w:rsid w:val="00AF1CF8"/>
    <w:rsid w:val="00AF2C8E"/>
    <w:rsid w:val="00AF2CD8"/>
    <w:rsid w:val="00B103ED"/>
    <w:rsid w:val="00B11608"/>
    <w:rsid w:val="00B12CFB"/>
    <w:rsid w:val="00B1439E"/>
    <w:rsid w:val="00B179A1"/>
    <w:rsid w:val="00B214B5"/>
    <w:rsid w:val="00B223DB"/>
    <w:rsid w:val="00B2494E"/>
    <w:rsid w:val="00B36B23"/>
    <w:rsid w:val="00B42011"/>
    <w:rsid w:val="00B44DC9"/>
    <w:rsid w:val="00B46D8A"/>
    <w:rsid w:val="00B51183"/>
    <w:rsid w:val="00B51E67"/>
    <w:rsid w:val="00B53337"/>
    <w:rsid w:val="00B6169F"/>
    <w:rsid w:val="00B70A20"/>
    <w:rsid w:val="00B71184"/>
    <w:rsid w:val="00B72DD9"/>
    <w:rsid w:val="00B73878"/>
    <w:rsid w:val="00B76D4C"/>
    <w:rsid w:val="00B77019"/>
    <w:rsid w:val="00B83A2B"/>
    <w:rsid w:val="00B86ED7"/>
    <w:rsid w:val="00B87A8B"/>
    <w:rsid w:val="00B966C8"/>
    <w:rsid w:val="00BA59D5"/>
    <w:rsid w:val="00BB216A"/>
    <w:rsid w:val="00BB27EC"/>
    <w:rsid w:val="00BB7F32"/>
    <w:rsid w:val="00BC2040"/>
    <w:rsid w:val="00BC3567"/>
    <w:rsid w:val="00BC4231"/>
    <w:rsid w:val="00BD32A1"/>
    <w:rsid w:val="00BD3948"/>
    <w:rsid w:val="00BD5467"/>
    <w:rsid w:val="00BE3F70"/>
    <w:rsid w:val="00BE5364"/>
    <w:rsid w:val="00BF0F4D"/>
    <w:rsid w:val="00BF6331"/>
    <w:rsid w:val="00BF706B"/>
    <w:rsid w:val="00C00B41"/>
    <w:rsid w:val="00C03FF0"/>
    <w:rsid w:val="00C07F7E"/>
    <w:rsid w:val="00C11163"/>
    <w:rsid w:val="00C12DE3"/>
    <w:rsid w:val="00C1438B"/>
    <w:rsid w:val="00C24D63"/>
    <w:rsid w:val="00C30FFD"/>
    <w:rsid w:val="00C323D6"/>
    <w:rsid w:val="00C333B7"/>
    <w:rsid w:val="00C4236F"/>
    <w:rsid w:val="00C43EA3"/>
    <w:rsid w:val="00C43F4B"/>
    <w:rsid w:val="00C45480"/>
    <w:rsid w:val="00C56BA6"/>
    <w:rsid w:val="00C620AD"/>
    <w:rsid w:val="00C65E87"/>
    <w:rsid w:val="00C6664C"/>
    <w:rsid w:val="00C71B18"/>
    <w:rsid w:val="00C73891"/>
    <w:rsid w:val="00C75CBF"/>
    <w:rsid w:val="00C816E8"/>
    <w:rsid w:val="00C81B1E"/>
    <w:rsid w:val="00C91D72"/>
    <w:rsid w:val="00C9505D"/>
    <w:rsid w:val="00CA2559"/>
    <w:rsid w:val="00CA71D0"/>
    <w:rsid w:val="00CA76BA"/>
    <w:rsid w:val="00CA79F5"/>
    <w:rsid w:val="00CB25E3"/>
    <w:rsid w:val="00CB3976"/>
    <w:rsid w:val="00CB5A10"/>
    <w:rsid w:val="00CB5FF5"/>
    <w:rsid w:val="00CB77BE"/>
    <w:rsid w:val="00CC0298"/>
    <w:rsid w:val="00CC096D"/>
    <w:rsid w:val="00CD2335"/>
    <w:rsid w:val="00CE5866"/>
    <w:rsid w:val="00CF3752"/>
    <w:rsid w:val="00D02F94"/>
    <w:rsid w:val="00D05FC6"/>
    <w:rsid w:val="00D06F1E"/>
    <w:rsid w:val="00D1508E"/>
    <w:rsid w:val="00D242C9"/>
    <w:rsid w:val="00D26D78"/>
    <w:rsid w:val="00D35986"/>
    <w:rsid w:val="00D37239"/>
    <w:rsid w:val="00D424EB"/>
    <w:rsid w:val="00D42B17"/>
    <w:rsid w:val="00D45F9E"/>
    <w:rsid w:val="00D47CB8"/>
    <w:rsid w:val="00D54E56"/>
    <w:rsid w:val="00D5527A"/>
    <w:rsid w:val="00D559B1"/>
    <w:rsid w:val="00D60334"/>
    <w:rsid w:val="00D64365"/>
    <w:rsid w:val="00D64DF0"/>
    <w:rsid w:val="00D671C6"/>
    <w:rsid w:val="00D67DBC"/>
    <w:rsid w:val="00D71DFE"/>
    <w:rsid w:val="00D81361"/>
    <w:rsid w:val="00D86331"/>
    <w:rsid w:val="00D873E2"/>
    <w:rsid w:val="00D954A0"/>
    <w:rsid w:val="00D97C6F"/>
    <w:rsid w:val="00DB15A2"/>
    <w:rsid w:val="00DB253E"/>
    <w:rsid w:val="00DB5C24"/>
    <w:rsid w:val="00DC2D93"/>
    <w:rsid w:val="00DC4A8D"/>
    <w:rsid w:val="00DC7453"/>
    <w:rsid w:val="00DC7C1D"/>
    <w:rsid w:val="00DD0509"/>
    <w:rsid w:val="00DE1BE7"/>
    <w:rsid w:val="00DE36F5"/>
    <w:rsid w:val="00DE5D5D"/>
    <w:rsid w:val="00DF0826"/>
    <w:rsid w:val="00DF14BB"/>
    <w:rsid w:val="00DF3327"/>
    <w:rsid w:val="00DF3D6F"/>
    <w:rsid w:val="00DF5AE9"/>
    <w:rsid w:val="00E00042"/>
    <w:rsid w:val="00E107D3"/>
    <w:rsid w:val="00E14BEF"/>
    <w:rsid w:val="00E16FE2"/>
    <w:rsid w:val="00E21FB4"/>
    <w:rsid w:val="00E23CF3"/>
    <w:rsid w:val="00E30FAC"/>
    <w:rsid w:val="00E3220B"/>
    <w:rsid w:val="00E371FE"/>
    <w:rsid w:val="00E37484"/>
    <w:rsid w:val="00E50B09"/>
    <w:rsid w:val="00E514F1"/>
    <w:rsid w:val="00E5202A"/>
    <w:rsid w:val="00E5288C"/>
    <w:rsid w:val="00E5403A"/>
    <w:rsid w:val="00E556C4"/>
    <w:rsid w:val="00E6142D"/>
    <w:rsid w:val="00E63A9A"/>
    <w:rsid w:val="00E65D3E"/>
    <w:rsid w:val="00E7533F"/>
    <w:rsid w:val="00E87D13"/>
    <w:rsid w:val="00EA058C"/>
    <w:rsid w:val="00ED0D22"/>
    <w:rsid w:val="00ED3BD8"/>
    <w:rsid w:val="00ED585C"/>
    <w:rsid w:val="00EE17C9"/>
    <w:rsid w:val="00EE30CC"/>
    <w:rsid w:val="00EF7B9B"/>
    <w:rsid w:val="00F009E3"/>
    <w:rsid w:val="00F0205C"/>
    <w:rsid w:val="00F041DC"/>
    <w:rsid w:val="00F05510"/>
    <w:rsid w:val="00F06280"/>
    <w:rsid w:val="00F0666A"/>
    <w:rsid w:val="00F27963"/>
    <w:rsid w:val="00F2797F"/>
    <w:rsid w:val="00F42EB9"/>
    <w:rsid w:val="00F431B9"/>
    <w:rsid w:val="00F44476"/>
    <w:rsid w:val="00F45DF3"/>
    <w:rsid w:val="00F47F70"/>
    <w:rsid w:val="00F5580A"/>
    <w:rsid w:val="00F705B3"/>
    <w:rsid w:val="00F7068A"/>
    <w:rsid w:val="00F742CD"/>
    <w:rsid w:val="00F76AC5"/>
    <w:rsid w:val="00F83B1A"/>
    <w:rsid w:val="00F83DA2"/>
    <w:rsid w:val="00F84B9F"/>
    <w:rsid w:val="00F90DD3"/>
    <w:rsid w:val="00F91BF8"/>
    <w:rsid w:val="00F95220"/>
    <w:rsid w:val="00F95FD0"/>
    <w:rsid w:val="00F96499"/>
    <w:rsid w:val="00F9751E"/>
    <w:rsid w:val="00FA33D0"/>
    <w:rsid w:val="00FB37CB"/>
    <w:rsid w:val="00FB3983"/>
    <w:rsid w:val="00FB3997"/>
    <w:rsid w:val="00FB78A5"/>
    <w:rsid w:val="00FC2D81"/>
    <w:rsid w:val="00FC3997"/>
    <w:rsid w:val="00FC3EBC"/>
    <w:rsid w:val="00FC65E2"/>
    <w:rsid w:val="00FD0FC5"/>
    <w:rsid w:val="00FE3765"/>
    <w:rsid w:val="00FE3EB2"/>
    <w:rsid w:val="00FE452B"/>
    <w:rsid w:val="00FE5E48"/>
    <w:rsid w:val="00FF1CF3"/>
    <w:rsid w:val="00FF3951"/>
    <w:rsid w:val="00FF689B"/>
    <w:rsid w:val="010333FC"/>
    <w:rsid w:val="01042CD0"/>
    <w:rsid w:val="01066A48"/>
    <w:rsid w:val="010D427B"/>
    <w:rsid w:val="011253ED"/>
    <w:rsid w:val="011425A5"/>
    <w:rsid w:val="01145609"/>
    <w:rsid w:val="011473B7"/>
    <w:rsid w:val="01170C55"/>
    <w:rsid w:val="011C44BE"/>
    <w:rsid w:val="011D2710"/>
    <w:rsid w:val="0120137E"/>
    <w:rsid w:val="012313A8"/>
    <w:rsid w:val="01260E98"/>
    <w:rsid w:val="012A6BDB"/>
    <w:rsid w:val="013B0DE8"/>
    <w:rsid w:val="013C246A"/>
    <w:rsid w:val="01431A4A"/>
    <w:rsid w:val="014C4DA3"/>
    <w:rsid w:val="014F4893"/>
    <w:rsid w:val="015130C0"/>
    <w:rsid w:val="015679D0"/>
    <w:rsid w:val="015754F6"/>
    <w:rsid w:val="0159126E"/>
    <w:rsid w:val="015E4AD6"/>
    <w:rsid w:val="01601BF1"/>
    <w:rsid w:val="016025FC"/>
    <w:rsid w:val="016158E8"/>
    <w:rsid w:val="016320EC"/>
    <w:rsid w:val="01671BDD"/>
    <w:rsid w:val="016A306B"/>
    <w:rsid w:val="016F0A91"/>
    <w:rsid w:val="017240DE"/>
    <w:rsid w:val="0176160E"/>
    <w:rsid w:val="01761E20"/>
    <w:rsid w:val="017B7436"/>
    <w:rsid w:val="017D733B"/>
    <w:rsid w:val="018104CB"/>
    <w:rsid w:val="01826A17"/>
    <w:rsid w:val="018737B0"/>
    <w:rsid w:val="018C24B8"/>
    <w:rsid w:val="018E1095"/>
    <w:rsid w:val="019137EA"/>
    <w:rsid w:val="019404F8"/>
    <w:rsid w:val="01A249C3"/>
    <w:rsid w:val="01A331FC"/>
    <w:rsid w:val="01AA1AC9"/>
    <w:rsid w:val="01AA7D1B"/>
    <w:rsid w:val="01AD5116"/>
    <w:rsid w:val="01AF0E8E"/>
    <w:rsid w:val="01AF5332"/>
    <w:rsid w:val="01B02110"/>
    <w:rsid w:val="01B36BD0"/>
    <w:rsid w:val="01B46E76"/>
    <w:rsid w:val="01B82438"/>
    <w:rsid w:val="01BB5A85"/>
    <w:rsid w:val="01BD17FD"/>
    <w:rsid w:val="01BD6974"/>
    <w:rsid w:val="01C0309B"/>
    <w:rsid w:val="01C04E49"/>
    <w:rsid w:val="01C066ED"/>
    <w:rsid w:val="01C40DDD"/>
    <w:rsid w:val="01C74429"/>
    <w:rsid w:val="01CA216C"/>
    <w:rsid w:val="01CA3F1A"/>
    <w:rsid w:val="01CA5CC8"/>
    <w:rsid w:val="01CC3898"/>
    <w:rsid w:val="01CD7566"/>
    <w:rsid w:val="01CF32DE"/>
    <w:rsid w:val="01D32DCE"/>
    <w:rsid w:val="01D6466C"/>
    <w:rsid w:val="01D803E5"/>
    <w:rsid w:val="01E274B5"/>
    <w:rsid w:val="01E44FDB"/>
    <w:rsid w:val="01E90A18"/>
    <w:rsid w:val="01EC1438"/>
    <w:rsid w:val="01EC3E90"/>
    <w:rsid w:val="01EF3980"/>
    <w:rsid w:val="01F33470"/>
    <w:rsid w:val="01F36FCC"/>
    <w:rsid w:val="01F66ABD"/>
    <w:rsid w:val="01FD42EF"/>
    <w:rsid w:val="01FF5123"/>
    <w:rsid w:val="02002B30"/>
    <w:rsid w:val="020411DA"/>
    <w:rsid w:val="0204567E"/>
    <w:rsid w:val="02090B42"/>
    <w:rsid w:val="020967F0"/>
    <w:rsid w:val="020A2568"/>
    <w:rsid w:val="020B07BA"/>
    <w:rsid w:val="020C4532"/>
    <w:rsid w:val="020E2058"/>
    <w:rsid w:val="0213766F"/>
    <w:rsid w:val="02181129"/>
    <w:rsid w:val="021B4775"/>
    <w:rsid w:val="021B6CB7"/>
    <w:rsid w:val="021D229B"/>
    <w:rsid w:val="02201B91"/>
    <w:rsid w:val="02223D56"/>
    <w:rsid w:val="0224362A"/>
    <w:rsid w:val="02290C40"/>
    <w:rsid w:val="022A2E24"/>
    <w:rsid w:val="022A49B8"/>
    <w:rsid w:val="022A6766"/>
    <w:rsid w:val="022B2C0A"/>
    <w:rsid w:val="022C0730"/>
    <w:rsid w:val="02315D47"/>
    <w:rsid w:val="02317AF5"/>
    <w:rsid w:val="02385327"/>
    <w:rsid w:val="023C6200"/>
    <w:rsid w:val="023E272A"/>
    <w:rsid w:val="024765D5"/>
    <w:rsid w:val="02557C87"/>
    <w:rsid w:val="02571C51"/>
    <w:rsid w:val="025A34EF"/>
    <w:rsid w:val="025D6B3C"/>
    <w:rsid w:val="025F28B4"/>
    <w:rsid w:val="02642858"/>
    <w:rsid w:val="0264611C"/>
    <w:rsid w:val="026659F0"/>
    <w:rsid w:val="026D3223"/>
    <w:rsid w:val="02720839"/>
    <w:rsid w:val="02777BFD"/>
    <w:rsid w:val="027C3466"/>
    <w:rsid w:val="027D66FF"/>
    <w:rsid w:val="027F4D04"/>
    <w:rsid w:val="028265A2"/>
    <w:rsid w:val="0286060F"/>
    <w:rsid w:val="02874BC5"/>
    <w:rsid w:val="02881E0B"/>
    <w:rsid w:val="028B18FB"/>
    <w:rsid w:val="0293255D"/>
    <w:rsid w:val="02936A01"/>
    <w:rsid w:val="02994018"/>
    <w:rsid w:val="029977A9"/>
    <w:rsid w:val="029C7664"/>
    <w:rsid w:val="029E0407"/>
    <w:rsid w:val="02A12ECC"/>
    <w:rsid w:val="02A14C7A"/>
    <w:rsid w:val="02AE1145"/>
    <w:rsid w:val="02B20C36"/>
    <w:rsid w:val="02B57AD6"/>
    <w:rsid w:val="02BD75DA"/>
    <w:rsid w:val="02C92423"/>
    <w:rsid w:val="02C97AA9"/>
    <w:rsid w:val="02CB1CF7"/>
    <w:rsid w:val="02CB619B"/>
    <w:rsid w:val="02CD33C3"/>
    <w:rsid w:val="02D037B2"/>
    <w:rsid w:val="02D23086"/>
    <w:rsid w:val="02D34F0F"/>
    <w:rsid w:val="02D50DC8"/>
    <w:rsid w:val="02DA018C"/>
    <w:rsid w:val="02DA63DE"/>
    <w:rsid w:val="02DD00F8"/>
    <w:rsid w:val="02DD1A2B"/>
    <w:rsid w:val="02DF57A3"/>
    <w:rsid w:val="02E1151B"/>
    <w:rsid w:val="02E84657"/>
    <w:rsid w:val="02E903CF"/>
    <w:rsid w:val="02ED1C6E"/>
    <w:rsid w:val="02EF1E8A"/>
    <w:rsid w:val="02F079B0"/>
    <w:rsid w:val="02F456F2"/>
    <w:rsid w:val="02F474A0"/>
    <w:rsid w:val="02F82E8B"/>
    <w:rsid w:val="02FA25DD"/>
    <w:rsid w:val="02FE5FB7"/>
    <w:rsid w:val="02FF5E45"/>
    <w:rsid w:val="03033692"/>
    <w:rsid w:val="03045209"/>
    <w:rsid w:val="03053E1E"/>
    <w:rsid w:val="030560A3"/>
    <w:rsid w:val="03084CFA"/>
    <w:rsid w:val="030B2A3C"/>
    <w:rsid w:val="030F42DA"/>
    <w:rsid w:val="03100052"/>
    <w:rsid w:val="03123DCA"/>
    <w:rsid w:val="031511C4"/>
    <w:rsid w:val="03172113"/>
    <w:rsid w:val="03195159"/>
    <w:rsid w:val="032C4BE0"/>
    <w:rsid w:val="032D4760"/>
    <w:rsid w:val="03321D76"/>
    <w:rsid w:val="03336550"/>
    <w:rsid w:val="0334049E"/>
    <w:rsid w:val="03343D40"/>
    <w:rsid w:val="03345AEF"/>
    <w:rsid w:val="03351F2F"/>
    <w:rsid w:val="033E071B"/>
    <w:rsid w:val="03412426"/>
    <w:rsid w:val="03455F4E"/>
    <w:rsid w:val="0348159A"/>
    <w:rsid w:val="034877EC"/>
    <w:rsid w:val="034A70C0"/>
    <w:rsid w:val="03521418"/>
    <w:rsid w:val="03561F09"/>
    <w:rsid w:val="035B751F"/>
    <w:rsid w:val="035C6DF3"/>
    <w:rsid w:val="035F6558"/>
    <w:rsid w:val="03630182"/>
    <w:rsid w:val="03681C3C"/>
    <w:rsid w:val="036B5288"/>
    <w:rsid w:val="036B7036"/>
    <w:rsid w:val="036C392D"/>
    <w:rsid w:val="036F2FCB"/>
    <w:rsid w:val="03710743"/>
    <w:rsid w:val="037C1244"/>
    <w:rsid w:val="03800D34"/>
    <w:rsid w:val="03830824"/>
    <w:rsid w:val="038325D2"/>
    <w:rsid w:val="038A1948"/>
    <w:rsid w:val="038D51FF"/>
    <w:rsid w:val="039B5B6E"/>
    <w:rsid w:val="039C5442"/>
    <w:rsid w:val="039E11BA"/>
    <w:rsid w:val="03A34A22"/>
    <w:rsid w:val="03A569EC"/>
    <w:rsid w:val="03AA7B5F"/>
    <w:rsid w:val="03AC1B29"/>
    <w:rsid w:val="03AC38D7"/>
    <w:rsid w:val="03B3341E"/>
    <w:rsid w:val="03B44E81"/>
    <w:rsid w:val="03BE185C"/>
    <w:rsid w:val="03BE360A"/>
    <w:rsid w:val="03C86237"/>
    <w:rsid w:val="03CA1FAF"/>
    <w:rsid w:val="03CF6F0E"/>
    <w:rsid w:val="03CF75C5"/>
    <w:rsid w:val="03D01ADF"/>
    <w:rsid w:val="03D1333D"/>
    <w:rsid w:val="03D270B5"/>
    <w:rsid w:val="03D42E2E"/>
    <w:rsid w:val="03D90444"/>
    <w:rsid w:val="03D959C1"/>
    <w:rsid w:val="03E017D2"/>
    <w:rsid w:val="03E17245"/>
    <w:rsid w:val="03E312C3"/>
    <w:rsid w:val="03E53AB8"/>
    <w:rsid w:val="03E72B61"/>
    <w:rsid w:val="03EC461B"/>
    <w:rsid w:val="03EE3EEF"/>
    <w:rsid w:val="03F15689"/>
    <w:rsid w:val="03F359AA"/>
    <w:rsid w:val="03F434D0"/>
    <w:rsid w:val="03F4702C"/>
    <w:rsid w:val="03FA360A"/>
    <w:rsid w:val="04025BED"/>
    <w:rsid w:val="040A3F32"/>
    <w:rsid w:val="040A684F"/>
    <w:rsid w:val="040E27E3"/>
    <w:rsid w:val="041043A7"/>
    <w:rsid w:val="0413414A"/>
    <w:rsid w:val="04194CE4"/>
    <w:rsid w:val="041E22FB"/>
    <w:rsid w:val="04212517"/>
    <w:rsid w:val="04223B99"/>
    <w:rsid w:val="04245B63"/>
    <w:rsid w:val="04293179"/>
    <w:rsid w:val="04294F27"/>
    <w:rsid w:val="042E0790"/>
    <w:rsid w:val="042E1EA5"/>
    <w:rsid w:val="04351B1E"/>
    <w:rsid w:val="043A7135"/>
    <w:rsid w:val="043C79C2"/>
    <w:rsid w:val="043D6D35"/>
    <w:rsid w:val="043F474B"/>
    <w:rsid w:val="04447FB3"/>
    <w:rsid w:val="04461F7D"/>
    <w:rsid w:val="04467040"/>
    <w:rsid w:val="04497378"/>
    <w:rsid w:val="044C0C16"/>
    <w:rsid w:val="044C330C"/>
    <w:rsid w:val="04531FA4"/>
    <w:rsid w:val="04575F38"/>
    <w:rsid w:val="04577902"/>
    <w:rsid w:val="0458580D"/>
    <w:rsid w:val="045B52FD"/>
    <w:rsid w:val="045F6B9B"/>
    <w:rsid w:val="046248DD"/>
    <w:rsid w:val="04642403"/>
    <w:rsid w:val="04770389"/>
    <w:rsid w:val="047850D1"/>
    <w:rsid w:val="04785EAF"/>
    <w:rsid w:val="047A1C27"/>
    <w:rsid w:val="047A39D5"/>
    <w:rsid w:val="047D34C5"/>
    <w:rsid w:val="047F08FC"/>
    <w:rsid w:val="0486237A"/>
    <w:rsid w:val="048D42E8"/>
    <w:rsid w:val="048E7480"/>
    <w:rsid w:val="049031F8"/>
    <w:rsid w:val="04904C6D"/>
    <w:rsid w:val="049251C3"/>
    <w:rsid w:val="04934A97"/>
    <w:rsid w:val="0495080F"/>
    <w:rsid w:val="04952B38"/>
    <w:rsid w:val="049820AD"/>
    <w:rsid w:val="049B690E"/>
    <w:rsid w:val="049D76C3"/>
    <w:rsid w:val="049F51EA"/>
    <w:rsid w:val="04A42800"/>
    <w:rsid w:val="04A575B9"/>
    <w:rsid w:val="04A66578"/>
    <w:rsid w:val="04A70542"/>
    <w:rsid w:val="04AB0032"/>
    <w:rsid w:val="04AE7B23"/>
    <w:rsid w:val="04B32B11"/>
    <w:rsid w:val="04B50EB1"/>
    <w:rsid w:val="04B51228"/>
    <w:rsid w:val="04BF36F6"/>
    <w:rsid w:val="04BF588C"/>
    <w:rsid w:val="04C42EA2"/>
    <w:rsid w:val="04C73283"/>
    <w:rsid w:val="04C80BE4"/>
    <w:rsid w:val="04CB5FDF"/>
    <w:rsid w:val="04CD61FB"/>
    <w:rsid w:val="04CE5ACF"/>
    <w:rsid w:val="04D56E5D"/>
    <w:rsid w:val="04D70E27"/>
    <w:rsid w:val="04DA4474"/>
    <w:rsid w:val="04DF7CDC"/>
    <w:rsid w:val="04E11CA6"/>
    <w:rsid w:val="04E2658F"/>
    <w:rsid w:val="04E35A1E"/>
    <w:rsid w:val="04E62E18"/>
    <w:rsid w:val="04E83870"/>
    <w:rsid w:val="04E92909"/>
    <w:rsid w:val="04EB042F"/>
    <w:rsid w:val="04EB6681"/>
    <w:rsid w:val="04EC3681"/>
    <w:rsid w:val="04EE6171"/>
    <w:rsid w:val="04EE7F1F"/>
    <w:rsid w:val="04F25C61"/>
    <w:rsid w:val="04F419D9"/>
    <w:rsid w:val="04F55751"/>
    <w:rsid w:val="04F574FF"/>
    <w:rsid w:val="05031C1C"/>
    <w:rsid w:val="0506170D"/>
    <w:rsid w:val="05096B07"/>
    <w:rsid w:val="050E411D"/>
    <w:rsid w:val="05143E2A"/>
    <w:rsid w:val="051536FE"/>
    <w:rsid w:val="0517294F"/>
    <w:rsid w:val="051756C8"/>
    <w:rsid w:val="05191440"/>
    <w:rsid w:val="051C683A"/>
    <w:rsid w:val="052102F4"/>
    <w:rsid w:val="05255E6F"/>
    <w:rsid w:val="0525656A"/>
    <w:rsid w:val="05281683"/>
    <w:rsid w:val="05281D7C"/>
    <w:rsid w:val="052D6C99"/>
    <w:rsid w:val="052E656D"/>
    <w:rsid w:val="052F2A11"/>
    <w:rsid w:val="0530559A"/>
    <w:rsid w:val="05355B4E"/>
    <w:rsid w:val="053E2C54"/>
    <w:rsid w:val="05467D5B"/>
    <w:rsid w:val="0548762F"/>
    <w:rsid w:val="054F4E62"/>
    <w:rsid w:val="055406CA"/>
    <w:rsid w:val="05571F68"/>
    <w:rsid w:val="05575AC4"/>
    <w:rsid w:val="055C132D"/>
    <w:rsid w:val="05616943"/>
    <w:rsid w:val="05627FE8"/>
    <w:rsid w:val="056401E1"/>
    <w:rsid w:val="056D7096"/>
    <w:rsid w:val="05704DD8"/>
    <w:rsid w:val="0575419C"/>
    <w:rsid w:val="05810D93"/>
    <w:rsid w:val="05860158"/>
    <w:rsid w:val="058878C5"/>
    <w:rsid w:val="058A7C48"/>
    <w:rsid w:val="058D6571"/>
    <w:rsid w:val="059565ED"/>
    <w:rsid w:val="05957D83"/>
    <w:rsid w:val="05975EAF"/>
    <w:rsid w:val="05A14F91"/>
    <w:rsid w:val="05A21435"/>
    <w:rsid w:val="05A351AD"/>
    <w:rsid w:val="05A6115E"/>
    <w:rsid w:val="05AA02EA"/>
    <w:rsid w:val="05AA653C"/>
    <w:rsid w:val="05AD3936"/>
    <w:rsid w:val="05AF3B52"/>
    <w:rsid w:val="05B146DA"/>
    <w:rsid w:val="05B44CC5"/>
    <w:rsid w:val="05B60A3D"/>
    <w:rsid w:val="05B66C8F"/>
    <w:rsid w:val="05BB42A5"/>
    <w:rsid w:val="05C0297C"/>
    <w:rsid w:val="05C0366A"/>
    <w:rsid w:val="05C23886"/>
    <w:rsid w:val="05C82C9B"/>
    <w:rsid w:val="05C84C14"/>
    <w:rsid w:val="05CD3FD8"/>
    <w:rsid w:val="05CE19E6"/>
    <w:rsid w:val="05D47115"/>
    <w:rsid w:val="05D76C05"/>
    <w:rsid w:val="05DB4947"/>
    <w:rsid w:val="05DD21CE"/>
    <w:rsid w:val="05E01F5E"/>
    <w:rsid w:val="05E10972"/>
    <w:rsid w:val="05E27A84"/>
    <w:rsid w:val="05F07E46"/>
    <w:rsid w:val="05F23A3F"/>
    <w:rsid w:val="05F31C91"/>
    <w:rsid w:val="05F759DF"/>
    <w:rsid w:val="05F872A7"/>
    <w:rsid w:val="05FB6D97"/>
    <w:rsid w:val="060001D2"/>
    <w:rsid w:val="060A6EE3"/>
    <w:rsid w:val="060A6FDB"/>
    <w:rsid w:val="060B4A63"/>
    <w:rsid w:val="061144BD"/>
    <w:rsid w:val="06127C3D"/>
    <w:rsid w:val="06141C07"/>
    <w:rsid w:val="061A5470"/>
    <w:rsid w:val="061D286A"/>
    <w:rsid w:val="061F2A86"/>
    <w:rsid w:val="06231E4A"/>
    <w:rsid w:val="06285F4E"/>
    <w:rsid w:val="062C7228"/>
    <w:rsid w:val="062E0F1B"/>
    <w:rsid w:val="06314567"/>
    <w:rsid w:val="06372AE6"/>
    <w:rsid w:val="063876A4"/>
    <w:rsid w:val="06391F63"/>
    <w:rsid w:val="063A78C0"/>
    <w:rsid w:val="063D4CBA"/>
    <w:rsid w:val="0644429B"/>
    <w:rsid w:val="064C13A1"/>
    <w:rsid w:val="06510766"/>
    <w:rsid w:val="065169B7"/>
    <w:rsid w:val="065C712E"/>
    <w:rsid w:val="06654211"/>
    <w:rsid w:val="06691F53"/>
    <w:rsid w:val="066C559F"/>
    <w:rsid w:val="066E30C6"/>
    <w:rsid w:val="066E6EF0"/>
    <w:rsid w:val="066F5090"/>
    <w:rsid w:val="066F6E3E"/>
    <w:rsid w:val="0671705A"/>
    <w:rsid w:val="067D155B"/>
    <w:rsid w:val="06823015"/>
    <w:rsid w:val="06840B3B"/>
    <w:rsid w:val="068A52EB"/>
    <w:rsid w:val="068C3E93"/>
    <w:rsid w:val="068F128E"/>
    <w:rsid w:val="06925998"/>
    <w:rsid w:val="06935222"/>
    <w:rsid w:val="069A210C"/>
    <w:rsid w:val="069D7E4F"/>
    <w:rsid w:val="069F7723"/>
    <w:rsid w:val="06A0349B"/>
    <w:rsid w:val="06A20FC1"/>
    <w:rsid w:val="06A42F8B"/>
    <w:rsid w:val="06A92350"/>
    <w:rsid w:val="06AE7966"/>
    <w:rsid w:val="06B036DE"/>
    <w:rsid w:val="06B17456"/>
    <w:rsid w:val="06B238FA"/>
    <w:rsid w:val="06B31420"/>
    <w:rsid w:val="06B34F7C"/>
    <w:rsid w:val="06B807E5"/>
    <w:rsid w:val="06B97F29"/>
    <w:rsid w:val="06BA455D"/>
    <w:rsid w:val="06BB5C2E"/>
    <w:rsid w:val="06BD7ADC"/>
    <w:rsid w:val="06C31FA2"/>
    <w:rsid w:val="06C453DB"/>
    <w:rsid w:val="06C47189"/>
    <w:rsid w:val="06C929F2"/>
    <w:rsid w:val="06CB0518"/>
    <w:rsid w:val="06CB676A"/>
    <w:rsid w:val="06CC603E"/>
    <w:rsid w:val="06CD6DD2"/>
    <w:rsid w:val="06D01FD2"/>
    <w:rsid w:val="06D118A6"/>
    <w:rsid w:val="06E66B95"/>
    <w:rsid w:val="06EB3DB3"/>
    <w:rsid w:val="06EF1EBB"/>
    <w:rsid w:val="06F21F49"/>
    <w:rsid w:val="06FA7678"/>
    <w:rsid w:val="06FD08ED"/>
    <w:rsid w:val="070251BD"/>
    <w:rsid w:val="07091040"/>
    <w:rsid w:val="070D0B30"/>
    <w:rsid w:val="07106873"/>
    <w:rsid w:val="07124399"/>
    <w:rsid w:val="07127832"/>
    <w:rsid w:val="07131EBF"/>
    <w:rsid w:val="07147814"/>
    <w:rsid w:val="071A4FFB"/>
    <w:rsid w:val="071F0864"/>
    <w:rsid w:val="07202C50"/>
    <w:rsid w:val="07216150"/>
    <w:rsid w:val="0721638A"/>
    <w:rsid w:val="072639A0"/>
    <w:rsid w:val="07267138"/>
    <w:rsid w:val="072B545A"/>
    <w:rsid w:val="072D4D2F"/>
    <w:rsid w:val="072E0AA7"/>
    <w:rsid w:val="072F4F4B"/>
    <w:rsid w:val="072F792E"/>
    <w:rsid w:val="0731263B"/>
    <w:rsid w:val="07336B6B"/>
    <w:rsid w:val="07391925"/>
    <w:rsid w:val="073A38EF"/>
    <w:rsid w:val="073C7668"/>
    <w:rsid w:val="073F4A62"/>
    <w:rsid w:val="074309F6"/>
    <w:rsid w:val="07464042"/>
    <w:rsid w:val="07481042"/>
    <w:rsid w:val="0748600C"/>
    <w:rsid w:val="074A3B33"/>
    <w:rsid w:val="074A73B2"/>
    <w:rsid w:val="074B78AB"/>
    <w:rsid w:val="074D3623"/>
    <w:rsid w:val="07500A1D"/>
    <w:rsid w:val="07524795"/>
    <w:rsid w:val="07540A2D"/>
    <w:rsid w:val="07565AB1"/>
    <w:rsid w:val="075727B7"/>
    <w:rsid w:val="075C3866"/>
    <w:rsid w:val="07632E46"/>
    <w:rsid w:val="07645999"/>
    <w:rsid w:val="07666493"/>
    <w:rsid w:val="0767082D"/>
    <w:rsid w:val="07690280"/>
    <w:rsid w:val="076B3AA9"/>
    <w:rsid w:val="076C329B"/>
    <w:rsid w:val="077741FC"/>
    <w:rsid w:val="077E1A2E"/>
    <w:rsid w:val="0781151E"/>
    <w:rsid w:val="0785447E"/>
    <w:rsid w:val="07866B35"/>
    <w:rsid w:val="078828AD"/>
    <w:rsid w:val="078A03D3"/>
    <w:rsid w:val="078B5EF9"/>
    <w:rsid w:val="078B7CA7"/>
    <w:rsid w:val="0790350F"/>
    <w:rsid w:val="07941252"/>
    <w:rsid w:val="07972AF0"/>
    <w:rsid w:val="079B1D7A"/>
    <w:rsid w:val="079B25E0"/>
    <w:rsid w:val="079B438E"/>
    <w:rsid w:val="079E3E7E"/>
    <w:rsid w:val="07A019A5"/>
    <w:rsid w:val="07A80859"/>
    <w:rsid w:val="07AB7F53"/>
    <w:rsid w:val="07AD5E6F"/>
    <w:rsid w:val="07B2792A"/>
    <w:rsid w:val="07B62F76"/>
    <w:rsid w:val="07B94814"/>
    <w:rsid w:val="07CA4C73"/>
    <w:rsid w:val="07CD206E"/>
    <w:rsid w:val="07CE2A0D"/>
    <w:rsid w:val="07D253A5"/>
    <w:rsid w:val="07D4164E"/>
    <w:rsid w:val="07D63618"/>
    <w:rsid w:val="07DE24CD"/>
    <w:rsid w:val="07DE427B"/>
    <w:rsid w:val="07E21FBD"/>
    <w:rsid w:val="07E31891"/>
    <w:rsid w:val="07E51AAD"/>
    <w:rsid w:val="07E775D3"/>
    <w:rsid w:val="07EC4BEA"/>
    <w:rsid w:val="07EC6998"/>
    <w:rsid w:val="07ED2710"/>
    <w:rsid w:val="07F4584C"/>
    <w:rsid w:val="07FB50B6"/>
    <w:rsid w:val="0802440D"/>
    <w:rsid w:val="080261BB"/>
    <w:rsid w:val="08030185"/>
    <w:rsid w:val="080A1514"/>
    <w:rsid w:val="080B2B96"/>
    <w:rsid w:val="080D2DB2"/>
    <w:rsid w:val="081163FE"/>
    <w:rsid w:val="08177AA0"/>
    <w:rsid w:val="082230F8"/>
    <w:rsid w:val="08273E74"/>
    <w:rsid w:val="082A5712"/>
    <w:rsid w:val="082B4195"/>
    <w:rsid w:val="0833075E"/>
    <w:rsid w:val="08362309"/>
    <w:rsid w:val="083640B7"/>
    <w:rsid w:val="083D19D0"/>
    <w:rsid w:val="083D3697"/>
    <w:rsid w:val="08404F36"/>
    <w:rsid w:val="08422A5C"/>
    <w:rsid w:val="0842480A"/>
    <w:rsid w:val="08430582"/>
    <w:rsid w:val="08437887"/>
    <w:rsid w:val="0845254C"/>
    <w:rsid w:val="084542FA"/>
    <w:rsid w:val="084A7B62"/>
    <w:rsid w:val="0854453D"/>
    <w:rsid w:val="085A5FF7"/>
    <w:rsid w:val="085F360E"/>
    <w:rsid w:val="08602EE2"/>
    <w:rsid w:val="086230FE"/>
    <w:rsid w:val="086B4469"/>
    <w:rsid w:val="0878022B"/>
    <w:rsid w:val="087936A3"/>
    <w:rsid w:val="087A0447"/>
    <w:rsid w:val="087B41C0"/>
    <w:rsid w:val="087D3A3C"/>
    <w:rsid w:val="087D7F38"/>
    <w:rsid w:val="08805332"/>
    <w:rsid w:val="08843074"/>
    <w:rsid w:val="08852A67"/>
    <w:rsid w:val="088968DD"/>
    <w:rsid w:val="088A6FDD"/>
    <w:rsid w:val="088C1F29"/>
    <w:rsid w:val="088D2196"/>
    <w:rsid w:val="088E3EF3"/>
    <w:rsid w:val="08907C6B"/>
    <w:rsid w:val="089112ED"/>
    <w:rsid w:val="0894419F"/>
    <w:rsid w:val="08946A71"/>
    <w:rsid w:val="08955281"/>
    <w:rsid w:val="08962DA7"/>
    <w:rsid w:val="08986B20"/>
    <w:rsid w:val="08A47272"/>
    <w:rsid w:val="08A70B11"/>
    <w:rsid w:val="08A90D2D"/>
    <w:rsid w:val="08AF5C17"/>
    <w:rsid w:val="08B32ADF"/>
    <w:rsid w:val="08B33959"/>
    <w:rsid w:val="08B5322E"/>
    <w:rsid w:val="08BB636A"/>
    <w:rsid w:val="08BD0334"/>
    <w:rsid w:val="08C01BD2"/>
    <w:rsid w:val="08C416C3"/>
    <w:rsid w:val="08C6368D"/>
    <w:rsid w:val="08C711B3"/>
    <w:rsid w:val="08C74B52"/>
    <w:rsid w:val="08C77405"/>
    <w:rsid w:val="08CF5118"/>
    <w:rsid w:val="08DA4374"/>
    <w:rsid w:val="08DC0CAC"/>
    <w:rsid w:val="08E05547"/>
    <w:rsid w:val="08E330F2"/>
    <w:rsid w:val="08E41D65"/>
    <w:rsid w:val="08E65ADD"/>
    <w:rsid w:val="08E753B1"/>
    <w:rsid w:val="08EC29C7"/>
    <w:rsid w:val="08F31FA8"/>
    <w:rsid w:val="08F655F4"/>
    <w:rsid w:val="08F677EC"/>
    <w:rsid w:val="08F7507B"/>
    <w:rsid w:val="08FA3336"/>
    <w:rsid w:val="09047D11"/>
    <w:rsid w:val="090537F2"/>
    <w:rsid w:val="090E293E"/>
    <w:rsid w:val="09102B5A"/>
    <w:rsid w:val="091066B6"/>
    <w:rsid w:val="0911242E"/>
    <w:rsid w:val="091268D2"/>
    <w:rsid w:val="0913264A"/>
    <w:rsid w:val="09175C96"/>
    <w:rsid w:val="091D0DD3"/>
    <w:rsid w:val="091F16FC"/>
    <w:rsid w:val="091F2D9D"/>
    <w:rsid w:val="092403B3"/>
    <w:rsid w:val="09265ED9"/>
    <w:rsid w:val="09285C5D"/>
    <w:rsid w:val="092959CA"/>
    <w:rsid w:val="09320D22"/>
    <w:rsid w:val="093525C0"/>
    <w:rsid w:val="0935436E"/>
    <w:rsid w:val="09386830"/>
    <w:rsid w:val="094B5940"/>
    <w:rsid w:val="094E3682"/>
    <w:rsid w:val="094E5430"/>
    <w:rsid w:val="094E5847"/>
    <w:rsid w:val="09524F20"/>
    <w:rsid w:val="09540C99"/>
    <w:rsid w:val="09570789"/>
    <w:rsid w:val="095A2D1D"/>
    <w:rsid w:val="095F13EB"/>
    <w:rsid w:val="096124C8"/>
    <w:rsid w:val="096133B5"/>
    <w:rsid w:val="09646A02"/>
    <w:rsid w:val="09694018"/>
    <w:rsid w:val="096D1193"/>
    <w:rsid w:val="096E162E"/>
    <w:rsid w:val="0978425B"/>
    <w:rsid w:val="097924AD"/>
    <w:rsid w:val="097A5EAE"/>
    <w:rsid w:val="097E5D15"/>
    <w:rsid w:val="097F0F19"/>
    <w:rsid w:val="098826F0"/>
    <w:rsid w:val="098A290C"/>
    <w:rsid w:val="098B0432"/>
    <w:rsid w:val="09976DD7"/>
    <w:rsid w:val="099B68C7"/>
    <w:rsid w:val="099E1F14"/>
    <w:rsid w:val="099F5C8C"/>
    <w:rsid w:val="09A60DC8"/>
    <w:rsid w:val="09AA6B0A"/>
    <w:rsid w:val="09BC683E"/>
    <w:rsid w:val="09BE6112"/>
    <w:rsid w:val="09C10FEB"/>
    <w:rsid w:val="09C13E54"/>
    <w:rsid w:val="09C15C02"/>
    <w:rsid w:val="09C57A7B"/>
    <w:rsid w:val="09CA0F5B"/>
    <w:rsid w:val="09CD45A7"/>
    <w:rsid w:val="09D45935"/>
    <w:rsid w:val="09E33DCA"/>
    <w:rsid w:val="09E35B78"/>
    <w:rsid w:val="09E47E4A"/>
    <w:rsid w:val="09E638BB"/>
    <w:rsid w:val="09E65669"/>
    <w:rsid w:val="09E71B0D"/>
    <w:rsid w:val="09E85885"/>
    <w:rsid w:val="09E92212"/>
    <w:rsid w:val="09ED69F7"/>
    <w:rsid w:val="09F064E7"/>
    <w:rsid w:val="09F2225F"/>
    <w:rsid w:val="09FC4E8C"/>
    <w:rsid w:val="09FC6C3A"/>
    <w:rsid w:val="0A0108E9"/>
    <w:rsid w:val="0A026946"/>
    <w:rsid w:val="0A03446D"/>
    <w:rsid w:val="0A0E74FF"/>
    <w:rsid w:val="0A14667A"/>
    <w:rsid w:val="0A195A3E"/>
    <w:rsid w:val="0A1B5312"/>
    <w:rsid w:val="0A1E3055"/>
    <w:rsid w:val="0A255B46"/>
    <w:rsid w:val="0A261152"/>
    <w:rsid w:val="0A2663C9"/>
    <w:rsid w:val="0A2A37A7"/>
    <w:rsid w:val="0A2F0DBE"/>
    <w:rsid w:val="0A307309"/>
    <w:rsid w:val="0A314B36"/>
    <w:rsid w:val="0A316E55"/>
    <w:rsid w:val="0A326B00"/>
    <w:rsid w:val="0A39491D"/>
    <w:rsid w:val="0A3B59B5"/>
    <w:rsid w:val="0A3F75D2"/>
    <w:rsid w:val="0A4305A0"/>
    <w:rsid w:val="0A4505E1"/>
    <w:rsid w:val="0A4725AB"/>
    <w:rsid w:val="0A486323"/>
    <w:rsid w:val="0A4F1460"/>
    <w:rsid w:val="0A4F320E"/>
    <w:rsid w:val="0A52048B"/>
    <w:rsid w:val="0A522CFE"/>
    <w:rsid w:val="0A527F49"/>
    <w:rsid w:val="0A5371A2"/>
    <w:rsid w:val="0A540824"/>
    <w:rsid w:val="0A544CC8"/>
    <w:rsid w:val="0A557AA3"/>
    <w:rsid w:val="0A5B1BB3"/>
    <w:rsid w:val="0A5C592B"/>
    <w:rsid w:val="0A6071C9"/>
    <w:rsid w:val="0A626194"/>
    <w:rsid w:val="0A650C83"/>
    <w:rsid w:val="0A6F565E"/>
    <w:rsid w:val="0A717628"/>
    <w:rsid w:val="0A764C3F"/>
    <w:rsid w:val="0A7669ED"/>
    <w:rsid w:val="0A7809B7"/>
    <w:rsid w:val="0A7964DD"/>
    <w:rsid w:val="0A7D3302"/>
    <w:rsid w:val="0A7E3AF3"/>
    <w:rsid w:val="0A825052"/>
    <w:rsid w:val="0A852B6F"/>
    <w:rsid w:val="0A8530D4"/>
    <w:rsid w:val="0A8A2498"/>
    <w:rsid w:val="0A8B5B9F"/>
    <w:rsid w:val="0A8F3F52"/>
    <w:rsid w:val="0A917CCA"/>
    <w:rsid w:val="0A92134D"/>
    <w:rsid w:val="0A981059"/>
    <w:rsid w:val="0A9E7CF1"/>
    <w:rsid w:val="0AA364AD"/>
    <w:rsid w:val="0AA736ED"/>
    <w:rsid w:val="0AAB0D8C"/>
    <w:rsid w:val="0AAC68B2"/>
    <w:rsid w:val="0AAD4A6C"/>
    <w:rsid w:val="0AB06F75"/>
    <w:rsid w:val="0AB15167"/>
    <w:rsid w:val="0AB75189"/>
    <w:rsid w:val="0ABA2D7D"/>
    <w:rsid w:val="0ABB4D47"/>
    <w:rsid w:val="0ABD28A9"/>
    <w:rsid w:val="0ABD461B"/>
    <w:rsid w:val="0ABF3931"/>
    <w:rsid w:val="0AC2515F"/>
    <w:rsid w:val="0AC97464"/>
    <w:rsid w:val="0ACF355F"/>
    <w:rsid w:val="0ACF3739"/>
    <w:rsid w:val="0AD55E09"/>
    <w:rsid w:val="0AD57BB7"/>
    <w:rsid w:val="0AD83203"/>
    <w:rsid w:val="0ADC51AE"/>
    <w:rsid w:val="0ADF4592"/>
    <w:rsid w:val="0AE24082"/>
    <w:rsid w:val="0AE53FD8"/>
    <w:rsid w:val="0AE55920"/>
    <w:rsid w:val="0AEB7501"/>
    <w:rsid w:val="0AF02C43"/>
    <w:rsid w:val="0AF0679F"/>
    <w:rsid w:val="0AF67B2D"/>
    <w:rsid w:val="0AF974BD"/>
    <w:rsid w:val="0AFA13CC"/>
    <w:rsid w:val="0AFD710E"/>
    <w:rsid w:val="0B043FF8"/>
    <w:rsid w:val="0B0815FA"/>
    <w:rsid w:val="0B097861"/>
    <w:rsid w:val="0B0B7CF6"/>
    <w:rsid w:val="0B0C10FF"/>
    <w:rsid w:val="0B0E131B"/>
    <w:rsid w:val="0B1160B5"/>
    <w:rsid w:val="0B161F7E"/>
    <w:rsid w:val="0B16798B"/>
    <w:rsid w:val="0B1701D1"/>
    <w:rsid w:val="0B187AA4"/>
    <w:rsid w:val="0B1D50BA"/>
    <w:rsid w:val="0B1D52F2"/>
    <w:rsid w:val="0B204BAA"/>
    <w:rsid w:val="0B275F39"/>
    <w:rsid w:val="0B280BE4"/>
    <w:rsid w:val="0B2F0809"/>
    <w:rsid w:val="0B316DB7"/>
    <w:rsid w:val="0B34710E"/>
    <w:rsid w:val="0B36617C"/>
    <w:rsid w:val="0B3806D8"/>
    <w:rsid w:val="0B38653C"/>
    <w:rsid w:val="0B3F14D4"/>
    <w:rsid w:val="0B472137"/>
    <w:rsid w:val="0B4765DB"/>
    <w:rsid w:val="0B4A77E4"/>
    <w:rsid w:val="0B5036E2"/>
    <w:rsid w:val="0B50723E"/>
    <w:rsid w:val="0B5331D2"/>
    <w:rsid w:val="0B534F80"/>
    <w:rsid w:val="0B550CF8"/>
    <w:rsid w:val="0B5D195B"/>
    <w:rsid w:val="0B5F56D3"/>
    <w:rsid w:val="0B604D13"/>
    <w:rsid w:val="0B62680B"/>
    <w:rsid w:val="0B666A61"/>
    <w:rsid w:val="0B67195D"/>
    <w:rsid w:val="0B6E3B68"/>
    <w:rsid w:val="0B6E5916"/>
    <w:rsid w:val="0B721DD7"/>
    <w:rsid w:val="0B754EF6"/>
    <w:rsid w:val="0B8217EE"/>
    <w:rsid w:val="0B825543"/>
    <w:rsid w:val="0B892750"/>
    <w:rsid w:val="0B8B296C"/>
    <w:rsid w:val="0B925AA8"/>
    <w:rsid w:val="0B9A495D"/>
    <w:rsid w:val="0B9D4CB5"/>
    <w:rsid w:val="0B9F01C5"/>
    <w:rsid w:val="0B9F0A75"/>
    <w:rsid w:val="0B9F1F73"/>
    <w:rsid w:val="0BA13636"/>
    <w:rsid w:val="0BA35B59"/>
    <w:rsid w:val="0BAE21B6"/>
    <w:rsid w:val="0BB023D2"/>
    <w:rsid w:val="0BB43C70"/>
    <w:rsid w:val="0BB93035"/>
    <w:rsid w:val="0BBA0B5B"/>
    <w:rsid w:val="0BBE4AEF"/>
    <w:rsid w:val="0BC11EE9"/>
    <w:rsid w:val="0BC27A27"/>
    <w:rsid w:val="0BC55E7E"/>
    <w:rsid w:val="0BC56019"/>
    <w:rsid w:val="0BC867E1"/>
    <w:rsid w:val="0BCB2D68"/>
    <w:rsid w:val="0BCE4606"/>
    <w:rsid w:val="0BD460C1"/>
    <w:rsid w:val="0BDE2A9B"/>
    <w:rsid w:val="0BE1433A"/>
    <w:rsid w:val="0BE34556"/>
    <w:rsid w:val="0BEB51B8"/>
    <w:rsid w:val="0BF202F5"/>
    <w:rsid w:val="0BF24799"/>
    <w:rsid w:val="0BF57DE5"/>
    <w:rsid w:val="0BFA364D"/>
    <w:rsid w:val="0BFE4EEC"/>
    <w:rsid w:val="0C012C2E"/>
    <w:rsid w:val="0C05627A"/>
    <w:rsid w:val="0C083FBC"/>
    <w:rsid w:val="0C0B13B7"/>
    <w:rsid w:val="0C0B7058"/>
    <w:rsid w:val="0C0D512F"/>
    <w:rsid w:val="0C120997"/>
    <w:rsid w:val="0C14601D"/>
    <w:rsid w:val="0C1F4E62"/>
    <w:rsid w:val="0C22507E"/>
    <w:rsid w:val="0C230DF6"/>
    <w:rsid w:val="0C25691C"/>
    <w:rsid w:val="0C281F69"/>
    <w:rsid w:val="0C28640C"/>
    <w:rsid w:val="0C2F32F7"/>
    <w:rsid w:val="0C302998"/>
    <w:rsid w:val="0C322DE7"/>
    <w:rsid w:val="0C326EE1"/>
    <w:rsid w:val="0C3703FE"/>
    <w:rsid w:val="0C3721AC"/>
    <w:rsid w:val="0C526FE5"/>
    <w:rsid w:val="0C566AD6"/>
    <w:rsid w:val="0C5B233E"/>
    <w:rsid w:val="0C5B40EC"/>
    <w:rsid w:val="0C61547A"/>
    <w:rsid w:val="0C686809"/>
    <w:rsid w:val="0C6C00A7"/>
    <w:rsid w:val="0C6E02C3"/>
    <w:rsid w:val="0C6F5DE9"/>
    <w:rsid w:val="0C6F7B97"/>
    <w:rsid w:val="0C760F26"/>
    <w:rsid w:val="0C7E602C"/>
    <w:rsid w:val="0C800BFC"/>
    <w:rsid w:val="0C8105BA"/>
    <w:rsid w:val="0C8373CF"/>
    <w:rsid w:val="0C880C59"/>
    <w:rsid w:val="0C8A49D1"/>
    <w:rsid w:val="0C8A677F"/>
    <w:rsid w:val="0C8F023A"/>
    <w:rsid w:val="0C923886"/>
    <w:rsid w:val="0C931AD8"/>
    <w:rsid w:val="0C9475FE"/>
    <w:rsid w:val="0C992E66"/>
    <w:rsid w:val="0C9E3391"/>
    <w:rsid w:val="0CA23AC9"/>
    <w:rsid w:val="0CA57A5D"/>
    <w:rsid w:val="0CA736D4"/>
    <w:rsid w:val="0CA8181A"/>
    <w:rsid w:val="0CA91BE5"/>
    <w:rsid w:val="0CAA5073"/>
    <w:rsid w:val="0CAA6E21"/>
    <w:rsid w:val="0CAD246E"/>
    <w:rsid w:val="0CB41A4E"/>
    <w:rsid w:val="0CB7565D"/>
    <w:rsid w:val="0CB75F90"/>
    <w:rsid w:val="0CB97065"/>
    <w:rsid w:val="0CBD4DA7"/>
    <w:rsid w:val="0CBE467B"/>
    <w:rsid w:val="0CC003F3"/>
    <w:rsid w:val="0CC04897"/>
    <w:rsid w:val="0CC223BD"/>
    <w:rsid w:val="0CC51EAD"/>
    <w:rsid w:val="0CC954FA"/>
    <w:rsid w:val="0CCC4FEA"/>
    <w:rsid w:val="0CD04679"/>
    <w:rsid w:val="0CD520F0"/>
    <w:rsid w:val="0CD619C5"/>
    <w:rsid w:val="0CD93263"/>
    <w:rsid w:val="0CE642FD"/>
    <w:rsid w:val="0CE71E24"/>
    <w:rsid w:val="0CE769BD"/>
    <w:rsid w:val="0CE916F8"/>
    <w:rsid w:val="0CEC489A"/>
    <w:rsid w:val="0CF602B9"/>
    <w:rsid w:val="0CFA1B57"/>
    <w:rsid w:val="0CFB767D"/>
    <w:rsid w:val="0CFF1DBD"/>
    <w:rsid w:val="0D003EE5"/>
    <w:rsid w:val="0D0429D6"/>
    <w:rsid w:val="0D044784"/>
    <w:rsid w:val="0D0504FC"/>
    <w:rsid w:val="0D0C53E6"/>
    <w:rsid w:val="0D0E73B0"/>
    <w:rsid w:val="0D0F4ED6"/>
    <w:rsid w:val="0D1349C7"/>
    <w:rsid w:val="0D1424ED"/>
    <w:rsid w:val="0D15073F"/>
    <w:rsid w:val="0D193ECE"/>
    <w:rsid w:val="0D1B387B"/>
    <w:rsid w:val="0D1D1C55"/>
    <w:rsid w:val="0D1D75F3"/>
    <w:rsid w:val="0D2546FA"/>
    <w:rsid w:val="0D26294C"/>
    <w:rsid w:val="0D26534E"/>
    <w:rsid w:val="0D2D431B"/>
    <w:rsid w:val="0D330BC5"/>
    <w:rsid w:val="0D35493D"/>
    <w:rsid w:val="0D3A01A5"/>
    <w:rsid w:val="0D3D37F2"/>
    <w:rsid w:val="0D4234FE"/>
    <w:rsid w:val="0D4252AC"/>
    <w:rsid w:val="0D4335E4"/>
    <w:rsid w:val="0D45322F"/>
    <w:rsid w:val="0D47559B"/>
    <w:rsid w:val="0D554727"/>
    <w:rsid w:val="0D554FDF"/>
    <w:rsid w:val="0D570D57"/>
    <w:rsid w:val="0D5D20E6"/>
    <w:rsid w:val="0D5D3E94"/>
    <w:rsid w:val="0D6276FC"/>
    <w:rsid w:val="0D646FD0"/>
    <w:rsid w:val="0D656B32"/>
    <w:rsid w:val="0D6A16EC"/>
    <w:rsid w:val="0D6C2329"/>
    <w:rsid w:val="0D7116ED"/>
    <w:rsid w:val="0D75742F"/>
    <w:rsid w:val="0D786F20"/>
    <w:rsid w:val="0D7B4B15"/>
    <w:rsid w:val="0D86163D"/>
    <w:rsid w:val="0D8D4779"/>
    <w:rsid w:val="0D927FE1"/>
    <w:rsid w:val="0D932E3E"/>
    <w:rsid w:val="0D933D59"/>
    <w:rsid w:val="0D9518A9"/>
    <w:rsid w:val="0D95362E"/>
    <w:rsid w:val="0D9556AF"/>
    <w:rsid w:val="0DA10224"/>
    <w:rsid w:val="0DA25208"/>
    <w:rsid w:val="0DA30F06"/>
    <w:rsid w:val="0DA41AC3"/>
    <w:rsid w:val="0DA63A8D"/>
    <w:rsid w:val="0DA815B3"/>
    <w:rsid w:val="0DA87805"/>
    <w:rsid w:val="0DAB10A3"/>
    <w:rsid w:val="0DAC1CF7"/>
    <w:rsid w:val="0DB00467"/>
    <w:rsid w:val="0DBA12E6"/>
    <w:rsid w:val="0DBE0DD6"/>
    <w:rsid w:val="0DC108C7"/>
    <w:rsid w:val="0DC45CC1"/>
    <w:rsid w:val="0DC61A39"/>
    <w:rsid w:val="0DC83A03"/>
    <w:rsid w:val="0DC932D7"/>
    <w:rsid w:val="0DCD1019"/>
    <w:rsid w:val="0DD028B8"/>
    <w:rsid w:val="0DD203DE"/>
    <w:rsid w:val="0DD22490"/>
    <w:rsid w:val="0DD51C7C"/>
    <w:rsid w:val="0DD8176C"/>
    <w:rsid w:val="0DDA3736"/>
    <w:rsid w:val="0DDA54E4"/>
    <w:rsid w:val="0DDD6D83"/>
    <w:rsid w:val="0DE325EB"/>
    <w:rsid w:val="0DE64201"/>
    <w:rsid w:val="0DED16BC"/>
    <w:rsid w:val="0DEE4BEB"/>
    <w:rsid w:val="0DEF71E2"/>
    <w:rsid w:val="0DF50570"/>
    <w:rsid w:val="0DF90060"/>
    <w:rsid w:val="0DFA7935"/>
    <w:rsid w:val="0E042561"/>
    <w:rsid w:val="0E05676B"/>
    <w:rsid w:val="0E0A5DCA"/>
    <w:rsid w:val="0E0C54D3"/>
    <w:rsid w:val="0E124C7E"/>
    <w:rsid w:val="0E131B7F"/>
    <w:rsid w:val="0E1F1F55"/>
    <w:rsid w:val="0E214EC1"/>
    <w:rsid w:val="0E220142"/>
    <w:rsid w:val="0E2844A2"/>
    <w:rsid w:val="0E286250"/>
    <w:rsid w:val="0E2B5D40"/>
    <w:rsid w:val="0E2F5830"/>
    <w:rsid w:val="0E325320"/>
    <w:rsid w:val="0E344BF5"/>
    <w:rsid w:val="0E363E45"/>
    <w:rsid w:val="0E364E11"/>
    <w:rsid w:val="0E39045D"/>
    <w:rsid w:val="0E3A41D5"/>
    <w:rsid w:val="0E4137B5"/>
    <w:rsid w:val="0E4709F3"/>
    <w:rsid w:val="0E4A266A"/>
    <w:rsid w:val="0E4F5ED2"/>
    <w:rsid w:val="0E527771"/>
    <w:rsid w:val="0E545297"/>
    <w:rsid w:val="0E567261"/>
    <w:rsid w:val="0E5B4877"/>
    <w:rsid w:val="0E5E7EC3"/>
    <w:rsid w:val="0E6574A4"/>
    <w:rsid w:val="0E682AF0"/>
    <w:rsid w:val="0E6B438E"/>
    <w:rsid w:val="0E6E3B77"/>
    <w:rsid w:val="0E764FB5"/>
    <w:rsid w:val="0E785492"/>
    <w:rsid w:val="0E7E2314"/>
    <w:rsid w:val="0E7E40C2"/>
    <w:rsid w:val="0E7F7B0E"/>
    <w:rsid w:val="0E8042DE"/>
    <w:rsid w:val="0E80608C"/>
    <w:rsid w:val="0E855450"/>
    <w:rsid w:val="0E8A2A67"/>
    <w:rsid w:val="0E9110E4"/>
    <w:rsid w:val="0E9733D5"/>
    <w:rsid w:val="0E9E0FD3"/>
    <w:rsid w:val="0EA15999"/>
    <w:rsid w:val="0EA63FB9"/>
    <w:rsid w:val="0EB21FBD"/>
    <w:rsid w:val="0EB339EC"/>
    <w:rsid w:val="0EBB70C4"/>
    <w:rsid w:val="0EBD2E3C"/>
    <w:rsid w:val="0EBD766F"/>
    <w:rsid w:val="0EBF4348"/>
    <w:rsid w:val="0EC046DA"/>
    <w:rsid w:val="0EC5195B"/>
    <w:rsid w:val="0EC943FA"/>
    <w:rsid w:val="0EC95F88"/>
    <w:rsid w:val="0ECE5049"/>
    <w:rsid w:val="0ECF2B6F"/>
    <w:rsid w:val="0ED14B39"/>
    <w:rsid w:val="0ED25206"/>
    <w:rsid w:val="0ED63EFE"/>
    <w:rsid w:val="0EDB1514"/>
    <w:rsid w:val="0EDB7766"/>
    <w:rsid w:val="0EE04D7C"/>
    <w:rsid w:val="0EE26D46"/>
    <w:rsid w:val="0EE303C9"/>
    <w:rsid w:val="0EE4486D"/>
    <w:rsid w:val="0EF76DEA"/>
    <w:rsid w:val="0EFD76DC"/>
    <w:rsid w:val="0EFF16A6"/>
    <w:rsid w:val="0F032819"/>
    <w:rsid w:val="0F0A004B"/>
    <w:rsid w:val="0F0B511E"/>
    <w:rsid w:val="0F0F11BE"/>
    <w:rsid w:val="0F113228"/>
    <w:rsid w:val="0F13752F"/>
    <w:rsid w:val="0F16254C"/>
    <w:rsid w:val="0F1A64E0"/>
    <w:rsid w:val="0F1D38DB"/>
    <w:rsid w:val="0F234C69"/>
    <w:rsid w:val="0F242EBB"/>
    <w:rsid w:val="0F2A3732"/>
    <w:rsid w:val="0F2A424A"/>
    <w:rsid w:val="0F2E3D3A"/>
    <w:rsid w:val="0F323A42"/>
    <w:rsid w:val="0F35020D"/>
    <w:rsid w:val="0F357193"/>
    <w:rsid w:val="0F362BEE"/>
    <w:rsid w:val="0F384BB8"/>
    <w:rsid w:val="0F3C1042"/>
    <w:rsid w:val="0F416FCA"/>
    <w:rsid w:val="0F44530B"/>
    <w:rsid w:val="0F4946D0"/>
    <w:rsid w:val="0F4C5F6E"/>
    <w:rsid w:val="0F560A3C"/>
    <w:rsid w:val="0F59002D"/>
    <w:rsid w:val="0F5A68DD"/>
    <w:rsid w:val="0F5D63CD"/>
    <w:rsid w:val="0F655282"/>
    <w:rsid w:val="0F6557D8"/>
    <w:rsid w:val="0F661726"/>
    <w:rsid w:val="0F67724C"/>
    <w:rsid w:val="0F6A2898"/>
    <w:rsid w:val="0F6B6D3C"/>
    <w:rsid w:val="0F6C03BE"/>
    <w:rsid w:val="0F6C4862"/>
    <w:rsid w:val="0F735BF1"/>
    <w:rsid w:val="0F73799F"/>
    <w:rsid w:val="0F7F6343"/>
    <w:rsid w:val="0F8C0A60"/>
    <w:rsid w:val="0F8C6CB2"/>
    <w:rsid w:val="0F9022FF"/>
    <w:rsid w:val="0F904AC3"/>
    <w:rsid w:val="0F917E25"/>
    <w:rsid w:val="0F922CA9"/>
    <w:rsid w:val="0F931DEF"/>
    <w:rsid w:val="0F933B9D"/>
    <w:rsid w:val="0F955B67"/>
    <w:rsid w:val="0F957915"/>
    <w:rsid w:val="0F9718DF"/>
    <w:rsid w:val="0F987405"/>
    <w:rsid w:val="0F9A317D"/>
    <w:rsid w:val="0F9A4F2B"/>
    <w:rsid w:val="0FA364D6"/>
    <w:rsid w:val="0FA45DAA"/>
    <w:rsid w:val="0FA61B22"/>
    <w:rsid w:val="0FA7589A"/>
    <w:rsid w:val="0FA83AEC"/>
    <w:rsid w:val="0FAB7138"/>
    <w:rsid w:val="0FAC7A72"/>
    <w:rsid w:val="0FAE474E"/>
    <w:rsid w:val="0FB55897"/>
    <w:rsid w:val="0FB57FB7"/>
    <w:rsid w:val="0FB71F81"/>
    <w:rsid w:val="0FBA55CD"/>
    <w:rsid w:val="0FBC1346"/>
    <w:rsid w:val="0FC7596C"/>
    <w:rsid w:val="0FCB1589"/>
    <w:rsid w:val="0FD348E1"/>
    <w:rsid w:val="0FD61CDB"/>
    <w:rsid w:val="0FD80032"/>
    <w:rsid w:val="0FD83CA6"/>
    <w:rsid w:val="0FD90499"/>
    <w:rsid w:val="0FD91EF8"/>
    <w:rsid w:val="0FE32720"/>
    <w:rsid w:val="0FE5141F"/>
    <w:rsid w:val="0FE8213B"/>
    <w:rsid w:val="0FE91A0F"/>
    <w:rsid w:val="0FEE34C9"/>
    <w:rsid w:val="0FEE51C5"/>
    <w:rsid w:val="0FEE5277"/>
    <w:rsid w:val="0FF1685D"/>
    <w:rsid w:val="0FF7412C"/>
    <w:rsid w:val="0FF86EDD"/>
    <w:rsid w:val="0FF94348"/>
    <w:rsid w:val="0FFA00C0"/>
    <w:rsid w:val="0FFF1232"/>
    <w:rsid w:val="0FFF56D6"/>
    <w:rsid w:val="10030D22"/>
    <w:rsid w:val="100827DD"/>
    <w:rsid w:val="1008428F"/>
    <w:rsid w:val="100A5D2D"/>
    <w:rsid w:val="100B5E29"/>
    <w:rsid w:val="100F2C9E"/>
    <w:rsid w:val="100F5919"/>
    <w:rsid w:val="101051ED"/>
    <w:rsid w:val="10125409"/>
    <w:rsid w:val="10134CDE"/>
    <w:rsid w:val="10141182"/>
    <w:rsid w:val="1017657C"/>
    <w:rsid w:val="10196798"/>
    <w:rsid w:val="101F3682"/>
    <w:rsid w:val="102858E0"/>
    <w:rsid w:val="102B0279"/>
    <w:rsid w:val="102B2027"/>
    <w:rsid w:val="102E1B18"/>
    <w:rsid w:val="102F7D69"/>
    <w:rsid w:val="1030763E"/>
    <w:rsid w:val="10390BE8"/>
    <w:rsid w:val="103C4234"/>
    <w:rsid w:val="103F3D25"/>
    <w:rsid w:val="10401F77"/>
    <w:rsid w:val="1045133B"/>
    <w:rsid w:val="10455D10"/>
    <w:rsid w:val="104F3F68"/>
    <w:rsid w:val="10524A9C"/>
    <w:rsid w:val="105A290D"/>
    <w:rsid w:val="105B0B5E"/>
    <w:rsid w:val="105D4A4A"/>
    <w:rsid w:val="10635C65"/>
    <w:rsid w:val="10686DD7"/>
    <w:rsid w:val="106D43EE"/>
    <w:rsid w:val="10725EA8"/>
    <w:rsid w:val="10765998"/>
    <w:rsid w:val="107E2A9F"/>
    <w:rsid w:val="107E5C25"/>
    <w:rsid w:val="107F037A"/>
    <w:rsid w:val="108300B5"/>
    <w:rsid w:val="10861954"/>
    <w:rsid w:val="10886A12"/>
    <w:rsid w:val="108A1444"/>
    <w:rsid w:val="1090632E"/>
    <w:rsid w:val="109800DF"/>
    <w:rsid w:val="10993435"/>
    <w:rsid w:val="109951E3"/>
    <w:rsid w:val="109B71AD"/>
    <w:rsid w:val="109D1177"/>
    <w:rsid w:val="10A342B4"/>
    <w:rsid w:val="10A36062"/>
    <w:rsid w:val="10AC13BA"/>
    <w:rsid w:val="10B22749"/>
    <w:rsid w:val="10B47313"/>
    <w:rsid w:val="10B77D5F"/>
    <w:rsid w:val="10B85FB1"/>
    <w:rsid w:val="10BC5375"/>
    <w:rsid w:val="10BE10ED"/>
    <w:rsid w:val="10C1473A"/>
    <w:rsid w:val="10C2298C"/>
    <w:rsid w:val="10C77FA2"/>
    <w:rsid w:val="10CC55B8"/>
    <w:rsid w:val="10CE7EBA"/>
    <w:rsid w:val="10D053AB"/>
    <w:rsid w:val="10DE353E"/>
    <w:rsid w:val="10DF14D4"/>
    <w:rsid w:val="10E548CC"/>
    <w:rsid w:val="10E5667A"/>
    <w:rsid w:val="10E70644"/>
    <w:rsid w:val="10E73A5A"/>
    <w:rsid w:val="10E943BC"/>
    <w:rsid w:val="10EA5A3E"/>
    <w:rsid w:val="10EF74F9"/>
    <w:rsid w:val="10FB40F0"/>
    <w:rsid w:val="11020FDA"/>
    <w:rsid w:val="11082369"/>
    <w:rsid w:val="1109680C"/>
    <w:rsid w:val="11107C6D"/>
    <w:rsid w:val="111156C1"/>
    <w:rsid w:val="111451B1"/>
    <w:rsid w:val="11160F29"/>
    <w:rsid w:val="111807FE"/>
    <w:rsid w:val="11196324"/>
    <w:rsid w:val="111B02EE"/>
    <w:rsid w:val="111F62D1"/>
    <w:rsid w:val="111F7DDE"/>
    <w:rsid w:val="11256A23"/>
    <w:rsid w:val="112847B9"/>
    <w:rsid w:val="11292A0B"/>
    <w:rsid w:val="112A6783"/>
    <w:rsid w:val="113849FC"/>
    <w:rsid w:val="114333A1"/>
    <w:rsid w:val="114A472F"/>
    <w:rsid w:val="114E2471"/>
    <w:rsid w:val="11515ABE"/>
    <w:rsid w:val="11567578"/>
    <w:rsid w:val="115D4462"/>
    <w:rsid w:val="116021A5"/>
    <w:rsid w:val="11616342"/>
    <w:rsid w:val="116364D9"/>
    <w:rsid w:val="11641C95"/>
    <w:rsid w:val="11684816"/>
    <w:rsid w:val="116F23E8"/>
    <w:rsid w:val="11733C86"/>
    <w:rsid w:val="117B0D8C"/>
    <w:rsid w:val="117B6FDE"/>
    <w:rsid w:val="117D68B3"/>
    <w:rsid w:val="11800151"/>
    <w:rsid w:val="1182211B"/>
    <w:rsid w:val="11845E93"/>
    <w:rsid w:val="11867E5D"/>
    <w:rsid w:val="11873FA9"/>
    <w:rsid w:val="11880A5B"/>
    <w:rsid w:val="118B7221"/>
    <w:rsid w:val="118C09AC"/>
    <w:rsid w:val="119105B0"/>
    <w:rsid w:val="1191235E"/>
    <w:rsid w:val="1193257A"/>
    <w:rsid w:val="1196025A"/>
    <w:rsid w:val="11AE1162"/>
    <w:rsid w:val="11B30526"/>
    <w:rsid w:val="11B322D4"/>
    <w:rsid w:val="11B57176"/>
    <w:rsid w:val="11B80067"/>
    <w:rsid w:val="11B85B3D"/>
    <w:rsid w:val="11BA3663"/>
    <w:rsid w:val="11BC11D9"/>
    <w:rsid w:val="11BD3153"/>
    <w:rsid w:val="11C12C43"/>
    <w:rsid w:val="11CE2534"/>
    <w:rsid w:val="11D010D8"/>
    <w:rsid w:val="11D34725"/>
    <w:rsid w:val="11DD55A3"/>
    <w:rsid w:val="11DF30C9"/>
    <w:rsid w:val="11E132E5"/>
    <w:rsid w:val="11E22BBA"/>
    <w:rsid w:val="11E84674"/>
    <w:rsid w:val="11ED7EFB"/>
    <w:rsid w:val="11EE5A02"/>
    <w:rsid w:val="11F0177A"/>
    <w:rsid w:val="11F456DF"/>
    <w:rsid w:val="11FC16CF"/>
    <w:rsid w:val="120174E4"/>
    <w:rsid w:val="12064AFA"/>
    <w:rsid w:val="120726C5"/>
    <w:rsid w:val="120863A3"/>
    <w:rsid w:val="120B0362"/>
    <w:rsid w:val="120E1C01"/>
    <w:rsid w:val="12135469"/>
    <w:rsid w:val="1218482D"/>
    <w:rsid w:val="1222745A"/>
    <w:rsid w:val="12244F80"/>
    <w:rsid w:val="12266F4A"/>
    <w:rsid w:val="12296A3A"/>
    <w:rsid w:val="122A4C8C"/>
    <w:rsid w:val="122D6FB1"/>
    <w:rsid w:val="122E5DFF"/>
    <w:rsid w:val="12307DC9"/>
    <w:rsid w:val="12353631"/>
    <w:rsid w:val="12394ECF"/>
    <w:rsid w:val="123A29F6"/>
    <w:rsid w:val="123F1DBA"/>
    <w:rsid w:val="12413D84"/>
    <w:rsid w:val="124B075F"/>
    <w:rsid w:val="124D44D7"/>
    <w:rsid w:val="125221EA"/>
    <w:rsid w:val="12575356"/>
    <w:rsid w:val="12577104"/>
    <w:rsid w:val="12597320"/>
    <w:rsid w:val="125A4E46"/>
    <w:rsid w:val="125C296C"/>
    <w:rsid w:val="12641821"/>
    <w:rsid w:val="12647A72"/>
    <w:rsid w:val="126857B5"/>
    <w:rsid w:val="12687563"/>
    <w:rsid w:val="126B2BAF"/>
    <w:rsid w:val="126D6927"/>
    <w:rsid w:val="1270599F"/>
    <w:rsid w:val="12745F08"/>
    <w:rsid w:val="12753A2E"/>
    <w:rsid w:val="12771554"/>
    <w:rsid w:val="127777A6"/>
    <w:rsid w:val="12787329"/>
    <w:rsid w:val="127C2B10"/>
    <w:rsid w:val="127D7C27"/>
    <w:rsid w:val="12811179"/>
    <w:rsid w:val="128D0E5D"/>
    <w:rsid w:val="128F4AEF"/>
    <w:rsid w:val="12977E48"/>
    <w:rsid w:val="129860A1"/>
    <w:rsid w:val="129B16E6"/>
    <w:rsid w:val="129E4D32"/>
    <w:rsid w:val="12A10786"/>
    <w:rsid w:val="12A165D1"/>
    <w:rsid w:val="12A367ED"/>
    <w:rsid w:val="12A61E39"/>
    <w:rsid w:val="12AB56A1"/>
    <w:rsid w:val="12AE1C09"/>
    <w:rsid w:val="12B04A66"/>
    <w:rsid w:val="12BB3B36"/>
    <w:rsid w:val="12BC78AF"/>
    <w:rsid w:val="12C22A5C"/>
    <w:rsid w:val="12C80001"/>
    <w:rsid w:val="12CA3D79"/>
    <w:rsid w:val="12CC371E"/>
    <w:rsid w:val="12D12649"/>
    <w:rsid w:val="12D13E8A"/>
    <w:rsid w:val="12D30D89"/>
    <w:rsid w:val="12D6271E"/>
    <w:rsid w:val="12D76496"/>
    <w:rsid w:val="12DB5F87"/>
    <w:rsid w:val="12DC3AAD"/>
    <w:rsid w:val="12E0359D"/>
    <w:rsid w:val="12E50BB3"/>
    <w:rsid w:val="12E51861"/>
    <w:rsid w:val="12E60488"/>
    <w:rsid w:val="12EA7F78"/>
    <w:rsid w:val="12EB3CF0"/>
    <w:rsid w:val="12EC0194"/>
    <w:rsid w:val="12EC45DE"/>
    <w:rsid w:val="12ED1816"/>
    <w:rsid w:val="12F645FA"/>
    <w:rsid w:val="12FA732D"/>
    <w:rsid w:val="12FD414F"/>
    <w:rsid w:val="12FE3A23"/>
    <w:rsid w:val="13031039"/>
    <w:rsid w:val="130B4B50"/>
    <w:rsid w:val="130C6140"/>
    <w:rsid w:val="130C6DAE"/>
    <w:rsid w:val="130D3C66"/>
    <w:rsid w:val="130E7491"/>
    <w:rsid w:val="131301A0"/>
    <w:rsid w:val="131563D7"/>
    <w:rsid w:val="131C5AD5"/>
    <w:rsid w:val="13207E3D"/>
    <w:rsid w:val="1324792E"/>
    <w:rsid w:val="13250FB0"/>
    <w:rsid w:val="132536A6"/>
    <w:rsid w:val="13294F44"/>
    <w:rsid w:val="132A2A6A"/>
    <w:rsid w:val="132C233E"/>
    <w:rsid w:val="132D142D"/>
    <w:rsid w:val="132D4308"/>
    <w:rsid w:val="132D60B6"/>
    <w:rsid w:val="133451EC"/>
    <w:rsid w:val="13390EFF"/>
    <w:rsid w:val="13392CAD"/>
    <w:rsid w:val="13397659"/>
    <w:rsid w:val="133A39AD"/>
    <w:rsid w:val="133E6515"/>
    <w:rsid w:val="13451652"/>
    <w:rsid w:val="134578B2"/>
    <w:rsid w:val="1347361C"/>
    <w:rsid w:val="13491142"/>
    <w:rsid w:val="135049C5"/>
    <w:rsid w:val="1351449B"/>
    <w:rsid w:val="135875D7"/>
    <w:rsid w:val="135A2436"/>
    <w:rsid w:val="135A334F"/>
    <w:rsid w:val="135E2714"/>
    <w:rsid w:val="136046DE"/>
    <w:rsid w:val="1360648C"/>
    <w:rsid w:val="13620456"/>
    <w:rsid w:val="13625927"/>
    <w:rsid w:val="13637D2A"/>
    <w:rsid w:val="1364545A"/>
    <w:rsid w:val="13651CF4"/>
    <w:rsid w:val="13685340"/>
    <w:rsid w:val="136862D6"/>
    <w:rsid w:val="136A1DB2"/>
    <w:rsid w:val="136A2E67"/>
    <w:rsid w:val="13702B73"/>
    <w:rsid w:val="137361BF"/>
    <w:rsid w:val="13750189"/>
    <w:rsid w:val="13767A5D"/>
    <w:rsid w:val="13781A27"/>
    <w:rsid w:val="137B5074"/>
    <w:rsid w:val="137D0DEC"/>
    <w:rsid w:val="137D703E"/>
    <w:rsid w:val="13824654"/>
    <w:rsid w:val="13857CA0"/>
    <w:rsid w:val="13881F85"/>
    <w:rsid w:val="138A3509"/>
    <w:rsid w:val="138C7281"/>
    <w:rsid w:val="13961EAE"/>
    <w:rsid w:val="13983E78"/>
    <w:rsid w:val="139879D4"/>
    <w:rsid w:val="139A199E"/>
    <w:rsid w:val="139E0D62"/>
    <w:rsid w:val="13A20852"/>
    <w:rsid w:val="13A740BB"/>
    <w:rsid w:val="13A91BE1"/>
    <w:rsid w:val="13AA41D4"/>
    <w:rsid w:val="13AE3CA0"/>
    <w:rsid w:val="13B16CE7"/>
    <w:rsid w:val="13B32A60"/>
    <w:rsid w:val="13B80076"/>
    <w:rsid w:val="13B81E24"/>
    <w:rsid w:val="13BB0D5B"/>
    <w:rsid w:val="13BC5DB8"/>
    <w:rsid w:val="13C7650B"/>
    <w:rsid w:val="13C92283"/>
    <w:rsid w:val="13CB5FFB"/>
    <w:rsid w:val="13D34EB0"/>
    <w:rsid w:val="13D50C28"/>
    <w:rsid w:val="13DA4490"/>
    <w:rsid w:val="13DC1FB6"/>
    <w:rsid w:val="13DF1AA7"/>
    <w:rsid w:val="13DF3855"/>
    <w:rsid w:val="13DF6064"/>
    <w:rsid w:val="13E2656E"/>
    <w:rsid w:val="13E45907"/>
    <w:rsid w:val="13E459C0"/>
    <w:rsid w:val="13E62E35"/>
    <w:rsid w:val="13E64CA8"/>
    <w:rsid w:val="13E7095B"/>
    <w:rsid w:val="13E72709"/>
    <w:rsid w:val="13E9022F"/>
    <w:rsid w:val="13F54E26"/>
    <w:rsid w:val="13FA54C2"/>
    <w:rsid w:val="13FD1F2D"/>
    <w:rsid w:val="13FF5CA5"/>
    <w:rsid w:val="14027543"/>
    <w:rsid w:val="14061B50"/>
    <w:rsid w:val="14092680"/>
    <w:rsid w:val="14103A0E"/>
    <w:rsid w:val="14131750"/>
    <w:rsid w:val="141A2ADF"/>
    <w:rsid w:val="141C0605"/>
    <w:rsid w:val="141F00F5"/>
    <w:rsid w:val="14276FAA"/>
    <w:rsid w:val="14290F74"/>
    <w:rsid w:val="142C4EE7"/>
    <w:rsid w:val="142D2812"/>
    <w:rsid w:val="142E0338"/>
    <w:rsid w:val="14302302"/>
    <w:rsid w:val="1433594E"/>
    <w:rsid w:val="143663C0"/>
    <w:rsid w:val="14380DB8"/>
    <w:rsid w:val="143F2545"/>
    <w:rsid w:val="144A73C1"/>
    <w:rsid w:val="144B713C"/>
    <w:rsid w:val="144E2788"/>
    <w:rsid w:val="145002AE"/>
    <w:rsid w:val="145021BC"/>
    <w:rsid w:val="14546E50"/>
    <w:rsid w:val="1457163D"/>
    <w:rsid w:val="14575AE1"/>
    <w:rsid w:val="14593607"/>
    <w:rsid w:val="145A2EDB"/>
    <w:rsid w:val="145F4995"/>
    <w:rsid w:val="14627FE2"/>
    <w:rsid w:val="14665D24"/>
    <w:rsid w:val="146855F8"/>
    <w:rsid w:val="14697BE6"/>
    <w:rsid w:val="146F2E2A"/>
    <w:rsid w:val="14773A8D"/>
    <w:rsid w:val="147C5547"/>
    <w:rsid w:val="147D6BCA"/>
    <w:rsid w:val="147E306D"/>
    <w:rsid w:val="147E4E1C"/>
    <w:rsid w:val="148011A5"/>
    <w:rsid w:val="14803152"/>
    <w:rsid w:val="14812B5E"/>
    <w:rsid w:val="1481490C"/>
    <w:rsid w:val="14887A48"/>
    <w:rsid w:val="14891A12"/>
    <w:rsid w:val="148C6A0C"/>
    <w:rsid w:val="14972381"/>
    <w:rsid w:val="14991C55"/>
    <w:rsid w:val="14997EA7"/>
    <w:rsid w:val="149A777C"/>
    <w:rsid w:val="149E39D6"/>
    <w:rsid w:val="149E726C"/>
    <w:rsid w:val="14A30D26"/>
    <w:rsid w:val="14AB1989"/>
    <w:rsid w:val="14B06F9F"/>
    <w:rsid w:val="14B079E1"/>
    <w:rsid w:val="14B22D17"/>
    <w:rsid w:val="14BE16BC"/>
    <w:rsid w:val="14C64A14"/>
    <w:rsid w:val="14C667C2"/>
    <w:rsid w:val="14C80F8E"/>
    <w:rsid w:val="14CA62B3"/>
    <w:rsid w:val="14D233B9"/>
    <w:rsid w:val="14D25167"/>
    <w:rsid w:val="14D26E56"/>
    <w:rsid w:val="14D62EA9"/>
    <w:rsid w:val="14D709D0"/>
    <w:rsid w:val="14D7452C"/>
    <w:rsid w:val="14E227D8"/>
    <w:rsid w:val="14E31122"/>
    <w:rsid w:val="14E76E65"/>
    <w:rsid w:val="14E86739"/>
    <w:rsid w:val="14EA425F"/>
    <w:rsid w:val="14EF1875"/>
    <w:rsid w:val="14EF7AC7"/>
    <w:rsid w:val="14F25809"/>
    <w:rsid w:val="14F71E87"/>
    <w:rsid w:val="14F847EE"/>
    <w:rsid w:val="14F926F4"/>
    <w:rsid w:val="14FA3491"/>
    <w:rsid w:val="14FD46A7"/>
    <w:rsid w:val="14FE2993"/>
    <w:rsid w:val="15015A4D"/>
    <w:rsid w:val="15033573"/>
    <w:rsid w:val="1505553D"/>
    <w:rsid w:val="15064E11"/>
    <w:rsid w:val="15080B89"/>
    <w:rsid w:val="150A2973"/>
    <w:rsid w:val="150D43F1"/>
    <w:rsid w:val="150F1F18"/>
    <w:rsid w:val="1514752E"/>
    <w:rsid w:val="151632A6"/>
    <w:rsid w:val="151E65FF"/>
    <w:rsid w:val="15202377"/>
    <w:rsid w:val="15204125"/>
    <w:rsid w:val="15211C4B"/>
    <w:rsid w:val="152245CA"/>
    <w:rsid w:val="15237771"/>
    <w:rsid w:val="152534E9"/>
    <w:rsid w:val="1527507F"/>
    <w:rsid w:val="1528122B"/>
    <w:rsid w:val="152D0BF2"/>
    <w:rsid w:val="1537321C"/>
    <w:rsid w:val="15397746"/>
    <w:rsid w:val="154871D8"/>
    <w:rsid w:val="155142DE"/>
    <w:rsid w:val="155362A8"/>
    <w:rsid w:val="155913E5"/>
    <w:rsid w:val="1559533D"/>
    <w:rsid w:val="155B4C1B"/>
    <w:rsid w:val="155B6F0B"/>
    <w:rsid w:val="155E2E9F"/>
    <w:rsid w:val="15634714"/>
    <w:rsid w:val="156A53A0"/>
    <w:rsid w:val="156C736A"/>
    <w:rsid w:val="15745D95"/>
    <w:rsid w:val="15761F97"/>
    <w:rsid w:val="157B75AD"/>
    <w:rsid w:val="157C4041"/>
    <w:rsid w:val="1580387E"/>
    <w:rsid w:val="15836462"/>
    <w:rsid w:val="158741A4"/>
    <w:rsid w:val="158F12AA"/>
    <w:rsid w:val="15910B7E"/>
    <w:rsid w:val="15915022"/>
    <w:rsid w:val="159863B1"/>
    <w:rsid w:val="159B7C4F"/>
    <w:rsid w:val="159D7523"/>
    <w:rsid w:val="159E329B"/>
    <w:rsid w:val="15A46B04"/>
    <w:rsid w:val="15A563D8"/>
    <w:rsid w:val="15A85EC8"/>
    <w:rsid w:val="15AC3C0A"/>
    <w:rsid w:val="15AE1730"/>
    <w:rsid w:val="15B11221"/>
    <w:rsid w:val="15B14D7D"/>
    <w:rsid w:val="15B50D11"/>
    <w:rsid w:val="15B605E5"/>
    <w:rsid w:val="15BF393E"/>
    <w:rsid w:val="15C01464"/>
    <w:rsid w:val="15D1137A"/>
    <w:rsid w:val="15D31197"/>
    <w:rsid w:val="15D66ED9"/>
    <w:rsid w:val="15D942D4"/>
    <w:rsid w:val="15DB004C"/>
    <w:rsid w:val="15DB44F0"/>
    <w:rsid w:val="15DD2016"/>
    <w:rsid w:val="15E213DA"/>
    <w:rsid w:val="15E432FC"/>
    <w:rsid w:val="15E9380D"/>
    <w:rsid w:val="15EA64E1"/>
    <w:rsid w:val="15F01D49"/>
    <w:rsid w:val="15F47D31"/>
    <w:rsid w:val="15F506D4"/>
    <w:rsid w:val="15F835FF"/>
    <w:rsid w:val="15F86E50"/>
    <w:rsid w:val="15FC5E3E"/>
    <w:rsid w:val="15FD5E19"/>
    <w:rsid w:val="15FD6214"/>
    <w:rsid w:val="1600491F"/>
    <w:rsid w:val="16061850"/>
    <w:rsid w:val="1606331B"/>
    <w:rsid w:val="160A0D91"/>
    <w:rsid w:val="160B6B83"/>
    <w:rsid w:val="160C3163"/>
    <w:rsid w:val="160E6673"/>
    <w:rsid w:val="16105F47"/>
    <w:rsid w:val="16133262"/>
    <w:rsid w:val="161D0664"/>
    <w:rsid w:val="162419F3"/>
    <w:rsid w:val="1626576B"/>
    <w:rsid w:val="162B0FD3"/>
    <w:rsid w:val="162E461F"/>
    <w:rsid w:val="16300397"/>
    <w:rsid w:val="16302145"/>
    <w:rsid w:val="16337E88"/>
    <w:rsid w:val="163836F0"/>
    <w:rsid w:val="1638549E"/>
    <w:rsid w:val="163C1560"/>
    <w:rsid w:val="164107F7"/>
    <w:rsid w:val="16414353"/>
    <w:rsid w:val="164756E1"/>
    <w:rsid w:val="16486A32"/>
    <w:rsid w:val="164C2D64"/>
    <w:rsid w:val="164D0F49"/>
    <w:rsid w:val="164E4CC1"/>
    <w:rsid w:val="16565924"/>
    <w:rsid w:val="165C118C"/>
    <w:rsid w:val="165C47FA"/>
    <w:rsid w:val="165F2A2B"/>
    <w:rsid w:val="166167A3"/>
    <w:rsid w:val="1662251B"/>
    <w:rsid w:val="166D339A"/>
    <w:rsid w:val="166E0EC0"/>
    <w:rsid w:val="16702E8A"/>
    <w:rsid w:val="167209B0"/>
    <w:rsid w:val="16726C02"/>
    <w:rsid w:val="16777D74"/>
    <w:rsid w:val="16783AEC"/>
    <w:rsid w:val="167C538B"/>
    <w:rsid w:val="167E55A7"/>
    <w:rsid w:val="1686445B"/>
    <w:rsid w:val="16881F81"/>
    <w:rsid w:val="16897AA8"/>
    <w:rsid w:val="168B3820"/>
    <w:rsid w:val="168D22EC"/>
    <w:rsid w:val="168E67A1"/>
    <w:rsid w:val="169326D4"/>
    <w:rsid w:val="1695644C"/>
    <w:rsid w:val="169C77DB"/>
    <w:rsid w:val="169D3553"/>
    <w:rsid w:val="16A11295"/>
    <w:rsid w:val="16A20B69"/>
    <w:rsid w:val="16A42B33"/>
    <w:rsid w:val="16A50D85"/>
    <w:rsid w:val="16A62408"/>
    <w:rsid w:val="16AB2114"/>
    <w:rsid w:val="16AB567B"/>
    <w:rsid w:val="16B03286"/>
    <w:rsid w:val="16BC60CF"/>
    <w:rsid w:val="16BC7E7D"/>
    <w:rsid w:val="16BE1E47"/>
    <w:rsid w:val="16BF796D"/>
    <w:rsid w:val="16C15493"/>
    <w:rsid w:val="16C3745D"/>
    <w:rsid w:val="16C86822"/>
    <w:rsid w:val="16CA07EC"/>
    <w:rsid w:val="16CA259A"/>
    <w:rsid w:val="16D0666A"/>
    <w:rsid w:val="16D2144F"/>
    <w:rsid w:val="16D276A1"/>
    <w:rsid w:val="16D81F63"/>
    <w:rsid w:val="16DB47A7"/>
    <w:rsid w:val="16DD481F"/>
    <w:rsid w:val="16E64EFA"/>
    <w:rsid w:val="16E86EC4"/>
    <w:rsid w:val="16ED6288"/>
    <w:rsid w:val="16EF0253"/>
    <w:rsid w:val="16F07B27"/>
    <w:rsid w:val="16F2389F"/>
    <w:rsid w:val="16F77107"/>
    <w:rsid w:val="16F94C2D"/>
    <w:rsid w:val="16FC64CC"/>
    <w:rsid w:val="170830C2"/>
    <w:rsid w:val="171926EA"/>
    <w:rsid w:val="171F4A71"/>
    <w:rsid w:val="172333F2"/>
    <w:rsid w:val="17285513"/>
    <w:rsid w:val="172A73E9"/>
    <w:rsid w:val="172B4755"/>
    <w:rsid w:val="172C5003"/>
    <w:rsid w:val="173043C7"/>
    <w:rsid w:val="17306175"/>
    <w:rsid w:val="17345C65"/>
    <w:rsid w:val="17346280"/>
    <w:rsid w:val="1735378C"/>
    <w:rsid w:val="17361868"/>
    <w:rsid w:val="173619DD"/>
    <w:rsid w:val="17367C2F"/>
    <w:rsid w:val="174A36DB"/>
    <w:rsid w:val="174B4BAD"/>
    <w:rsid w:val="17514A69"/>
    <w:rsid w:val="17546308"/>
    <w:rsid w:val="17563E2E"/>
    <w:rsid w:val="175D0BBA"/>
    <w:rsid w:val="175E73F2"/>
    <w:rsid w:val="17620A24"/>
    <w:rsid w:val="17642281"/>
    <w:rsid w:val="17687BF2"/>
    <w:rsid w:val="176C3651"/>
    <w:rsid w:val="176E561B"/>
    <w:rsid w:val="176F4EEF"/>
    <w:rsid w:val="17740758"/>
    <w:rsid w:val="17742506"/>
    <w:rsid w:val="1776002C"/>
    <w:rsid w:val="177841EC"/>
    <w:rsid w:val="17793FC0"/>
    <w:rsid w:val="177B1AE6"/>
    <w:rsid w:val="17823BFD"/>
    <w:rsid w:val="17836F1F"/>
    <w:rsid w:val="17871384"/>
    <w:rsid w:val="178A5C56"/>
    <w:rsid w:val="1796247C"/>
    <w:rsid w:val="17991F6C"/>
    <w:rsid w:val="179B5CE4"/>
    <w:rsid w:val="179B60D0"/>
    <w:rsid w:val="179F7F23"/>
    <w:rsid w:val="17AA5F28"/>
    <w:rsid w:val="17AD5A18"/>
    <w:rsid w:val="17AE3C6A"/>
    <w:rsid w:val="17AF79E2"/>
    <w:rsid w:val="17B22C3C"/>
    <w:rsid w:val="17B80644"/>
    <w:rsid w:val="17BE19D3"/>
    <w:rsid w:val="17BE7C25"/>
    <w:rsid w:val="17BF5E77"/>
    <w:rsid w:val="17C36FE9"/>
    <w:rsid w:val="17C50FB3"/>
    <w:rsid w:val="17C52D61"/>
    <w:rsid w:val="17D313E3"/>
    <w:rsid w:val="17D31922"/>
    <w:rsid w:val="17D47448"/>
    <w:rsid w:val="17D66D1D"/>
    <w:rsid w:val="17D7316A"/>
    <w:rsid w:val="17DB74D4"/>
    <w:rsid w:val="17E03056"/>
    <w:rsid w:val="17E23913"/>
    <w:rsid w:val="17E256C1"/>
    <w:rsid w:val="17E346FB"/>
    <w:rsid w:val="17F51899"/>
    <w:rsid w:val="17F65611"/>
    <w:rsid w:val="17F84EE5"/>
    <w:rsid w:val="18041ADC"/>
    <w:rsid w:val="18057602"/>
    <w:rsid w:val="180B6E38"/>
    <w:rsid w:val="180C6BE2"/>
    <w:rsid w:val="180E64B6"/>
    <w:rsid w:val="180F222F"/>
    <w:rsid w:val="181012B9"/>
    <w:rsid w:val="18115FA7"/>
    <w:rsid w:val="18121CCF"/>
    <w:rsid w:val="181426AF"/>
    <w:rsid w:val="18153CE9"/>
    <w:rsid w:val="1816190D"/>
    <w:rsid w:val="181668EE"/>
    <w:rsid w:val="18167A61"/>
    <w:rsid w:val="181A30AD"/>
    <w:rsid w:val="182061EA"/>
    <w:rsid w:val="1821268E"/>
    <w:rsid w:val="18221F62"/>
    <w:rsid w:val="18267CA4"/>
    <w:rsid w:val="18277578"/>
    <w:rsid w:val="183F48C2"/>
    <w:rsid w:val="18422604"/>
    <w:rsid w:val="18467F35"/>
    <w:rsid w:val="18490B2D"/>
    <w:rsid w:val="184B770B"/>
    <w:rsid w:val="184E0FA9"/>
    <w:rsid w:val="18506ACF"/>
    <w:rsid w:val="18512847"/>
    <w:rsid w:val="185A36C3"/>
    <w:rsid w:val="185A794E"/>
    <w:rsid w:val="185D269D"/>
    <w:rsid w:val="18644328"/>
    <w:rsid w:val="186662F2"/>
    <w:rsid w:val="186E51A7"/>
    <w:rsid w:val="18716994"/>
    <w:rsid w:val="187F1162"/>
    <w:rsid w:val="187F44DD"/>
    <w:rsid w:val="1881312C"/>
    <w:rsid w:val="18826EA4"/>
    <w:rsid w:val="18860743"/>
    <w:rsid w:val="18893D8F"/>
    <w:rsid w:val="1889507A"/>
    <w:rsid w:val="188E75F7"/>
    <w:rsid w:val="18910E95"/>
    <w:rsid w:val="18982224"/>
    <w:rsid w:val="189D70F1"/>
    <w:rsid w:val="189E396B"/>
    <w:rsid w:val="18A1557C"/>
    <w:rsid w:val="18A40BC9"/>
    <w:rsid w:val="18AD0013"/>
    <w:rsid w:val="18AE37F5"/>
    <w:rsid w:val="18AE7C99"/>
    <w:rsid w:val="18B51028"/>
    <w:rsid w:val="18B57983"/>
    <w:rsid w:val="18BA663E"/>
    <w:rsid w:val="18BD1C8B"/>
    <w:rsid w:val="18BF1F03"/>
    <w:rsid w:val="18BF3C55"/>
    <w:rsid w:val="18C2334A"/>
    <w:rsid w:val="18C272A1"/>
    <w:rsid w:val="18C94AD3"/>
    <w:rsid w:val="18CB25F9"/>
    <w:rsid w:val="18CD45C3"/>
    <w:rsid w:val="18CE20EA"/>
    <w:rsid w:val="18DC0363"/>
    <w:rsid w:val="18DC65B5"/>
    <w:rsid w:val="18E11E1D"/>
    <w:rsid w:val="18E13BCB"/>
    <w:rsid w:val="18E436BB"/>
    <w:rsid w:val="18E86AC6"/>
    <w:rsid w:val="18F71640"/>
    <w:rsid w:val="18FA4C8D"/>
    <w:rsid w:val="18FC27B3"/>
    <w:rsid w:val="18FE652B"/>
    <w:rsid w:val="19037FE5"/>
    <w:rsid w:val="190478B9"/>
    <w:rsid w:val="19091C6F"/>
    <w:rsid w:val="190A1374"/>
    <w:rsid w:val="190B50EC"/>
    <w:rsid w:val="190F0738"/>
    <w:rsid w:val="190F698A"/>
    <w:rsid w:val="19151AC7"/>
    <w:rsid w:val="19167EB4"/>
    <w:rsid w:val="191775ED"/>
    <w:rsid w:val="19197809"/>
    <w:rsid w:val="191E097B"/>
    <w:rsid w:val="192341E3"/>
    <w:rsid w:val="19263CD4"/>
    <w:rsid w:val="192835A8"/>
    <w:rsid w:val="192B3098"/>
    <w:rsid w:val="192F2B88"/>
    <w:rsid w:val="193064B9"/>
    <w:rsid w:val="19306900"/>
    <w:rsid w:val="19371A3D"/>
    <w:rsid w:val="1937782A"/>
    <w:rsid w:val="193E726F"/>
    <w:rsid w:val="19425C18"/>
    <w:rsid w:val="194B54E8"/>
    <w:rsid w:val="194D1260"/>
    <w:rsid w:val="194F3AE4"/>
    <w:rsid w:val="195720DF"/>
    <w:rsid w:val="196B7938"/>
    <w:rsid w:val="196F512B"/>
    <w:rsid w:val="197762DD"/>
    <w:rsid w:val="197C1B46"/>
    <w:rsid w:val="198253AE"/>
    <w:rsid w:val="198F1879"/>
    <w:rsid w:val="199450E1"/>
    <w:rsid w:val="19960E59"/>
    <w:rsid w:val="1997072D"/>
    <w:rsid w:val="199944A6"/>
    <w:rsid w:val="199D3F96"/>
    <w:rsid w:val="19A075E2"/>
    <w:rsid w:val="19A317CF"/>
    <w:rsid w:val="19A52E4A"/>
    <w:rsid w:val="19A90B8D"/>
    <w:rsid w:val="19AA66B3"/>
    <w:rsid w:val="19B25567"/>
    <w:rsid w:val="19B259EC"/>
    <w:rsid w:val="19B27315"/>
    <w:rsid w:val="19B337B9"/>
    <w:rsid w:val="19B7492C"/>
    <w:rsid w:val="19C534ED"/>
    <w:rsid w:val="19C5529B"/>
    <w:rsid w:val="19C92FDD"/>
    <w:rsid w:val="19D375D5"/>
    <w:rsid w:val="19D46FDD"/>
    <w:rsid w:val="19DC4392"/>
    <w:rsid w:val="19E03640"/>
    <w:rsid w:val="19E25E4D"/>
    <w:rsid w:val="19E27BFB"/>
    <w:rsid w:val="19E83210"/>
    <w:rsid w:val="19E951A2"/>
    <w:rsid w:val="19EA0671"/>
    <w:rsid w:val="19EC72B6"/>
    <w:rsid w:val="19EF7BE5"/>
    <w:rsid w:val="19F10B92"/>
    <w:rsid w:val="19F17675"/>
    <w:rsid w:val="19F636A6"/>
    <w:rsid w:val="19FB2A6A"/>
    <w:rsid w:val="19FD5061"/>
    <w:rsid w:val="19FD67E3"/>
    <w:rsid w:val="1A002777"/>
    <w:rsid w:val="1A004525"/>
    <w:rsid w:val="1A140130"/>
    <w:rsid w:val="1A1413DD"/>
    <w:rsid w:val="1A143B2C"/>
    <w:rsid w:val="1A18361C"/>
    <w:rsid w:val="1A206975"/>
    <w:rsid w:val="1A2226ED"/>
    <w:rsid w:val="1A246465"/>
    <w:rsid w:val="1A27506D"/>
    <w:rsid w:val="1A2872D7"/>
    <w:rsid w:val="1A295829"/>
    <w:rsid w:val="1A2975D8"/>
    <w:rsid w:val="1A2A15A2"/>
    <w:rsid w:val="1A2A3350"/>
    <w:rsid w:val="1A2E1092"/>
    <w:rsid w:val="1A340C0C"/>
    <w:rsid w:val="1A3411EE"/>
    <w:rsid w:val="1A391CC5"/>
    <w:rsid w:val="1A46462D"/>
    <w:rsid w:val="1A4E5290"/>
    <w:rsid w:val="1A50725A"/>
    <w:rsid w:val="1A514D80"/>
    <w:rsid w:val="1A5328A6"/>
    <w:rsid w:val="1A562397"/>
    <w:rsid w:val="1A57679D"/>
    <w:rsid w:val="1A587EBD"/>
    <w:rsid w:val="1A5A1E87"/>
    <w:rsid w:val="1A5D1977"/>
    <w:rsid w:val="1A5D5F11"/>
    <w:rsid w:val="1A606D71"/>
    <w:rsid w:val="1A646862"/>
    <w:rsid w:val="1A675B2D"/>
    <w:rsid w:val="1A6920CA"/>
    <w:rsid w:val="1A6A7BF0"/>
    <w:rsid w:val="1A6F016E"/>
    <w:rsid w:val="1A6F3FC1"/>
    <w:rsid w:val="1A710F7F"/>
    <w:rsid w:val="1A736AA5"/>
    <w:rsid w:val="1A74631B"/>
    <w:rsid w:val="1A782D25"/>
    <w:rsid w:val="1A7C004F"/>
    <w:rsid w:val="1A7D5B75"/>
    <w:rsid w:val="1A7D7923"/>
    <w:rsid w:val="1A7F5449"/>
    <w:rsid w:val="1A804DDA"/>
    <w:rsid w:val="1A89276C"/>
    <w:rsid w:val="1A8962C8"/>
    <w:rsid w:val="1A8E38DF"/>
    <w:rsid w:val="1A907657"/>
    <w:rsid w:val="1A9133CF"/>
    <w:rsid w:val="1A91517D"/>
    <w:rsid w:val="1A930EF5"/>
    <w:rsid w:val="1A951111"/>
    <w:rsid w:val="1A9B5FFB"/>
    <w:rsid w:val="1A9D1D74"/>
    <w:rsid w:val="1A9E0EF6"/>
    <w:rsid w:val="1A9F5AEC"/>
    <w:rsid w:val="1AA17AB6"/>
    <w:rsid w:val="1AA66E7A"/>
    <w:rsid w:val="1AAD645B"/>
    <w:rsid w:val="1AB71087"/>
    <w:rsid w:val="1AB86BAD"/>
    <w:rsid w:val="1ABA5A66"/>
    <w:rsid w:val="1AC27A2C"/>
    <w:rsid w:val="1AC47300"/>
    <w:rsid w:val="1ACB4B33"/>
    <w:rsid w:val="1AD5150D"/>
    <w:rsid w:val="1AD97AED"/>
    <w:rsid w:val="1ADA4D76"/>
    <w:rsid w:val="1ADF05DE"/>
    <w:rsid w:val="1AE17EB2"/>
    <w:rsid w:val="1AE45BF4"/>
    <w:rsid w:val="1AE654C9"/>
    <w:rsid w:val="1AE7473D"/>
    <w:rsid w:val="1AE94FB9"/>
    <w:rsid w:val="1AEB6F83"/>
    <w:rsid w:val="1AFC4CEC"/>
    <w:rsid w:val="1AFD092A"/>
    <w:rsid w:val="1AFF658A"/>
    <w:rsid w:val="1B010554"/>
    <w:rsid w:val="1B012302"/>
    <w:rsid w:val="1B02351C"/>
    <w:rsid w:val="1B065B6B"/>
    <w:rsid w:val="1B0D0CA7"/>
    <w:rsid w:val="1B100797"/>
    <w:rsid w:val="1B1069E9"/>
    <w:rsid w:val="1B122762"/>
    <w:rsid w:val="1B171B26"/>
    <w:rsid w:val="1B1C713C"/>
    <w:rsid w:val="1B1D0154"/>
    <w:rsid w:val="1B1E2EB4"/>
    <w:rsid w:val="1B245FF1"/>
    <w:rsid w:val="1B283D33"/>
    <w:rsid w:val="1B28788F"/>
    <w:rsid w:val="1B2A0A50"/>
    <w:rsid w:val="1B3207E8"/>
    <w:rsid w:val="1B330126"/>
    <w:rsid w:val="1B3426D8"/>
    <w:rsid w:val="1B3730B5"/>
    <w:rsid w:val="1B395F40"/>
    <w:rsid w:val="1B3E70B3"/>
    <w:rsid w:val="1B416BA3"/>
    <w:rsid w:val="1B446693"/>
    <w:rsid w:val="1B457871"/>
    <w:rsid w:val="1B46065D"/>
    <w:rsid w:val="1B487F31"/>
    <w:rsid w:val="1B4F12C0"/>
    <w:rsid w:val="1B522B5E"/>
    <w:rsid w:val="1B5508A0"/>
    <w:rsid w:val="1B55264E"/>
    <w:rsid w:val="1B55540D"/>
    <w:rsid w:val="1B570174"/>
    <w:rsid w:val="1B574618"/>
    <w:rsid w:val="1B5C39DD"/>
    <w:rsid w:val="1B5E06E6"/>
    <w:rsid w:val="1B5E59A7"/>
    <w:rsid w:val="1B656D35"/>
    <w:rsid w:val="1B6603B7"/>
    <w:rsid w:val="1B682141"/>
    <w:rsid w:val="1B6D7998"/>
    <w:rsid w:val="1B7156DA"/>
    <w:rsid w:val="1B7C7BDB"/>
    <w:rsid w:val="1B803B6F"/>
    <w:rsid w:val="1B8134E4"/>
    <w:rsid w:val="1B86168D"/>
    <w:rsid w:val="1B862808"/>
    <w:rsid w:val="1B866CAC"/>
    <w:rsid w:val="1B9019AB"/>
    <w:rsid w:val="1B9211AC"/>
    <w:rsid w:val="1B925650"/>
    <w:rsid w:val="1B9436F5"/>
    <w:rsid w:val="1B9914D7"/>
    <w:rsid w:val="1B9B0E19"/>
    <w:rsid w:val="1B9C64CF"/>
    <w:rsid w:val="1B9E3C39"/>
    <w:rsid w:val="1BA333BA"/>
    <w:rsid w:val="1BA57132"/>
    <w:rsid w:val="1BAA0BEC"/>
    <w:rsid w:val="1BB05AD7"/>
    <w:rsid w:val="1BB90559"/>
    <w:rsid w:val="1BB92BDD"/>
    <w:rsid w:val="1BC05D1A"/>
    <w:rsid w:val="1BC86BBE"/>
    <w:rsid w:val="1BCF61A7"/>
    <w:rsid w:val="1BD45C69"/>
    <w:rsid w:val="1BD758F9"/>
    <w:rsid w:val="1BE35EAC"/>
    <w:rsid w:val="1BE55780"/>
    <w:rsid w:val="1BE85270"/>
    <w:rsid w:val="1BEA548C"/>
    <w:rsid w:val="1BF105C9"/>
    <w:rsid w:val="1BF65BDF"/>
    <w:rsid w:val="1BFB594B"/>
    <w:rsid w:val="1BFC44B1"/>
    <w:rsid w:val="1BFE2CE6"/>
    <w:rsid w:val="1C002DCD"/>
    <w:rsid w:val="1C006A5E"/>
    <w:rsid w:val="1C06741E"/>
    <w:rsid w:val="1C0A51E7"/>
    <w:rsid w:val="1C0E117B"/>
    <w:rsid w:val="1C105FBD"/>
    <w:rsid w:val="1C124DF9"/>
    <w:rsid w:val="1C1B3898"/>
    <w:rsid w:val="1C1C4F1A"/>
    <w:rsid w:val="1C1D13BE"/>
    <w:rsid w:val="1C2416AE"/>
    <w:rsid w:val="1C2564C4"/>
    <w:rsid w:val="1C281B11"/>
    <w:rsid w:val="1C2838BF"/>
    <w:rsid w:val="1C2C7853"/>
    <w:rsid w:val="1C3C7CEC"/>
    <w:rsid w:val="1C406E5A"/>
    <w:rsid w:val="1C444B9D"/>
    <w:rsid w:val="1C44694B"/>
    <w:rsid w:val="1C4A1730"/>
    <w:rsid w:val="1C4A1A87"/>
    <w:rsid w:val="1C5172BA"/>
    <w:rsid w:val="1C5356C9"/>
    <w:rsid w:val="1C550B58"/>
    <w:rsid w:val="1C554276"/>
    <w:rsid w:val="1C5A616E"/>
    <w:rsid w:val="1C5B1EE6"/>
    <w:rsid w:val="1C5D17BA"/>
    <w:rsid w:val="1C6012AB"/>
    <w:rsid w:val="1C640D9B"/>
    <w:rsid w:val="1C646FED"/>
    <w:rsid w:val="1C676ADD"/>
    <w:rsid w:val="1C6B037B"/>
    <w:rsid w:val="1C705992"/>
    <w:rsid w:val="1C715266"/>
    <w:rsid w:val="1C737230"/>
    <w:rsid w:val="1C782A98"/>
    <w:rsid w:val="1C7A236C"/>
    <w:rsid w:val="1C7B4336"/>
    <w:rsid w:val="1C7B60E4"/>
    <w:rsid w:val="1C7B7E93"/>
    <w:rsid w:val="1C812C3C"/>
    <w:rsid w:val="1C821221"/>
    <w:rsid w:val="1C844F99"/>
    <w:rsid w:val="1C8651B5"/>
    <w:rsid w:val="1C894C92"/>
    <w:rsid w:val="1C8A3619"/>
    <w:rsid w:val="1C8E5E18"/>
    <w:rsid w:val="1C907DE2"/>
    <w:rsid w:val="1C984EE8"/>
    <w:rsid w:val="1C9B0535"/>
    <w:rsid w:val="1C9B3F0C"/>
    <w:rsid w:val="1CA218C3"/>
    <w:rsid w:val="1CA4563B"/>
    <w:rsid w:val="1CB25FAA"/>
    <w:rsid w:val="1CB76590"/>
    <w:rsid w:val="1CB82E95"/>
    <w:rsid w:val="1CBA1A06"/>
    <w:rsid w:val="1CBF06C7"/>
    <w:rsid w:val="1CC06E68"/>
    <w:rsid w:val="1CC66512"/>
    <w:rsid w:val="1CC730D8"/>
    <w:rsid w:val="1CC950A2"/>
    <w:rsid w:val="1CCB2BC8"/>
    <w:rsid w:val="1CCB706C"/>
    <w:rsid w:val="1CCC104A"/>
    <w:rsid w:val="1CCE0005"/>
    <w:rsid w:val="1CCE4466"/>
    <w:rsid w:val="1CD51C99"/>
    <w:rsid w:val="1CD75A11"/>
    <w:rsid w:val="1CD777BF"/>
    <w:rsid w:val="1CE343B6"/>
    <w:rsid w:val="1CE819CC"/>
    <w:rsid w:val="1CEB1134"/>
    <w:rsid w:val="1CF00880"/>
    <w:rsid w:val="1CF244A5"/>
    <w:rsid w:val="1CF30371"/>
    <w:rsid w:val="1CF814E3"/>
    <w:rsid w:val="1CFA34AD"/>
    <w:rsid w:val="1CFC037B"/>
    <w:rsid w:val="1CFC0FD3"/>
    <w:rsid w:val="1CFE5619"/>
    <w:rsid w:val="1CFF6B67"/>
    <w:rsid w:val="1D047E88"/>
    <w:rsid w:val="1D0600A4"/>
    <w:rsid w:val="1D0C550A"/>
    <w:rsid w:val="1D0E51AB"/>
    <w:rsid w:val="1D100F23"/>
    <w:rsid w:val="1D1232B9"/>
    <w:rsid w:val="1D156539"/>
    <w:rsid w:val="1D183933"/>
    <w:rsid w:val="1D1A4BCA"/>
    <w:rsid w:val="1D1D0F4A"/>
    <w:rsid w:val="1D232A04"/>
    <w:rsid w:val="1D2402FC"/>
    <w:rsid w:val="1D24052A"/>
    <w:rsid w:val="1D293D92"/>
    <w:rsid w:val="1D2F1876"/>
    <w:rsid w:val="1D320E99"/>
    <w:rsid w:val="1D37025D"/>
    <w:rsid w:val="1D385D84"/>
    <w:rsid w:val="1D3B7C5C"/>
    <w:rsid w:val="1D3C5874"/>
    <w:rsid w:val="1D44297A"/>
    <w:rsid w:val="1D452CA7"/>
    <w:rsid w:val="1D4604A0"/>
    <w:rsid w:val="1D484219"/>
    <w:rsid w:val="1D4961E3"/>
    <w:rsid w:val="1D5A3F4C"/>
    <w:rsid w:val="1D5F7214"/>
    <w:rsid w:val="1D625B95"/>
    <w:rsid w:val="1D646A40"/>
    <w:rsid w:val="1D6923E1"/>
    <w:rsid w:val="1D6C048B"/>
    <w:rsid w:val="1D6D3C7F"/>
    <w:rsid w:val="1D6E17A5"/>
    <w:rsid w:val="1D6F5C49"/>
    <w:rsid w:val="1D7414B2"/>
    <w:rsid w:val="1D7768AC"/>
    <w:rsid w:val="1D792624"/>
    <w:rsid w:val="1D796AC8"/>
    <w:rsid w:val="1D7A639C"/>
    <w:rsid w:val="1D7C3EC2"/>
    <w:rsid w:val="1D835251"/>
    <w:rsid w:val="1D840FC9"/>
    <w:rsid w:val="1D880AB9"/>
    <w:rsid w:val="1D8A2F60"/>
    <w:rsid w:val="1D905BC0"/>
    <w:rsid w:val="1D927B8A"/>
    <w:rsid w:val="1D9456B0"/>
    <w:rsid w:val="1D9531D6"/>
    <w:rsid w:val="1D96157B"/>
    <w:rsid w:val="1D9E02DC"/>
    <w:rsid w:val="1D9F5E03"/>
    <w:rsid w:val="1DA04055"/>
    <w:rsid w:val="1DA358F3"/>
    <w:rsid w:val="1DA376A1"/>
    <w:rsid w:val="1DAF6046"/>
    <w:rsid w:val="1DB01DBE"/>
    <w:rsid w:val="1DB55626"/>
    <w:rsid w:val="1DB63878"/>
    <w:rsid w:val="1DBA2C3C"/>
    <w:rsid w:val="1DBC0763"/>
    <w:rsid w:val="1DBE097F"/>
    <w:rsid w:val="1DC31AF1"/>
    <w:rsid w:val="1DC51D0D"/>
    <w:rsid w:val="1DC77FC8"/>
    <w:rsid w:val="1DC85359"/>
    <w:rsid w:val="1DCA2E80"/>
    <w:rsid w:val="1DCB4E4A"/>
    <w:rsid w:val="1DCB6BF8"/>
    <w:rsid w:val="1DDC0E05"/>
    <w:rsid w:val="1DDC2BB3"/>
    <w:rsid w:val="1DDF1148"/>
    <w:rsid w:val="1DE42CE4"/>
    <w:rsid w:val="1DE96AC0"/>
    <w:rsid w:val="1DEA3522"/>
    <w:rsid w:val="1DEF0B61"/>
    <w:rsid w:val="1DEF28E6"/>
    <w:rsid w:val="1DF4614E"/>
    <w:rsid w:val="1DF75C3F"/>
    <w:rsid w:val="1DFD6804"/>
    <w:rsid w:val="1DFE0D7B"/>
    <w:rsid w:val="1E0068A1"/>
    <w:rsid w:val="1E05210A"/>
    <w:rsid w:val="1E0839A8"/>
    <w:rsid w:val="1E087E4C"/>
    <w:rsid w:val="1E0C793C"/>
    <w:rsid w:val="1E110AAE"/>
    <w:rsid w:val="1E133217"/>
    <w:rsid w:val="1E1773AB"/>
    <w:rsid w:val="1E18008F"/>
    <w:rsid w:val="1E1B7B7F"/>
    <w:rsid w:val="1E220F0E"/>
    <w:rsid w:val="1E2A1B70"/>
    <w:rsid w:val="1E2A6014"/>
    <w:rsid w:val="1E37603B"/>
    <w:rsid w:val="1E3D18A3"/>
    <w:rsid w:val="1E3D7AF5"/>
    <w:rsid w:val="1E3E386E"/>
    <w:rsid w:val="1E42510C"/>
    <w:rsid w:val="1E426EBA"/>
    <w:rsid w:val="1E454BFC"/>
    <w:rsid w:val="1E474D49"/>
    <w:rsid w:val="1E4F15D7"/>
    <w:rsid w:val="1E5310C7"/>
    <w:rsid w:val="1E562965"/>
    <w:rsid w:val="1E563917"/>
    <w:rsid w:val="1E57048B"/>
    <w:rsid w:val="1E5B441F"/>
    <w:rsid w:val="1E5B7F7C"/>
    <w:rsid w:val="1E5D1F46"/>
    <w:rsid w:val="1E634270"/>
    <w:rsid w:val="1E6908EA"/>
    <w:rsid w:val="1E6A5CD1"/>
    <w:rsid w:val="1E843240"/>
    <w:rsid w:val="1E8474D2"/>
    <w:rsid w:val="1E933BB9"/>
    <w:rsid w:val="1E935967"/>
    <w:rsid w:val="1E94348E"/>
    <w:rsid w:val="1E9516DF"/>
    <w:rsid w:val="1E957931"/>
    <w:rsid w:val="1E984D2C"/>
    <w:rsid w:val="1E990AA4"/>
    <w:rsid w:val="1E995A80"/>
    <w:rsid w:val="1E9F255E"/>
    <w:rsid w:val="1E9F430C"/>
    <w:rsid w:val="1EA638ED"/>
    <w:rsid w:val="1EA71413"/>
    <w:rsid w:val="1EAA2CB1"/>
    <w:rsid w:val="1EB06519"/>
    <w:rsid w:val="1EB458DE"/>
    <w:rsid w:val="1EB51D82"/>
    <w:rsid w:val="1EB63404"/>
    <w:rsid w:val="1EBA7398"/>
    <w:rsid w:val="1EC04283"/>
    <w:rsid w:val="1EC21956"/>
    <w:rsid w:val="1EC75611"/>
    <w:rsid w:val="1EC758C2"/>
    <w:rsid w:val="1ECA48AE"/>
    <w:rsid w:val="1ECB3353"/>
    <w:rsid w:val="1ECE074D"/>
    <w:rsid w:val="1ECE4BF1"/>
    <w:rsid w:val="1ECF145C"/>
    <w:rsid w:val="1ED32208"/>
    <w:rsid w:val="1ED41ADC"/>
    <w:rsid w:val="1ED8781E"/>
    <w:rsid w:val="1EE44415"/>
    <w:rsid w:val="1EEE7042"/>
    <w:rsid w:val="1EEF74F0"/>
    <w:rsid w:val="1EF11420"/>
    <w:rsid w:val="1EF1268E"/>
    <w:rsid w:val="1EF5217E"/>
    <w:rsid w:val="1F010B23"/>
    <w:rsid w:val="1F022AED"/>
    <w:rsid w:val="1F024CF0"/>
    <w:rsid w:val="1F047610"/>
    <w:rsid w:val="1F063671"/>
    <w:rsid w:val="1F071EB1"/>
    <w:rsid w:val="1F0979D8"/>
    <w:rsid w:val="1F0C1276"/>
    <w:rsid w:val="1F100D66"/>
    <w:rsid w:val="1F133C3A"/>
    <w:rsid w:val="1F134CFA"/>
    <w:rsid w:val="1F15637C"/>
    <w:rsid w:val="1F170346"/>
    <w:rsid w:val="1F1A69FB"/>
    <w:rsid w:val="1F1F544D"/>
    <w:rsid w:val="1F2760B0"/>
    <w:rsid w:val="1F29007A"/>
    <w:rsid w:val="1F2B2044"/>
    <w:rsid w:val="1F2B5BA0"/>
    <w:rsid w:val="1F2D7B6A"/>
    <w:rsid w:val="1F330EF8"/>
    <w:rsid w:val="1F413615"/>
    <w:rsid w:val="1F422EEA"/>
    <w:rsid w:val="1F493398"/>
    <w:rsid w:val="1F4F6FE5"/>
    <w:rsid w:val="1F503858"/>
    <w:rsid w:val="1F506FBE"/>
    <w:rsid w:val="1F52137F"/>
    <w:rsid w:val="1F576995"/>
    <w:rsid w:val="1F58270D"/>
    <w:rsid w:val="1F59095F"/>
    <w:rsid w:val="1F5C044F"/>
    <w:rsid w:val="1F5C3FAB"/>
    <w:rsid w:val="1F5C568D"/>
    <w:rsid w:val="1F5D7D23"/>
    <w:rsid w:val="1F664E2A"/>
    <w:rsid w:val="1F666BD8"/>
    <w:rsid w:val="1F6B68E4"/>
    <w:rsid w:val="1F6D3C88"/>
    <w:rsid w:val="1F6D61B8"/>
    <w:rsid w:val="1F7723A7"/>
    <w:rsid w:val="1F777037"/>
    <w:rsid w:val="1F7920C5"/>
    <w:rsid w:val="1F792DAF"/>
    <w:rsid w:val="1F8808B7"/>
    <w:rsid w:val="1F881244"/>
    <w:rsid w:val="1F8814EC"/>
    <w:rsid w:val="1F8B4B82"/>
    <w:rsid w:val="1F8C18DE"/>
    <w:rsid w:val="1F8C628E"/>
    <w:rsid w:val="1F8E4F0C"/>
    <w:rsid w:val="1F8F25D3"/>
    <w:rsid w:val="1F933745"/>
    <w:rsid w:val="1F96177A"/>
    <w:rsid w:val="1F9A4AD4"/>
    <w:rsid w:val="1F9D5EED"/>
    <w:rsid w:val="1F9F033C"/>
    <w:rsid w:val="1FA12C38"/>
    <w:rsid w:val="1FA140B4"/>
    <w:rsid w:val="1FA15E62"/>
    <w:rsid w:val="1FA628DB"/>
    <w:rsid w:val="1FA63478"/>
    <w:rsid w:val="1FA83694"/>
    <w:rsid w:val="1FAA3C51"/>
    <w:rsid w:val="1FAE77D6"/>
    <w:rsid w:val="1FAF4A23"/>
    <w:rsid w:val="1FB7272B"/>
    <w:rsid w:val="1FB738D7"/>
    <w:rsid w:val="1FB864B9"/>
    <w:rsid w:val="1FBB6E98"/>
    <w:rsid w:val="1FBF278C"/>
    <w:rsid w:val="1FC009DE"/>
    <w:rsid w:val="1FC102B2"/>
    <w:rsid w:val="1FC14756"/>
    <w:rsid w:val="1FC3227C"/>
    <w:rsid w:val="1FC63B1B"/>
    <w:rsid w:val="1FC81641"/>
    <w:rsid w:val="1FCB1131"/>
    <w:rsid w:val="1FCD30FB"/>
    <w:rsid w:val="1FD47FE6"/>
    <w:rsid w:val="1FDF698A"/>
    <w:rsid w:val="1FE04BDC"/>
    <w:rsid w:val="1FEA5A5B"/>
    <w:rsid w:val="1FEB3581"/>
    <w:rsid w:val="1FED3A1F"/>
    <w:rsid w:val="1FEF4E1F"/>
    <w:rsid w:val="1FF22B62"/>
    <w:rsid w:val="1FF95C9E"/>
    <w:rsid w:val="1FF97A4C"/>
    <w:rsid w:val="1FFB7C68"/>
    <w:rsid w:val="200308CB"/>
    <w:rsid w:val="2003227B"/>
    <w:rsid w:val="20032679"/>
    <w:rsid w:val="20055CEB"/>
    <w:rsid w:val="200F101E"/>
    <w:rsid w:val="20142AD8"/>
    <w:rsid w:val="2016409F"/>
    <w:rsid w:val="20176124"/>
    <w:rsid w:val="202002E3"/>
    <w:rsid w:val="20210D51"/>
    <w:rsid w:val="202820DF"/>
    <w:rsid w:val="20287055"/>
    <w:rsid w:val="202A5E57"/>
    <w:rsid w:val="202C6073"/>
    <w:rsid w:val="202D5948"/>
    <w:rsid w:val="203171E6"/>
    <w:rsid w:val="20340A84"/>
    <w:rsid w:val="203647FC"/>
    <w:rsid w:val="203767C6"/>
    <w:rsid w:val="2039253E"/>
    <w:rsid w:val="203B0065"/>
    <w:rsid w:val="20427645"/>
    <w:rsid w:val="20452C91"/>
    <w:rsid w:val="20476A09"/>
    <w:rsid w:val="204A02A8"/>
    <w:rsid w:val="204D5FEA"/>
    <w:rsid w:val="205253AE"/>
    <w:rsid w:val="20531852"/>
    <w:rsid w:val="205630F0"/>
    <w:rsid w:val="2062028B"/>
    <w:rsid w:val="20623843"/>
    <w:rsid w:val="20653333"/>
    <w:rsid w:val="20666195"/>
    <w:rsid w:val="206A6B9C"/>
    <w:rsid w:val="206C2914"/>
    <w:rsid w:val="206C6329"/>
    <w:rsid w:val="206E043A"/>
    <w:rsid w:val="206F41B2"/>
    <w:rsid w:val="20717F2A"/>
    <w:rsid w:val="207B2B57"/>
    <w:rsid w:val="207D68CF"/>
    <w:rsid w:val="20823EE5"/>
    <w:rsid w:val="20831A0C"/>
    <w:rsid w:val="20847C5E"/>
    <w:rsid w:val="20895274"/>
    <w:rsid w:val="209031FC"/>
    <w:rsid w:val="209C0204"/>
    <w:rsid w:val="209C2234"/>
    <w:rsid w:val="209C7664"/>
    <w:rsid w:val="209D0D1F"/>
    <w:rsid w:val="20A0675E"/>
    <w:rsid w:val="20A51982"/>
    <w:rsid w:val="20AA343C"/>
    <w:rsid w:val="20AA6F98"/>
    <w:rsid w:val="20AC5BEA"/>
    <w:rsid w:val="20AF4366"/>
    <w:rsid w:val="20B16579"/>
    <w:rsid w:val="20B6593D"/>
    <w:rsid w:val="20BB73F7"/>
    <w:rsid w:val="20C22534"/>
    <w:rsid w:val="20CB5604"/>
    <w:rsid w:val="20D65FDF"/>
    <w:rsid w:val="20D740CE"/>
    <w:rsid w:val="20DB35F6"/>
    <w:rsid w:val="20DD4787"/>
    <w:rsid w:val="20DD4F7E"/>
    <w:rsid w:val="20DE6C42"/>
    <w:rsid w:val="20E26FD4"/>
    <w:rsid w:val="20E34258"/>
    <w:rsid w:val="20E424AA"/>
    <w:rsid w:val="20E56222"/>
    <w:rsid w:val="20E62212"/>
    <w:rsid w:val="20EB4BEE"/>
    <w:rsid w:val="20EF0E4F"/>
    <w:rsid w:val="20F621DE"/>
    <w:rsid w:val="20F841A8"/>
    <w:rsid w:val="20F870A9"/>
    <w:rsid w:val="20FA7F20"/>
    <w:rsid w:val="20FB5A46"/>
    <w:rsid w:val="20FC3C98"/>
    <w:rsid w:val="20FD1359"/>
    <w:rsid w:val="20FF5536"/>
    <w:rsid w:val="21020B82"/>
    <w:rsid w:val="21062418"/>
    <w:rsid w:val="210A7A37"/>
    <w:rsid w:val="210C1A01"/>
    <w:rsid w:val="210F03EE"/>
    <w:rsid w:val="21154D5A"/>
    <w:rsid w:val="2118069A"/>
    <w:rsid w:val="21182154"/>
    <w:rsid w:val="2119248A"/>
    <w:rsid w:val="211F34E2"/>
    <w:rsid w:val="212154AC"/>
    <w:rsid w:val="21246D4B"/>
    <w:rsid w:val="21260D15"/>
    <w:rsid w:val="21294361"/>
    <w:rsid w:val="212A1E87"/>
    <w:rsid w:val="213351E0"/>
    <w:rsid w:val="21336F8E"/>
    <w:rsid w:val="21354AB4"/>
    <w:rsid w:val="214116AB"/>
    <w:rsid w:val="214159E8"/>
    <w:rsid w:val="214473ED"/>
    <w:rsid w:val="21472A39"/>
    <w:rsid w:val="215A7CDD"/>
    <w:rsid w:val="216830DB"/>
    <w:rsid w:val="216B497A"/>
    <w:rsid w:val="216E6218"/>
    <w:rsid w:val="217001E2"/>
    <w:rsid w:val="21717AB6"/>
    <w:rsid w:val="21751354"/>
    <w:rsid w:val="217575A6"/>
    <w:rsid w:val="2179213A"/>
    <w:rsid w:val="217952E8"/>
    <w:rsid w:val="217E2260"/>
    <w:rsid w:val="217F0425"/>
    <w:rsid w:val="217F21D3"/>
    <w:rsid w:val="21821CC3"/>
    <w:rsid w:val="21823A71"/>
    <w:rsid w:val="2188552B"/>
    <w:rsid w:val="21893052"/>
    <w:rsid w:val="218B0B78"/>
    <w:rsid w:val="218B501C"/>
    <w:rsid w:val="218E0668"/>
    <w:rsid w:val="218E2416"/>
    <w:rsid w:val="21921F06"/>
    <w:rsid w:val="219263AA"/>
    <w:rsid w:val="21935C7E"/>
    <w:rsid w:val="21957C48"/>
    <w:rsid w:val="219C0FD7"/>
    <w:rsid w:val="219C4B33"/>
    <w:rsid w:val="219D08AB"/>
    <w:rsid w:val="21A165ED"/>
    <w:rsid w:val="21A659B2"/>
    <w:rsid w:val="21A67760"/>
    <w:rsid w:val="21AF0D0A"/>
    <w:rsid w:val="21B90E9A"/>
    <w:rsid w:val="21B93937"/>
    <w:rsid w:val="21B94B3A"/>
    <w:rsid w:val="21BC3427"/>
    <w:rsid w:val="21C4408A"/>
    <w:rsid w:val="21C66054"/>
    <w:rsid w:val="21CD73E2"/>
    <w:rsid w:val="21CF01A6"/>
    <w:rsid w:val="21CF4F08"/>
    <w:rsid w:val="21D06ED2"/>
    <w:rsid w:val="21D94E53"/>
    <w:rsid w:val="21D97B35"/>
    <w:rsid w:val="21DC7625"/>
    <w:rsid w:val="21E035E5"/>
    <w:rsid w:val="21E07116"/>
    <w:rsid w:val="21E52424"/>
    <w:rsid w:val="21E6176B"/>
    <w:rsid w:val="21E64000"/>
    <w:rsid w:val="21E93AF0"/>
    <w:rsid w:val="21ED35E0"/>
    <w:rsid w:val="21EE1107"/>
    <w:rsid w:val="21EF62B4"/>
    <w:rsid w:val="21F229A5"/>
    <w:rsid w:val="21F42BC1"/>
    <w:rsid w:val="21F506E7"/>
    <w:rsid w:val="21F63BD9"/>
    <w:rsid w:val="2201708C"/>
    <w:rsid w:val="22021CC9"/>
    <w:rsid w:val="220628F4"/>
    <w:rsid w:val="220A5F40"/>
    <w:rsid w:val="220B1CB9"/>
    <w:rsid w:val="220D77DF"/>
    <w:rsid w:val="221072CF"/>
    <w:rsid w:val="22124DF5"/>
    <w:rsid w:val="22137BB5"/>
    <w:rsid w:val="22142241"/>
    <w:rsid w:val="22146DBF"/>
    <w:rsid w:val="221C3EC6"/>
    <w:rsid w:val="221C5C74"/>
    <w:rsid w:val="221E7C3E"/>
    <w:rsid w:val="22205764"/>
    <w:rsid w:val="22235254"/>
    <w:rsid w:val="22250FCC"/>
    <w:rsid w:val="222608A0"/>
    <w:rsid w:val="2228286B"/>
    <w:rsid w:val="222C0857"/>
    <w:rsid w:val="222F3BF9"/>
    <w:rsid w:val="22372AAE"/>
    <w:rsid w:val="2237485C"/>
    <w:rsid w:val="22396826"/>
    <w:rsid w:val="22405E06"/>
    <w:rsid w:val="22406A0E"/>
    <w:rsid w:val="2245341D"/>
    <w:rsid w:val="224A0A33"/>
    <w:rsid w:val="224A27E1"/>
    <w:rsid w:val="224D0761"/>
    <w:rsid w:val="224E63D2"/>
    <w:rsid w:val="225500BB"/>
    <w:rsid w:val="22552F34"/>
    <w:rsid w:val="22574EFE"/>
    <w:rsid w:val="22596EC8"/>
    <w:rsid w:val="225C052A"/>
    <w:rsid w:val="225F4F3B"/>
    <w:rsid w:val="22606A32"/>
    <w:rsid w:val="22682C67"/>
    <w:rsid w:val="2268710B"/>
    <w:rsid w:val="226F0499"/>
    <w:rsid w:val="2274785E"/>
    <w:rsid w:val="227E06DD"/>
    <w:rsid w:val="227E248B"/>
    <w:rsid w:val="227F4428"/>
    <w:rsid w:val="22853AE2"/>
    <w:rsid w:val="228757E3"/>
    <w:rsid w:val="22877591"/>
    <w:rsid w:val="228A41DB"/>
    <w:rsid w:val="228A52D3"/>
    <w:rsid w:val="228D1A78"/>
    <w:rsid w:val="22916C93"/>
    <w:rsid w:val="229323DA"/>
    <w:rsid w:val="22943A5C"/>
    <w:rsid w:val="22963C78"/>
    <w:rsid w:val="22965A26"/>
    <w:rsid w:val="2297354C"/>
    <w:rsid w:val="229764D4"/>
    <w:rsid w:val="229A609C"/>
    <w:rsid w:val="229C0B63"/>
    <w:rsid w:val="229D2DC0"/>
    <w:rsid w:val="229D6DB5"/>
    <w:rsid w:val="229E2B2D"/>
    <w:rsid w:val="22A243CB"/>
    <w:rsid w:val="22A7378F"/>
    <w:rsid w:val="22A75209"/>
    <w:rsid w:val="22A77C33"/>
    <w:rsid w:val="22AC524A"/>
    <w:rsid w:val="22AF6AE8"/>
    <w:rsid w:val="22B81E40"/>
    <w:rsid w:val="22BA1812"/>
    <w:rsid w:val="22BB723B"/>
    <w:rsid w:val="22BD1205"/>
    <w:rsid w:val="22C81EF9"/>
    <w:rsid w:val="22CC1448"/>
    <w:rsid w:val="22CE5255"/>
    <w:rsid w:val="22D26F8A"/>
    <w:rsid w:val="22E83DA8"/>
    <w:rsid w:val="22EA6095"/>
    <w:rsid w:val="22ED035D"/>
    <w:rsid w:val="22ED5E8E"/>
    <w:rsid w:val="22F32E79"/>
    <w:rsid w:val="22F369D5"/>
    <w:rsid w:val="22F4099F"/>
    <w:rsid w:val="22F62969"/>
    <w:rsid w:val="22F95FB5"/>
    <w:rsid w:val="22FB3ADB"/>
    <w:rsid w:val="22FD7853"/>
    <w:rsid w:val="22FE09B9"/>
    <w:rsid w:val="2302130E"/>
    <w:rsid w:val="23040BE2"/>
    <w:rsid w:val="23085220"/>
    <w:rsid w:val="2309444A"/>
    <w:rsid w:val="230C5CE8"/>
    <w:rsid w:val="230E7CB2"/>
    <w:rsid w:val="230F7587"/>
    <w:rsid w:val="23111551"/>
    <w:rsid w:val="2318468D"/>
    <w:rsid w:val="231921B3"/>
    <w:rsid w:val="231A6657"/>
    <w:rsid w:val="231F4707"/>
    <w:rsid w:val="232E2103"/>
    <w:rsid w:val="232F19D7"/>
    <w:rsid w:val="23305E7B"/>
    <w:rsid w:val="233213BD"/>
    <w:rsid w:val="23356FED"/>
    <w:rsid w:val="23360CA0"/>
    <w:rsid w:val="233C481F"/>
    <w:rsid w:val="233D0598"/>
    <w:rsid w:val="233D40F4"/>
    <w:rsid w:val="234436D4"/>
    <w:rsid w:val="2345711C"/>
    <w:rsid w:val="23474DB6"/>
    <w:rsid w:val="23492A98"/>
    <w:rsid w:val="234B6811"/>
    <w:rsid w:val="23501673"/>
    <w:rsid w:val="23503E27"/>
    <w:rsid w:val="23517B9F"/>
    <w:rsid w:val="235558E1"/>
    <w:rsid w:val="235651B5"/>
    <w:rsid w:val="23571659"/>
    <w:rsid w:val="23593283"/>
    <w:rsid w:val="235A2EF8"/>
    <w:rsid w:val="235C6C70"/>
    <w:rsid w:val="235F22BC"/>
    <w:rsid w:val="236553F8"/>
    <w:rsid w:val="23671171"/>
    <w:rsid w:val="236B6EB3"/>
    <w:rsid w:val="236E0751"/>
    <w:rsid w:val="236E24FF"/>
    <w:rsid w:val="236F6095"/>
    <w:rsid w:val="23706277"/>
    <w:rsid w:val="23713D9D"/>
    <w:rsid w:val="23766ABD"/>
    <w:rsid w:val="23781623"/>
    <w:rsid w:val="2378337E"/>
    <w:rsid w:val="23887A65"/>
    <w:rsid w:val="238B1EA6"/>
    <w:rsid w:val="238C0BD7"/>
    <w:rsid w:val="238F61D4"/>
    <w:rsid w:val="23902475"/>
    <w:rsid w:val="239161EE"/>
    <w:rsid w:val="239D2DE4"/>
    <w:rsid w:val="239D4B92"/>
    <w:rsid w:val="239F4DAE"/>
    <w:rsid w:val="23A128D5"/>
    <w:rsid w:val="23A14683"/>
    <w:rsid w:val="23A91789"/>
    <w:rsid w:val="23AE4FF1"/>
    <w:rsid w:val="23B51EDC"/>
    <w:rsid w:val="23BD6FE3"/>
    <w:rsid w:val="23C12F77"/>
    <w:rsid w:val="23C71C0F"/>
    <w:rsid w:val="23C72E25"/>
    <w:rsid w:val="23CB7429"/>
    <w:rsid w:val="23CD191B"/>
    <w:rsid w:val="23CE11F0"/>
    <w:rsid w:val="23CE2F9E"/>
    <w:rsid w:val="23CF563B"/>
    <w:rsid w:val="23D003C3"/>
    <w:rsid w:val="23D031BA"/>
    <w:rsid w:val="23D06D16"/>
    <w:rsid w:val="23D073EA"/>
    <w:rsid w:val="23D22A8E"/>
    <w:rsid w:val="23D26F32"/>
    <w:rsid w:val="23D507D0"/>
    <w:rsid w:val="23D5432C"/>
    <w:rsid w:val="23D83E1C"/>
    <w:rsid w:val="23DC390D"/>
    <w:rsid w:val="23E12CD1"/>
    <w:rsid w:val="23E17175"/>
    <w:rsid w:val="23E97DD8"/>
    <w:rsid w:val="23EA427B"/>
    <w:rsid w:val="23EA6B2E"/>
    <w:rsid w:val="23F24EDE"/>
    <w:rsid w:val="23F30C56"/>
    <w:rsid w:val="23F52C20"/>
    <w:rsid w:val="23F83D03"/>
    <w:rsid w:val="2406098A"/>
    <w:rsid w:val="24062738"/>
    <w:rsid w:val="240B2444"/>
    <w:rsid w:val="24107A5A"/>
    <w:rsid w:val="24170DE9"/>
    <w:rsid w:val="2418355A"/>
    <w:rsid w:val="2419690F"/>
    <w:rsid w:val="24204F80"/>
    <w:rsid w:val="242157C3"/>
    <w:rsid w:val="24247062"/>
    <w:rsid w:val="24264B88"/>
    <w:rsid w:val="242A28CA"/>
    <w:rsid w:val="24376D95"/>
    <w:rsid w:val="243E0123"/>
    <w:rsid w:val="245142FB"/>
    <w:rsid w:val="245A2A83"/>
    <w:rsid w:val="245F12E5"/>
    <w:rsid w:val="24674036"/>
    <w:rsid w:val="246925CF"/>
    <w:rsid w:val="246B6A3F"/>
    <w:rsid w:val="246C7DE1"/>
    <w:rsid w:val="2471674B"/>
    <w:rsid w:val="24727DCD"/>
    <w:rsid w:val="247509BF"/>
    <w:rsid w:val="24763D61"/>
    <w:rsid w:val="24765B0F"/>
    <w:rsid w:val="24773635"/>
    <w:rsid w:val="24793AFD"/>
    <w:rsid w:val="247D6439"/>
    <w:rsid w:val="248024EA"/>
    <w:rsid w:val="2480698E"/>
    <w:rsid w:val="24833D88"/>
    <w:rsid w:val="24885842"/>
    <w:rsid w:val="248875F1"/>
    <w:rsid w:val="248A15BB"/>
    <w:rsid w:val="248C5333"/>
    <w:rsid w:val="249064A5"/>
    <w:rsid w:val="24912949"/>
    <w:rsid w:val="24937DA4"/>
    <w:rsid w:val="24952F7F"/>
    <w:rsid w:val="24973CD7"/>
    <w:rsid w:val="24992D90"/>
    <w:rsid w:val="249C4E4A"/>
    <w:rsid w:val="24A22EBC"/>
    <w:rsid w:val="24A361D8"/>
    <w:rsid w:val="24A563F4"/>
    <w:rsid w:val="24AA7567"/>
    <w:rsid w:val="24AB32DF"/>
    <w:rsid w:val="24B30B11"/>
    <w:rsid w:val="24B6415E"/>
    <w:rsid w:val="24B65F0C"/>
    <w:rsid w:val="24B77ED6"/>
    <w:rsid w:val="24BE3012"/>
    <w:rsid w:val="24BF2016"/>
    <w:rsid w:val="24BF2FAA"/>
    <w:rsid w:val="24C0322E"/>
    <w:rsid w:val="24C543A1"/>
    <w:rsid w:val="24CF521F"/>
    <w:rsid w:val="24D12D46"/>
    <w:rsid w:val="24D26ABE"/>
    <w:rsid w:val="24D665AE"/>
    <w:rsid w:val="24D82326"/>
    <w:rsid w:val="24E0742D"/>
    <w:rsid w:val="24E231A5"/>
    <w:rsid w:val="24E30CCB"/>
    <w:rsid w:val="24E46F1D"/>
    <w:rsid w:val="24E72569"/>
    <w:rsid w:val="24F15196"/>
    <w:rsid w:val="24F20F0E"/>
    <w:rsid w:val="24F44C86"/>
    <w:rsid w:val="24F609FE"/>
    <w:rsid w:val="24F829C8"/>
    <w:rsid w:val="24F9229C"/>
    <w:rsid w:val="24FB4266"/>
    <w:rsid w:val="24FB7DC2"/>
    <w:rsid w:val="24FD1D8D"/>
    <w:rsid w:val="25072C0B"/>
    <w:rsid w:val="25090731"/>
    <w:rsid w:val="250C0222"/>
    <w:rsid w:val="250E3F9A"/>
    <w:rsid w:val="250F7D12"/>
    <w:rsid w:val="251315B0"/>
    <w:rsid w:val="251610A0"/>
    <w:rsid w:val="251829D3"/>
    <w:rsid w:val="251F61A7"/>
    <w:rsid w:val="252008AB"/>
    <w:rsid w:val="25204F9A"/>
    <w:rsid w:val="25257535"/>
    <w:rsid w:val="2530507E"/>
    <w:rsid w:val="253432D4"/>
    <w:rsid w:val="253D662D"/>
    <w:rsid w:val="25461985"/>
    <w:rsid w:val="254A5C25"/>
    <w:rsid w:val="254C6870"/>
    <w:rsid w:val="255816B9"/>
    <w:rsid w:val="25585215"/>
    <w:rsid w:val="25641E0C"/>
    <w:rsid w:val="256C6031"/>
    <w:rsid w:val="256D473F"/>
    <w:rsid w:val="25761B3F"/>
    <w:rsid w:val="25787665"/>
    <w:rsid w:val="2580651A"/>
    <w:rsid w:val="25826736"/>
    <w:rsid w:val="258E3663"/>
    <w:rsid w:val="25951FC5"/>
    <w:rsid w:val="259B3353"/>
    <w:rsid w:val="25A8619C"/>
    <w:rsid w:val="25AD5960"/>
    <w:rsid w:val="25B368EF"/>
    <w:rsid w:val="25BA7C7E"/>
    <w:rsid w:val="25BC39F6"/>
    <w:rsid w:val="25BC57A4"/>
    <w:rsid w:val="25C24D84"/>
    <w:rsid w:val="25C428AA"/>
    <w:rsid w:val="25C54953"/>
    <w:rsid w:val="25C66622"/>
    <w:rsid w:val="25CB59E7"/>
    <w:rsid w:val="25CD6ECB"/>
    <w:rsid w:val="25CE54D7"/>
    <w:rsid w:val="25D02C7B"/>
    <w:rsid w:val="25D23219"/>
    <w:rsid w:val="25D32AED"/>
    <w:rsid w:val="25D36F91"/>
    <w:rsid w:val="25DE1BBE"/>
    <w:rsid w:val="25E1520A"/>
    <w:rsid w:val="25E44CFA"/>
    <w:rsid w:val="25E52FB2"/>
    <w:rsid w:val="25E82A3D"/>
    <w:rsid w:val="25E847EB"/>
    <w:rsid w:val="25EB3895"/>
    <w:rsid w:val="25ED0053"/>
    <w:rsid w:val="25EF3DCB"/>
    <w:rsid w:val="25F0369F"/>
    <w:rsid w:val="25F04709"/>
    <w:rsid w:val="25F50CB6"/>
    <w:rsid w:val="25F72C80"/>
    <w:rsid w:val="25FD5DBC"/>
    <w:rsid w:val="2604696A"/>
    <w:rsid w:val="26061115"/>
    <w:rsid w:val="2609650F"/>
    <w:rsid w:val="260B1F2C"/>
    <w:rsid w:val="260B2287"/>
    <w:rsid w:val="260E1D77"/>
    <w:rsid w:val="26170C2C"/>
    <w:rsid w:val="261A696E"/>
    <w:rsid w:val="261F3F85"/>
    <w:rsid w:val="26211AAB"/>
    <w:rsid w:val="26254237"/>
    <w:rsid w:val="262B2929"/>
    <w:rsid w:val="262C7072"/>
    <w:rsid w:val="262E5F76"/>
    <w:rsid w:val="26307F40"/>
    <w:rsid w:val="263324B0"/>
    <w:rsid w:val="263C06A0"/>
    <w:rsid w:val="263F63D5"/>
    <w:rsid w:val="26415CA9"/>
    <w:rsid w:val="26451C3D"/>
    <w:rsid w:val="264834DB"/>
    <w:rsid w:val="26485289"/>
    <w:rsid w:val="26487037"/>
    <w:rsid w:val="264C1A99"/>
    <w:rsid w:val="265005E2"/>
    <w:rsid w:val="265956E8"/>
    <w:rsid w:val="26667E05"/>
    <w:rsid w:val="26681488"/>
    <w:rsid w:val="266A16A4"/>
    <w:rsid w:val="266B541C"/>
    <w:rsid w:val="266D4CF0"/>
    <w:rsid w:val="266E6F37"/>
    <w:rsid w:val="267047E0"/>
    <w:rsid w:val="2670658E"/>
    <w:rsid w:val="2671794C"/>
    <w:rsid w:val="267918E7"/>
    <w:rsid w:val="267A46C8"/>
    <w:rsid w:val="26832765"/>
    <w:rsid w:val="268564DD"/>
    <w:rsid w:val="26870C67"/>
    <w:rsid w:val="268842A2"/>
    <w:rsid w:val="268876A9"/>
    <w:rsid w:val="268B161A"/>
    <w:rsid w:val="269009DE"/>
    <w:rsid w:val="26920BFA"/>
    <w:rsid w:val="26926505"/>
    <w:rsid w:val="26964247"/>
    <w:rsid w:val="26997893"/>
    <w:rsid w:val="269A360B"/>
    <w:rsid w:val="269E134D"/>
    <w:rsid w:val="26A526DC"/>
    <w:rsid w:val="26A76454"/>
    <w:rsid w:val="26A821CC"/>
    <w:rsid w:val="26AD1590"/>
    <w:rsid w:val="26B10E7F"/>
    <w:rsid w:val="26B4291F"/>
    <w:rsid w:val="26B648E9"/>
    <w:rsid w:val="26C012C4"/>
    <w:rsid w:val="26C50688"/>
    <w:rsid w:val="26C64400"/>
    <w:rsid w:val="26CD39E1"/>
    <w:rsid w:val="26CD578F"/>
    <w:rsid w:val="26CF760C"/>
    <w:rsid w:val="26D247FA"/>
    <w:rsid w:val="26D44D6F"/>
    <w:rsid w:val="26DB1FE7"/>
    <w:rsid w:val="26DB60FD"/>
    <w:rsid w:val="26E01966"/>
    <w:rsid w:val="26E8081A"/>
    <w:rsid w:val="26E825C8"/>
    <w:rsid w:val="26EB4ACF"/>
    <w:rsid w:val="26F251F5"/>
    <w:rsid w:val="26F31699"/>
    <w:rsid w:val="26F96584"/>
    <w:rsid w:val="26FD2518"/>
    <w:rsid w:val="26FF2829"/>
    <w:rsid w:val="27037402"/>
    <w:rsid w:val="27082C6B"/>
    <w:rsid w:val="270F3FF9"/>
    <w:rsid w:val="270F5DA7"/>
    <w:rsid w:val="27102E44"/>
    <w:rsid w:val="27111B1F"/>
    <w:rsid w:val="27135897"/>
    <w:rsid w:val="27143CDB"/>
    <w:rsid w:val="27165388"/>
    <w:rsid w:val="27225ADA"/>
    <w:rsid w:val="27257379"/>
    <w:rsid w:val="27265503"/>
    <w:rsid w:val="27283B05"/>
    <w:rsid w:val="272C35B9"/>
    <w:rsid w:val="272E26D1"/>
    <w:rsid w:val="272F1FA5"/>
    <w:rsid w:val="272F6449"/>
    <w:rsid w:val="27313F6F"/>
    <w:rsid w:val="2734580E"/>
    <w:rsid w:val="27392E24"/>
    <w:rsid w:val="273D2914"/>
    <w:rsid w:val="273D46C2"/>
    <w:rsid w:val="273E5BA9"/>
    <w:rsid w:val="27423784"/>
    <w:rsid w:val="274A5031"/>
    <w:rsid w:val="274A6DDF"/>
    <w:rsid w:val="274E2D73"/>
    <w:rsid w:val="274F2647"/>
    <w:rsid w:val="274F4276"/>
    <w:rsid w:val="27554102"/>
    <w:rsid w:val="275639D6"/>
    <w:rsid w:val="27624129"/>
    <w:rsid w:val="27677991"/>
    <w:rsid w:val="276E51C4"/>
    <w:rsid w:val="27743E5C"/>
    <w:rsid w:val="2778394C"/>
    <w:rsid w:val="277D5407"/>
    <w:rsid w:val="27800A53"/>
    <w:rsid w:val="27823946"/>
    <w:rsid w:val="27844CF3"/>
    <w:rsid w:val="27856069"/>
    <w:rsid w:val="2786250D"/>
    <w:rsid w:val="27870033"/>
    <w:rsid w:val="27873B8F"/>
    <w:rsid w:val="27884C41"/>
    <w:rsid w:val="278E13C2"/>
    <w:rsid w:val="2790660B"/>
    <w:rsid w:val="2792259F"/>
    <w:rsid w:val="27A110F5"/>
    <w:rsid w:val="27AB1F74"/>
    <w:rsid w:val="27AB6A90"/>
    <w:rsid w:val="27B60E28"/>
    <w:rsid w:val="27B64475"/>
    <w:rsid w:val="27BF3329"/>
    <w:rsid w:val="27C70430"/>
    <w:rsid w:val="27C9064C"/>
    <w:rsid w:val="27CB43C4"/>
    <w:rsid w:val="27CB6172"/>
    <w:rsid w:val="27CE5C62"/>
    <w:rsid w:val="27D64F25"/>
    <w:rsid w:val="27D74B17"/>
    <w:rsid w:val="27D821EC"/>
    <w:rsid w:val="27D86AE1"/>
    <w:rsid w:val="27DC037F"/>
    <w:rsid w:val="27E55EA8"/>
    <w:rsid w:val="27E965F8"/>
    <w:rsid w:val="27EB05C2"/>
    <w:rsid w:val="27EC60E8"/>
    <w:rsid w:val="27EC7E96"/>
    <w:rsid w:val="27EE00B2"/>
    <w:rsid w:val="27EE3C0E"/>
    <w:rsid w:val="27F1360B"/>
    <w:rsid w:val="27F25A6D"/>
    <w:rsid w:val="27F2631E"/>
    <w:rsid w:val="27F531EF"/>
    <w:rsid w:val="27F756EC"/>
    <w:rsid w:val="27FC27CF"/>
    <w:rsid w:val="28013942"/>
    <w:rsid w:val="280671AA"/>
    <w:rsid w:val="28090A48"/>
    <w:rsid w:val="280B4AAD"/>
    <w:rsid w:val="28101DD7"/>
    <w:rsid w:val="281209C8"/>
    <w:rsid w:val="28133675"/>
    <w:rsid w:val="28134C00"/>
    <w:rsid w:val="281510F6"/>
    <w:rsid w:val="281573ED"/>
    <w:rsid w:val="28163807"/>
    <w:rsid w:val="281713B7"/>
    <w:rsid w:val="281C07C0"/>
    <w:rsid w:val="282835C4"/>
    <w:rsid w:val="2829733C"/>
    <w:rsid w:val="282E5827"/>
    <w:rsid w:val="282F3A06"/>
    <w:rsid w:val="28341F69"/>
    <w:rsid w:val="283B7736"/>
    <w:rsid w:val="284101E2"/>
    <w:rsid w:val="284303FE"/>
    <w:rsid w:val="28441A80"/>
    <w:rsid w:val="284701FB"/>
    <w:rsid w:val="284877C3"/>
    <w:rsid w:val="284952E9"/>
    <w:rsid w:val="284A6242"/>
    <w:rsid w:val="285717B4"/>
    <w:rsid w:val="2858552C"/>
    <w:rsid w:val="285861CA"/>
    <w:rsid w:val="285909A6"/>
    <w:rsid w:val="2859377E"/>
    <w:rsid w:val="285E6377"/>
    <w:rsid w:val="285F2D5E"/>
    <w:rsid w:val="285F68BA"/>
    <w:rsid w:val="285F7B8D"/>
    <w:rsid w:val="28642123"/>
    <w:rsid w:val="28687E65"/>
    <w:rsid w:val="286E4D4F"/>
    <w:rsid w:val="286F1880"/>
    <w:rsid w:val="28722A91"/>
    <w:rsid w:val="28735356"/>
    <w:rsid w:val="28793E20"/>
    <w:rsid w:val="2879797C"/>
    <w:rsid w:val="287A1946"/>
    <w:rsid w:val="28814A83"/>
    <w:rsid w:val="28825933"/>
    <w:rsid w:val="2886653D"/>
    <w:rsid w:val="28887BBF"/>
    <w:rsid w:val="288D3427"/>
    <w:rsid w:val="28926C90"/>
    <w:rsid w:val="289D2D55"/>
    <w:rsid w:val="289F095F"/>
    <w:rsid w:val="289F315B"/>
    <w:rsid w:val="28A075FF"/>
    <w:rsid w:val="28A32C4B"/>
    <w:rsid w:val="28A45831"/>
    <w:rsid w:val="28A6273B"/>
    <w:rsid w:val="28A644E9"/>
    <w:rsid w:val="28A80261"/>
    <w:rsid w:val="28A8200F"/>
    <w:rsid w:val="28AF7842"/>
    <w:rsid w:val="28B12D73"/>
    <w:rsid w:val="28B210E0"/>
    <w:rsid w:val="28B409B4"/>
    <w:rsid w:val="28B6000B"/>
    <w:rsid w:val="28B60BD0"/>
    <w:rsid w:val="28BC3D0D"/>
    <w:rsid w:val="28C3509B"/>
    <w:rsid w:val="28C52BC1"/>
    <w:rsid w:val="28C72DDD"/>
    <w:rsid w:val="28CA01D8"/>
    <w:rsid w:val="28CF1C92"/>
    <w:rsid w:val="28D13AF3"/>
    <w:rsid w:val="28D7334D"/>
    <w:rsid w:val="28DD1D90"/>
    <w:rsid w:val="28EA6ACC"/>
    <w:rsid w:val="28F002A9"/>
    <w:rsid w:val="28F10206"/>
    <w:rsid w:val="28F466BD"/>
    <w:rsid w:val="28F7211F"/>
    <w:rsid w:val="28F96D0F"/>
    <w:rsid w:val="28FC235B"/>
    <w:rsid w:val="28FE2577"/>
    <w:rsid w:val="28FE60D3"/>
    <w:rsid w:val="29014311"/>
    <w:rsid w:val="290851A4"/>
    <w:rsid w:val="290F02E0"/>
    <w:rsid w:val="290F6532"/>
    <w:rsid w:val="2910074A"/>
    <w:rsid w:val="2916166F"/>
    <w:rsid w:val="29165815"/>
    <w:rsid w:val="291D29FD"/>
    <w:rsid w:val="29283150"/>
    <w:rsid w:val="292A511A"/>
    <w:rsid w:val="292D69B8"/>
    <w:rsid w:val="29310257"/>
    <w:rsid w:val="29387837"/>
    <w:rsid w:val="293D4E4D"/>
    <w:rsid w:val="29430898"/>
    <w:rsid w:val="29437F8A"/>
    <w:rsid w:val="29455AB0"/>
    <w:rsid w:val="294837F2"/>
    <w:rsid w:val="294A1318"/>
    <w:rsid w:val="294A23D5"/>
    <w:rsid w:val="294A756A"/>
    <w:rsid w:val="295403E9"/>
    <w:rsid w:val="2958519E"/>
    <w:rsid w:val="2959155B"/>
    <w:rsid w:val="295A02B5"/>
    <w:rsid w:val="295E6B72"/>
    <w:rsid w:val="296C5733"/>
    <w:rsid w:val="296C74E1"/>
    <w:rsid w:val="296F230F"/>
    <w:rsid w:val="2973086F"/>
    <w:rsid w:val="2975293D"/>
    <w:rsid w:val="297665B1"/>
    <w:rsid w:val="29852351"/>
    <w:rsid w:val="298C36DF"/>
    <w:rsid w:val="298E56A9"/>
    <w:rsid w:val="299407E6"/>
    <w:rsid w:val="29954C89"/>
    <w:rsid w:val="299A4D9F"/>
    <w:rsid w:val="299B1B74"/>
    <w:rsid w:val="299B6018"/>
    <w:rsid w:val="29A0362E"/>
    <w:rsid w:val="29A44ECD"/>
    <w:rsid w:val="29AD72AB"/>
    <w:rsid w:val="29AF561F"/>
    <w:rsid w:val="29B13146"/>
    <w:rsid w:val="29BD7D3C"/>
    <w:rsid w:val="29C40BAA"/>
    <w:rsid w:val="29C42E79"/>
    <w:rsid w:val="29C56BF1"/>
    <w:rsid w:val="29C63095"/>
    <w:rsid w:val="29C72969"/>
    <w:rsid w:val="29CA4207"/>
    <w:rsid w:val="29CB148B"/>
    <w:rsid w:val="29CF181E"/>
    <w:rsid w:val="29D0115F"/>
    <w:rsid w:val="29D357B2"/>
    <w:rsid w:val="29D65305"/>
    <w:rsid w:val="29D945FA"/>
    <w:rsid w:val="29DB4666"/>
    <w:rsid w:val="29DD03DE"/>
    <w:rsid w:val="29DF4189"/>
    <w:rsid w:val="29E21551"/>
    <w:rsid w:val="29E277A3"/>
    <w:rsid w:val="29EA10F2"/>
    <w:rsid w:val="29EA557F"/>
    <w:rsid w:val="29ED27BF"/>
    <w:rsid w:val="29F37C02"/>
    <w:rsid w:val="29FA4AED"/>
    <w:rsid w:val="29FB0865"/>
    <w:rsid w:val="29FD282F"/>
    <w:rsid w:val="2A021BF3"/>
    <w:rsid w:val="2A047719"/>
    <w:rsid w:val="2A077209"/>
    <w:rsid w:val="2A092F82"/>
    <w:rsid w:val="2A0B0AA8"/>
    <w:rsid w:val="2A0C2A72"/>
    <w:rsid w:val="2A0D0CC4"/>
    <w:rsid w:val="2A100EEF"/>
    <w:rsid w:val="2A1262DA"/>
    <w:rsid w:val="2A151926"/>
    <w:rsid w:val="2A17569E"/>
    <w:rsid w:val="2A190A01"/>
    <w:rsid w:val="2A1F27A5"/>
    <w:rsid w:val="2A21651D"/>
    <w:rsid w:val="2A261D85"/>
    <w:rsid w:val="2A2658E2"/>
    <w:rsid w:val="2A27165A"/>
    <w:rsid w:val="2A2878AC"/>
    <w:rsid w:val="2A2B114A"/>
    <w:rsid w:val="2A32072A"/>
    <w:rsid w:val="2A336250"/>
    <w:rsid w:val="2A3A75DF"/>
    <w:rsid w:val="2A3C5105"/>
    <w:rsid w:val="2A3D0E7D"/>
    <w:rsid w:val="2A3E70CF"/>
    <w:rsid w:val="2A41096D"/>
    <w:rsid w:val="2A44045E"/>
    <w:rsid w:val="2A44220C"/>
    <w:rsid w:val="2A473AAA"/>
    <w:rsid w:val="2A4C2E6E"/>
    <w:rsid w:val="2A4D10C0"/>
    <w:rsid w:val="2A5341FD"/>
    <w:rsid w:val="2A5732D4"/>
    <w:rsid w:val="2A573CED"/>
    <w:rsid w:val="2A5A1A2F"/>
    <w:rsid w:val="2A5C1303"/>
    <w:rsid w:val="2A6308E4"/>
    <w:rsid w:val="2A64640A"/>
    <w:rsid w:val="2A6603D4"/>
    <w:rsid w:val="2A68414C"/>
    <w:rsid w:val="2A691C72"/>
    <w:rsid w:val="2A6E7289"/>
    <w:rsid w:val="2A750617"/>
    <w:rsid w:val="2A77613D"/>
    <w:rsid w:val="2A781EB5"/>
    <w:rsid w:val="2A81520E"/>
    <w:rsid w:val="2A816FBC"/>
    <w:rsid w:val="2A8D770F"/>
    <w:rsid w:val="2A8E5901"/>
    <w:rsid w:val="2A922F77"/>
    <w:rsid w:val="2A930A9D"/>
    <w:rsid w:val="2A936847"/>
    <w:rsid w:val="2A947978"/>
    <w:rsid w:val="2A9767DF"/>
    <w:rsid w:val="2A9B642A"/>
    <w:rsid w:val="2A9F0556"/>
    <w:rsid w:val="2AA06124"/>
    <w:rsid w:val="2AA36F32"/>
    <w:rsid w:val="2AA44A58"/>
    <w:rsid w:val="2AA607D0"/>
    <w:rsid w:val="2AA837C0"/>
    <w:rsid w:val="2AAC6E5C"/>
    <w:rsid w:val="2AAD6003"/>
    <w:rsid w:val="2AB27175"/>
    <w:rsid w:val="2AB8768A"/>
    <w:rsid w:val="2AB96756"/>
    <w:rsid w:val="2ABA427C"/>
    <w:rsid w:val="2ABC4498"/>
    <w:rsid w:val="2AC1560A"/>
    <w:rsid w:val="2AC173F7"/>
    <w:rsid w:val="2AC450FA"/>
    <w:rsid w:val="2AC670C5"/>
    <w:rsid w:val="2AC86999"/>
    <w:rsid w:val="2AD215C5"/>
    <w:rsid w:val="2AD4533E"/>
    <w:rsid w:val="2ADC41F2"/>
    <w:rsid w:val="2AE13EFE"/>
    <w:rsid w:val="2AE15CAC"/>
    <w:rsid w:val="2AE35581"/>
    <w:rsid w:val="2AE61515"/>
    <w:rsid w:val="2AE97BF9"/>
    <w:rsid w:val="2AEA2DB3"/>
    <w:rsid w:val="2AEA4B61"/>
    <w:rsid w:val="2AEE25DB"/>
    <w:rsid w:val="2AEF2177"/>
    <w:rsid w:val="2AF07C9E"/>
    <w:rsid w:val="2AF23A16"/>
    <w:rsid w:val="2AF459E0"/>
    <w:rsid w:val="2AF552B4"/>
    <w:rsid w:val="2AFB01A6"/>
    <w:rsid w:val="2AFE069D"/>
    <w:rsid w:val="2AFE685E"/>
    <w:rsid w:val="2B006133"/>
    <w:rsid w:val="2B065713"/>
    <w:rsid w:val="2B084FE7"/>
    <w:rsid w:val="2B0F2475"/>
    <w:rsid w:val="2B0F281A"/>
    <w:rsid w:val="2B110340"/>
    <w:rsid w:val="2B170018"/>
    <w:rsid w:val="2B1C0A93"/>
    <w:rsid w:val="2B1E2A5D"/>
    <w:rsid w:val="2B200583"/>
    <w:rsid w:val="2B2362C5"/>
    <w:rsid w:val="2B275DB5"/>
    <w:rsid w:val="2B285689"/>
    <w:rsid w:val="2B287437"/>
    <w:rsid w:val="2B2A7653"/>
    <w:rsid w:val="2B2C517A"/>
    <w:rsid w:val="2B2D0EF2"/>
    <w:rsid w:val="2B367DA6"/>
    <w:rsid w:val="2B3825A0"/>
    <w:rsid w:val="2B391645"/>
    <w:rsid w:val="2B393440"/>
    <w:rsid w:val="2B3E30FF"/>
    <w:rsid w:val="2B4212DB"/>
    <w:rsid w:val="2B4612A3"/>
    <w:rsid w:val="2B465B0F"/>
    <w:rsid w:val="2B4D3342"/>
    <w:rsid w:val="2B5621F6"/>
    <w:rsid w:val="2B597F39"/>
    <w:rsid w:val="2B604E23"/>
    <w:rsid w:val="2B621490"/>
    <w:rsid w:val="2B644B72"/>
    <w:rsid w:val="2B65068C"/>
    <w:rsid w:val="2B6864BE"/>
    <w:rsid w:val="2B6A3EF4"/>
    <w:rsid w:val="2B6D12EE"/>
    <w:rsid w:val="2B6D7540"/>
    <w:rsid w:val="2B715282"/>
    <w:rsid w:val="2B762899"/>
    <w:rsid w:val="2B770B4F"/>
    <w:rsid w:val="2B7B1C5D"/>
    <w:rsid w:val="2B7B7EAF"/>
    <w:rsid w:val="2B813748"/>
    <w:rsid w:val="2B824D9A"/>
    <w:rsid w:val="2B886128"/>
    <w:rsid w:val="2B896186"/>
    <w:rsid w:val="2B8A1EA0"/>
    <w:rsid w:val="2B8D373E"/>
    <w:rsid w:val="2B8F395A"/>
    <w:rsid w:val="2B944ACD"/>
    <w:rsid w:val="2B953579"/>
    <w:rsid w:val="2B9A134C"/>
    <w:rsid w:val="2B9E407A"/>
    <w:rsid w:val="2B9E594C"/>
    <w:rsid w:val="2B9F3B9D"/>
    <w:rsid w:val="2BA32F62"/>
    <w:rsid w:val="2BAE2033"/>
    <w:rsid w:val="2BB138D1"/>
    <w:rsid w:val="2BB1567F"/>
    <w:rsid w:val="2BB17B44"/>
    <w:rsid w:val="2BB60EE7"/>
    <w:rsid w:val="2BB67139"/>
    <w:rsid w:val="2BBA5D65"/>
    <w:rsid w:val="2BBF4DD5"/>
    <w:rsid w:val="2BBF5FEE"/>
    <w:rsid w:val="2BC37160"/>
    <w:rsid w:val="2BC5737C"/>
    <w:rsid w:val="2BC613E5"/>
    <w:rsid w:val="2BC90C1A"/>
    <w:rsid w:val="2BC929C8"/>
    <w:rsid w:val="2BCA04EF"/>
    <w:rsid w:val="2BCA20CE"/>
    <w:rsid w:val="2BCA4992"/>
    <w:rsid w:val="2BCC070B"/>
    <w:rsid w:val="2BCE35C7"/>
    <w:rsid w:val="2BD1187D"/>
    <w:rsid w:val="2BD355F5"/>
    <w:rsid w:val="2BD55811"/>
    <w:rsid w:val="2BD650E5"/>
    <w:rsid w:val="2BDD0222"/>
    <w:rsid w:val="2BE45A54"/>
    <w:rsid w:val="2BE912BD"/>
    <w:rsid w:val="2BF0264B"/>
    <w:rsid w:val="2BF37A45"/>
    <w:rsid w:val="2BF612E4"/>
    <w:rsid w:val="2BFB7AA8"/>
    <w:rsid w:val="2BFC0FF0"/>
    <w:rsid w:val="2BFD08C4"/>
    <w:rsid w:val="2C002162"/>
    <w:rsid w:val="2C02412C"/>
    <w:rsid w:val="2C071743"/>
    <w:rsid w:val="2C0757FC"/>
    <w:rsid w:val="2C091017"/>
    <w:rsid w:val="2C0C0B07"/>
    <w:rsid w:val="2C106AFD"/>
    <w:rsid w:val="2C11436F"/>
    <w:rsid w:val="2C1520B2"/>
    <w:rsid w:val="2C163734"/>
    <w:rsid w:val="2C1A76C8"/>
    <w:rsid w:val="2C212804"/>
    <w:rsid w:val="2C242597"/>
    <w:rsid w:val="2C2E3173"/>
    <w:rsid w:val="2C351E0C"/>
    <w:rsid w:val="2C3E7E8A"/>
    <w:rsid w:val="2C3F50A5"/>
    <w:rsid w:val="2C4209CD"/>
    <w:rsid w:val="2C420A89"/>
    <w:rsid w:val="2C4304AE"/>
    <w:rsid w:val="2C484235"/>
    <w:rsid w:val="2C536736"/>
    <w:rsid w:val="2C537613"/>
    <w:rsid w:val="2C5636BA"/>
    <w:rsid w:val="2C57156B"/>
    <w:rsid w:val="2C576226"/>
    <w:rsid w:val="2C5967F0"/>
    <w:rsid w:val="2C5A7AC4"/>
    <w:rsid w:val="2C5B55EB"/>
    <w:rsid w:val="2C5D5807"/>
    <w:rsid w:val="2C666469"/>
    <w:rsid w:val="2C671380"/>
    <w:rsid w:val="2C6721E1"/>
    <w:rsid w:val="2C6B0469"/>
    <w:rsid w:val="2C6B1CD2"/>
    <w:rsid w:val="2C6B7F24"/>
    <w:rsid w:val="2C6D3C9C"/>
    <w:rsid w:val="2C6E3570"/>
    <w:rsid w:val="2C70553A"/>
    <w:rsid w:val="2C723060"/>
    <w:rsid w:val="2C7548FE"/>
    <w:rsid w:val="2C772424"/>
    <w:rsid w:val="2C7726EA"/>
    <w:rsid w:val="2C792640"/>
    <w:rsid w:val="2C7C328E"/>
    <w:rsid w:val="2C7D1A05"/>
    <w:rsid w:val="2C7F39CF"/>
    <w:rsid w:val="2C840FE5"/>
    <w:rsid w:val="2C884632"/>
    <w:rsid w:val="2C8D1C48"/>
    <w:rsid w:val="2C970D19"/>
    <w:rsid w:val="2C974875"/>
    <w:rsid w:val="2C99432D"/>
    <w:rsid w:val="2C9A25B7"/>
    <w:rsid w:val="2C9C632F"/>
    <w:rsid w:val="2C9D5C03"/>
    <w:rsid w:val="2CA13945"/>
    <w:rsid w:val="2CA219C4"/>
    <w:rsid w:val="2CA3146B"/>
    <w:rsid w:val="2CA368AB"/>
    <w:rsid w:val="2CA46F92"/>
    <w:rsid w:val="2CAE256E"/>
    <w:rsid w:val="2CB210D8"/>
    <w:rsid w:val="2CB371D5"/>
    <w:rsid w:val="2CB47D31"/>
    <w:rsid w:val="2CB54630"/>
    <w:rsid w:val="2CBE44F7"/>
    <w:rsid w:val="2CC55886"/>
    <w:rsid w:val="2CC64A95"/>
    <w:rsid w:val="2CC9676B"/>
    <w:rsid w:val="2CCA2E9C"/>
    <w:rsid w:val="2CCD7BF4"/>
    <w:rsid w:val="2CCF04B2"/>
    <w:rsid w:val="2CD47877"/>
    <w:rsid w:val="2CD51841"/>
    <w:rsid w:val="2CE43832"/>
    <w:rsid w:val="2CE61E43"/>
    <w:rsid w:val="2CE66C64"/>
    <w:rsid w:val="2CE81574"/>
    <w:rsid w:val="2CEA52EC"/>
    <w:rsid w:val="2CEB2E12"/>
    <w:rsid w:val="2CEE645F"/>
    <w:rsid w:val="2CF25F4F"/>
    <w:rsid w:val="2CF33A75"/>
    <w:rsid w:val="2CF45B57"/>
    <w:rsid w:val="2CF75313"/>
    <w:rsid w:val="2CF9108B"/>
    <w:rsid w:val="2CFB12A7"/>
    <w:rsid w:val="2D0619FA"/>
    <w:rsid w:val="2D0D2D89"/>
    <w:rsid w:val="2D0D4B37"/>
    <w:rsid w:val="2D11537C"/>
    <w:rsid w:val="2D12039F"/>
    <w:rsid w:val="2D142369"/>
    <w:rsid w:val="2D1660E1"/>
    <w:rsid w:val="2D19172E"/>
    <w:rsid w:val="2D1E0AF2"/>
    <w:rsid w:val="2D2500D2"/>
    <w:rsid w:val="2D317A4E"/>
    <w:rsid w:val="2D320A41"/>
    <w:rsid w:val="2D333E8E"/>
    <w:rsid w:val="2D340315"/>
    <w:rsid w:val="2D394446"/>
    <w:rsid w:val="2D3C01F6"/>
    <w:rsid w:val="2D3C6C70"/>
    <w:rsid w:val="2D3D1B8E"/>
    <w:rsid w:val="2D4349FC"/>
    <w:rsid w:val="2D480265"/>
    <w:rsid w:val="2D4F2187"/>
    <w:rsid w:val="2D5238FD"/>
    <w:rsid w:val="2D525D6B"/>
    <w:rsid w:val="2D55028C"/>
    <w:rsid w:val="2D574004"/>
    <w:rsid w:val="2D594220"/>
    <w:rsid w:val="2D5B1D46"/>
    <w:rsid w:val="2D60217B"/>
    <w:rsid w:val="2D636E4D"/>
    <w:rsid w:val="2D656721"/>
    <w:rsid w:val="2D7050C6"/>
    <w:rsid w:val="2D746964"/>
    <w:rsid w:val="2D776454"/>
    <w:rsid w:val="2D79041E"/>
    <w:rsid w:val="2D796670"/>
    <w:rsid w:val="2D7C1CBC"/>
    <w:rsid w:val="2D8079FF"/>
    <w:rsid w:val="2D826894"/>
    <w:rsid w:val="2D83129D"/>
    <w:rsid w:val="2D8748E9"/>
    <w:rsid w:val="2D915768"/>
    <w:rsid w:val="2D917516"/>
    <w:rsid w:val="2D945258"/>
    <w:rsid w:val="2D9C2C4D"/>
    <w:rsid w:val="2D9E1C33"/>
    <w:rsid w:val="2D9E60D7"/>
    <w:rsid w:val="2DA25FA7"/>
    <w:rsid w:val="2DA37249"/>
    <w:rsid w:val="2DA608F6"/>
    <w:rsid w:val="2DA82AB1"/>
    <w:rsid w:val="2DAA05D8"/>
    <w:rsid w:val="2DAD1E76"/>
    <w:rsid w:val="2DAF08E4"/>
    <w:rsid w:val="2DB3340F"/>
    <w:rsid w:val="2DB41456"/>
    <w:rsid w:val="2DB66F7C"/>
    <w:rsid w:val="2DB87198"/>
    <w:rsid w:val="2DBA3FC2"/>
    <w:rsid w:val="2DC0604D"/>
    <w:rsid w:val="2DC53663"/>
    <w:rsid w:val="2DCA0C7A"/>
    <w:rsid w:val="2DCA6ECC"/>
    <w:rsid w:val="2DD13DB6"/>
    <w:rsid w:val="2DD1693B"/>
    <w:rsid w:val="2DD37B2E"/>
    <w:rsid w:val="2DD80BB4"/>
    <w:rsid w:val="2DDD6BFF"/>
    <w:rsid w:val="2DDF4725"/>
    <w:rsid w:val="2DE0224B"/>
    <w:rsid w:val="2DE218F1"/>
    <w:rsid w:val="2DE24215"/>
    <w:rsid w:val="2DE81B39"/>
    <w:rsid w:val="2DEA55A7"/>
    <w:rsid w:val="2DEC0BF0"/>
    <w:rsid w:val="2DEC6E42"/>
    <w:rsid w:val="2DEE4968"/>
    <w:rsid w:val="2DEF248E"/>
    <w:rsid w:val="2DF255F8"/>
    <w:rsid w:val="2DF301D1"/>
    <w:rsid w:val="2DF37D7F"/>
    <w:rsid w:val="2DF6413D"/>
    <w:rsid w:val="2DF9330D"/>
    <w:rsid w:val="2DF950BB"/>
    <w:rsid w:val="2DFB52D7"/>
    <w:rsid w:val="2DFE26D1"/>
    <w:rsid w:val="2E00644A"/>
    <w:rsid w:val="2E0E6CF4"/>
    <w:rsid w:val="2E100D83"/>
    <w:rsid w:val="2E1168A9"/>
    <w:rsid w:val="2E1920A8"/>
    <w:rsid w:val="2E19750B"/>
    <w:rsid w:val="2E1B14D5"/>
    <w:rsid w:val="2E1B7727"/>
    <w:rsid w:val="2E1E483C"/>
    <w:rsid w:val="2E2C723F"/>
    <w:rsid w:val="2E2E745B"/>
    <w:rsid w:val="2E310CF9"/>
    <w:rsid w:val="2E334A71"/>
    <w:rsid w:val="2E383E35"/>
    <w:rsid w:val="2E3A5DFF"/>
    <w:rsid w:val="2E3B56D4"/>
    <w:rsid w:val="2E3C5442"/>
    <w:rsid w:val="2E456552"/>
    <w:rsid w:val="2E4839E5"/>
    <w:rsid w:val="2E4A025D"/>
    <w:rsid w:val="2E4B1DBB"/>
    <w:rsid w:val="2E4C168F"/>
    <w:rsid w:val="2E4F2F2D"/>
    <w:rsid w:val="2E552C39"/>
    <w:rsid w:val="2E595D0C"/>
    <w:rsid w:val="2E5B7B24"/>
    <w:rsid w:val="2E6115DE"/>
    <w:rsid w:val="2E627104"/>
    <w:rsid w:val="2E641424"/>
    <w:rsid w:val="2E654E64"/>
    <w:rsid w:val="2E666BF4"/>
    <w:rsid w:val="2E6C1D31"/>
    <w:rsid w:val="2E6C3ADF"/>
    <w:rsid w:val="2E6E7857"/>
    <w:rsid w:val="2E7110F5"/>
    <w:rsid w:val="2E741572"/>
    <w:rsid w:val="2E782484"/>
    <w:rsid w:val="2E794790"/>
    <w:rsid w:val="2E7B3D22"/>
    <w:rsid w:val="2E7C6418"/>
    <w:rsid w:val="2E7D5CEC"/>
    <w:rsid w:val="2E7E51F5"/>
    <w:rsid w:val="2E7F7CB6"/>
    <w:rsid w:val="2E8250B1"/>
    <w:rsid w:val="2E883108"/>
    <w:rsid w:val="2E8B665B"/>
    <w:rsid w:val="2E8D23D3"/>
    <w:rsid w:val="2E905A1F"/>
    <w:rsid w:val="2E913546"/>
    <w:rsid w:val="2E930B5B"/>
    <w:rsid w:val="2EA27501"/>
    <w:rsid w:val="2EA346D4"/>
    <w:rsid w:val="2EA43368"/>
    <w:rsid w:val="2EA63495"/>
    <w:rsid w:val="2EA66FF1"/>
    <w:rsid w:val="2EA8720D"/>
    <w:rsid w:val="2EB060C2"/>
    <w:rsid w:val="2EB11513"/>
    <w:rsid w:val="2EB21E3A"/>
    <w:rsid w:val="2EB84F76"/>
    <w:rsid w:val="2EB86D24"/>
    <w:rsid w:val="2EC8340B"/>
    <w:rsid w:val="2EC97183"/>
    <w:rsid w:val="2ECD6C74"/>
    <w:rsid w:val="2ED022C0"/>
    <w:rsid w:val="2ED3590C"/>
    <w:rsid w:val="2ED51684"/>
    <w:rsid w:val="2ED578D6"/>
    <w:rsid w:val="2ED660AE"/>
    <w:rsid w:val="2EDA4EED"/>
    <w:rsid w:val="2EDB1BAF"/>
    <w:rsid w:val="2EE47B19"/>
    <w:rsid w:val="2EE67D35"/>
    <w:rsid w:val="2EE7693B"/>
    <w:rsid w:val="2EED10C4"/>
    <w:rsid w:val="2EED4C20"/>
    <w:rsid w:val="2EFC4E63"/>
    <w:rsid w:val="2EFE7B1A"/>
    <w:rsid w:val="2EFF2BA5"/>
    <w:rsid w:val="2F034443"/>
    <w:rsid w:val="2F041F69"/>
    <w:rsid w:val="2F097580"/>
    <w:rsid w:val="2F0D0E1E"/>
    <w:rsid w:val="2F0D2EF1"/>
    <w:rsid w:val="2F0F64BF"/>
    <w:rsid w:val="2F126434"/>
    <w:rsid w:val="2F146650"/>
    <w:rsid w:val="2F206382"/>
    <w:rsid w:val="2F261EE0"/>
    <w:rsid w:val="2F2952C8"/>
    <w:rsid w:val="2F2A7C22"/>
    <w:rsid w:val="2F2B5748"/>
    <w:rsid w:val="2F2D326E"/>
    <w:rsid w:val="2F3A3BDD"/>
    <w:rsid w:val="2F454A5C"/>
    <w:rsid w:val="2F4607D4"/>
    <w:rsid w:val="2F493E5D"/>
    <w:rsid w:val="2F4C18B1"/>
    <w:rsid w:val="2F522CD5"/>
    <w:rsid w:val="2F546A4D"/>
    <w:rsid w:val="2F596EAE"/>
    <w:rsid w:val="2F5A7DDB"/>
    <w:rsid w:val="2F5B427F"/>
    <w:rsid w:val="2F5C1DA5"/>
    <w:rsid w:val="2F5E167A"/>
    <w:rsid w:val="2F5E5915"/>
    <w:rsid w:val="2F601896"/>
    <w:rsid w:val="2F656EAC"/>
    <w:rsid w:val="2F6A2714"/>
    <w:rsid w:val="2F6A44C2"/>
    <w:rsid w:val="2F6A6270"/>
    <w:rsid w:val="2F6D7B0F"/>
    <w:rsid w:val="2F707D55"/>
    <w:rsid w:val="2F7D2448"/>
    <w:rsid w:val="2F827680"/>
    <w:rsid w:val="2F8336E1"/>
    <w:rsid w:val="2F8512FC"/>
    <w:rsid w:val="2F880DEC"/>
    <w:rsid w:val="2F8A06C1"/>
    <w:rsid w:val="2F8A246F"/>
    <w:rsid w:val="2F8A6913"/>
    <w:rsid w:val="2F8F3F29"/>
    <w:rsid w:val="2F911A4F"/>
    <w:rsid w:val="2F94153F"/>
    <w:rsid w:val="2F947791"/>
    <w:rsid w:val="2F950E14"/>
    <w:rsid w:val="2F9559F5"/>
    <w:rsid w:val="2F963509"/>
    <w:rsid w:val="2F967065"/>
    <w:rsid w:val="2F974B8C"/>
    <w:rsid w:val="2F9C3622"/>
    <w:rsid w:val="2F9E23BE"/>
    <w:rsid w:val="2F9E416C"/>
    <w:rsid w:val="2FA200FA"/>
    <w:rsid w:val="2FA23C5C"/>
    <w:rsid w:val="2FA5374C"/>
    <w:rsid w:val="2FB43990"/>
    <w:rsid w:val="2FB7522E"/>
    <w:rsid w:val="2FB76FDC"/>
    <w:rsid w:val="2FBA1E87"/>
    <w:rsid w:val="2FBB6ACC"/>
    <w:rsid w:val="2FC11BFB"/>
    <w:rsid w:val="2FC35981"/>
    <w:rsid w:val="2FC37FC9"/>
    <w:rsid w:val="2FC45947"/>
    <w:rsid w:val="2FC473F5"/>
    <w:rsid w:val="2FC755CC"/>
    <w:rsid w:val="2FCA5025"/>
    <w:rsid w:val="2FCE2CA3"/>
    <w:rsid w:val="2FD1009E"/>
    <w:rsid w:val="2FD14A07"/>
    <w:rsid w:val="2FDC6A42"/>
    <w:rsid w:val="2FE003FB"/>
    <w:rsid w:val="2FE06533"/>
    <w:rsid w:val="2FE36023"/>
    <w:rsid w:val="2FEA7FE5"/>
    <w:rsid w:val="2FF65D56"/>
    <w:rsid w:val="2FF67B04"/>
    <w:rsid w:val="2FF975F4"/>
    <w:rsid w:val="2FFC4FCE"/>
    <w:rsid w:val="2FFD5337"/>
    <w:rsid w:val="2FFE2E5D"/>
    <w:rsid w:val="300D4E4E"/>
    <w:rsid w:val="30110DE2"/>
    <w:rsid w:val="30112B90"/>
    <w:rsid w:val="30160B66"/>
    <w:rsid w:val="301740EE"/>
    <w:rsid w:val="301B756B"/>
    <w:rsid w:val="301D32E3"/>
    <w:rsid w:val="30202DD3"/>
    <w:rsid w:val="30247BB5"/>
    <w:rsid w:val="302609B4"/>
    <w:rsid w:val="30274161"/>
    <w:rsid w:val="302C1778"/>
    <w:rsid w:val="30390F89"/>
    <w:rsid w:val="30395C43"/>
    <w:rsid w:val="303B0E87"/>
    <w:rsid w:val="303D5733"/>
    <w:rsid w:val="3040220C"/>
    <w:rsid w:val="30403A01"/>
    <w:rsid w:val="30420F9B"/>
    <w:rsid w:val="3045283A"/>
    <w:rsid w:val="30466CDD"/>
    <w:rsid w:val="304765B2"/>
    <w:rsid w:val="305111DE"/>
    <w:rsid w:val="30556F21"/>
    <w:rsid w:val="305807BF"/>
    <w:rsid w:val="305D5DD5"/>
    <w:rsid w:val="305E56A9"/>
    <w:rsid w:val="306029C1"/>
    <w:rsid w:val="30615592"/>
    <w:rsid w:val="30626DBD"/>
    <w:rsid w:val="30647164"/>
    <w:rsid w:val="30656A38"/>
    <w:rsid w:val="30670A02"/>
    <w:rsid w:val="30731155"/>
    <w:rsid w:val="307849BD"/>
    <w:rsid w:val="307939DE"/>
    <w:rsid w:val="30794CA9"/>
    <w:rsid w:val="307A24E3"/>
    <w:rsid w:val="307A6987"/>
    <w:rsid w:val="307C26FF"/>
    <w:rsid w:val="30817D16"/>
    <w:rsid w:val="30847806"/>
    <w:rsid w:val="30890978"/>
    <w:rsid w:val="30937ACA"/>
    <w:rsid w:val="30963095"/>
    <w:rsid w:val="309A0BAA"/>
    <w:rsid w:val="30A13F14"/>
    <w:rsid w:val="30A57A93"/>
    <w:rsid w:val="30AC28B9"/>
    <w:rsid w:val="30B65FD4"/>
    <w:rsid w:val="30B67293"/>
    <w:rsid w:val="30BA4FD6"/>
    <w:rsid w:val="30BF25EC"/>
    <w:rsid w:val="30BF439A"/>
    <w:rsid w:val="30C6397A"/>
    <w:rsid w:val="30C65728"/>
    <w:rsid w:val="30C714A1"/>
    <w:rsid w:val="30CC59E1"/>
    <w:rsid w:val="30CC6AB7"/>
    <w:rsid w:val="30D140CD"/>
    <w:rsid w:val="30D21DB8"/>
    <w:rsid w:val="30D51ACE"/>
    <w:rsid w:val="30D53BBD"/>
    <w:rsid w:val="30D81900"/>
    <w:rsid w:val="30D83F84"/>
    <w:rsid w:val="30DA5D29"/>
    <w:rsid w:val="30DA7426"/>
    <w:rsid w:val="30DB2905"/>
    <w:rsid w:val="30E12562"/>
    <w:rsid w:val="30E20088"/>
    <w:rsid w:val="30E65DCB"/>
    <w:rsid w:val="30E738F1"/>
    <w:rsid w:val="30E958BB"/>
    <w:rsid w:val="30EE0F16"/>
    <w:rsid w:val="30F2476F"/>
    <w:rsid w:val="30F71D86"/>
    <w:rsid w:val="30F73B34"/>
    <w:rsid w:val="30FA7AC8"/>
    <w:rsid w:val="30FC114A"/>
    <w:rsid w:val="310444A3"/>
    <w:rsid w:val="31091AB9"/>
    <w:rsid w:val="310B3A83"/>
    <w:rsid w:val="310D3357"/>
    <w:rsid w:val="310E5321"/>
    <w:rsid w:val="310E70CF"/>
    <w:rsid w:val="3112096E"/>
    <w:rsid w:val="31126BC0"/>
    <w:rsid w:val="31132938"/>
    <w:rsid w:val="311C17EC"/>
    <w:rsid w:val="31244B45"/>
    <w:rsid w:val="312863E3"/>
    <w:rsid w:val="312B1A2F"/>
    <w:rsid w:val="312C32BA"/>
    <w:rsid w:val="313474AF"/>
    <w:rsid w:val="31375E30"/>
    <w:rsid w:val="313F372D"/>
    <w:rsid w:val="31413001"/>
    <w:rsid w:val="31422F43"/>
    <w:rsid w:val="31436D79"/>
    <w:rsid w:val="31442AF1"/>
    <w:rsid w:val="31462D0D"/>
    <w:rsid w:val="31466869"/>
    <w:rsid w:val="314C6BC6"/>
    <w:rsid w:val="314D19A6"/>
    <w:rsid w:val="31502D18"/>
    <w:rsid w:val="315076E8"/>
    <w:rsid w:val="3163566D"/>
    <w:rsid w:val="31677888"/>
    <w:rsid w:val="316D029A"/>
    <w:rsid w:val="316E7B6E"/>
    <w:rsid w:val="316F5DC0"/>
    <w:rsid w:val="31717D8A"/>
    <w:rsid w:val="317433D6"/>
    <w:rsid w:val="317909ED"/>
    <w:rsid w:val="31813D45"/>
    <w:rsid w:val="3186741C"/>
    <w:rsid w:val="318A0E4C"/>
    <w:rsid w:val="318A56FB"/>
    <w:rsid w:val="318B0720"/>
    <w:rsid w:val="318D6C29"/>
    <w:rsid w:val="318F2126"/>
    <w:rsid w:val="3195029C"/>
    <w:rsid w:val="3195334D"/>
    <w:rsid w:val="319677F1"/>
    <w:rsid w:val="31975317"/>
    <w:rsid w:val="31A11CF2"/>
    <w:rsid w:val="31A55C86"/>
    <w:rsid w:val="31A57A34"/>
    <w:rsid w:val="31A87524"/>
    <w:rsid w:val="31AA1443"/>
    <w:rsid w:val="31AC2C28"/>
    <w:rsid w:val="31AD0696"/>
    <w:rsid w:val="31AD6B19"/>
    <w:rsid w:val="31B0642F"/>
    <w:rsid w:val="31B22151"/>
    <w:rsid w:val="31BB689B"/>
    <w:rsid w:val="31BB7257"/>
    <w:rsid w:val="31BE0AF5"/>
    <w:rsid w:val="31C0486E"/>
    <w:rsid w:val="31C61758"/>
    <w:rsid w:val="31C75BFC"/>
    <w:rsid w:val="31C96BB8"/>
    <w:rsid w:val="31CB6D6E"/>
    <w:rsid w:val="31D125D7"/>
    <w:rsid w:val="31D65E3F"/>
    <w:rsid w:val="31D67BED"/>
    <w:rsid w:val="31DB5026"/>
    <w:rsid w:val="31DE6AA2"/>
    <w:rsid w:val="31E00A6C"/>
    <w:rsid w:val="31E02058"/>
    <w:rsid w:val="31E866CA"/>
    <w:rsid w:val="31E87920"/>
    <w:rsid w:val="31ED122D"/>
    <w:rsid w:val="31EF6F01"/>
    <w:rsid w:val="31F167D5"/>
    <w:rsid w:val="31F6028F"/>
    <w:rsid w:val="31F6203D"/>
    <w:rsid w:val="31F87078"/>
    <w:rsid w:val="31F97D80"/>
    <w:rsid w:val="31FC33CC"/>
    <w:rsid w:val="31FD161E"/>
    <w:rsid w:val="320E382B"/>
    <w:rsid w:val="32110C25"/>
    <w:rsid w:val="32180206"/>
    <w:rsid w:val="32195D2C"/>
    <w:rsid w:val="3224162D"/>
    <w:rsid w:val="322841C1"/>
    <w:rsid w:val="32292413"/>
    <w:rsid w:val="322A618B"/>
    <w:rsid w:val="322C5A5F"/>
    <w:rsid w:val="32326DEE"/>
    <w:rsid w:val="32340DB8"/>
    <w:rsid w:val="3236068C"/>
    <w:rsid w:val="323668DE"/>
    <w:rsid w:val="323C55FD"/>
    <w:rsid w:val="324218CF"/>
    <w:rsid w:val="3244724D"/>
    <w:rsid w:val="32467F99"/>
    <w:rsid w:val="324A2ACB"/>
    <w:rsid w:val="324A7697"/>
    <w:rsid w:val="324B1BD2"/>
    <w:rsid w:val="324C4353"/>
    <w:rsid w:val="324E1E79"/>
    <w:rsid w:val="325356E2"/>
    <w:rsid w:val="325743FA"/>
    <w:rsid w:val="325A6A70"/>
    <w:rsid w:val="325F4087"/>
    <w:rsid w:val="326351F9"/>
    <w:rsid w:val="32674CE9"/>
    <w:rsid w:val="32696CB3"/>
    <w:rsid w:val="326E25A0"/>
    <w:rsid w:val="326E7E26"/>
    <w:rsid w:val="32713DBA"/>
    <w:rsid w:val="32760343"/>
    <w:rsid w:val="327A2C6E"/>
    <w:rsid w:val="327A39AE"/>
    <w:rsid w:val="327D556A"/>
    <w:rsid w:val="327F0285"/>
    <w:rsid w:val="32803FFD"/>
    <w:rsid w:val="32843AED"/>
    <w:rsid w:val="328533C1"/>
    <w:rsid w:val="32877139"/>
    <w:rsid w:val="32892EB1"/>
    <w:rsid w:val="328B4E7C"/>
    <w:rsid w:val="328C4750"/>
    <w:rsid w:val="328E04C8"/>
    <w:rsid w:val="32902492"/>
    <w:rsid w:val="32931F82"/>
    <w:rsid w:val="329C0D99"/>
    <w:rsid w:val="32A23F73"/>
    <w:rsid w:val="32A33B29"/>
    <w:rsid w:val="32A55811"/>
    <w:rsid w:val="32A61E19"/>
    <w:rsid w:val="32A95302"/>
    <w:rsid w:val="32AB72CC"/>
    <w:rsid w:val="32B30CA6"/>
    <w:rsid w:val="32B75C71"/>
    <w:rsid w:val="32B900B2"/>
    <w:rsid w:val="32B902C1"/>
    <w:rsid w:val="32B9580A"/>
    <w:rsid w:val="32BA12BD"/>
    <w:rsid w:val="32BF0681"/>
    <w:rsid w:val="32BF2D77"/>
    <w:rsid w:val="32C1066E"/>
    <w:rsid w:val="32C33F44"/>
    <w:rsid w:val="32C4038E"/>
    <w:rsid w:val="32C4638C"/>
    <w:rsid w:val="32C51A10"/>
    <w:rsid w:val="32C91500"/>
    <w:rsid w:val="32C959A4"/>
    <w:rsid w:val="32CB5049"/>
    <w:rsid w:val="32D0288E"/>
    <w:rsid w:val="32D85BE7"/>
    <w:rsid w:val="32D978AB"/>
    <w:rsid w:val="32DC56D7"/>
    <w:rsid w:val="32DD4FAB"/>
    <w:rsid w:val="32E0684A"/>
    <w:rsid w:val="32E12CEE"/>
    <w:rsid w:val="32E4458C"/>
    <w:rsid w:val="32E53E60"/>
    <w:rsid w:val="32E620B2"/>
    <w:rsid w:val="32E97DF4"/>
    <w:rsid w:val="32EB1476"/>
    <w:rsid w:val="32F04CDF"/>
    <w:rsid w:val="32F56799"/>
    <w:rsid w:val="32F72511"/>
    <w:rsid w:val="32FA6DD7"/>
    <w:rsid w:val="32FB3683"/>
    <w:rsid w:val="32FD564D"/>
    <w:rsid w:val="32FD73FC"/>
    <w:rsid w:val="33003E5A"/>
    <w:rsid w:val="330662B0"/>
    <w:rsid w:val="330B1B18"/>
    <w:rsid w:val="330C1B8A"/>
    <w:rsid w:val="330E785B"/>
    <w:rsid w:val="3310712F"/>
    <w:rsid w:val="33122EA7"/>
    <w:rsid w:val="331704BD"/>
    <w:rsid w:val="33184235"/>
    <w:rsid w:val="331C5AD4"/>
    <w:rsid w:val="331D35FA"/>
    <w:rsid w:val="331F2C8E"/>
    <w:rsid w:val="3321758E"/>
    <w:rsid w:val="332350B4"/>
    <w:rsid w:val="3327701F"/>
    <w:rsid w:val="33296443"/>
    <w:rsid w:val="332B7152"/>
    <w:rsid w:val="332D5F33"/>
    <w:rsid w:val="33396D89"/>
    <w:rsid w:val="333A41AC"/>
    <w:rsid w:val="333C7F24"/>
    <w:rsid w:val="334119DE"/>
    <w:rsid w:val="33424F22"/>
    <w:rsid w:val="33462B51"/>
    <w:rsid w:val="33482D6D"/>
    <w:rsid w:val="33486795"/>
    <w:rsid w:val="334F4E0C"/>
    <w:rsid w:val="335334BF"/>
    <w:rsid w:val="3353526D"/>
    <w:rsid w:val="33552D94"/>
    <w:rsid w:val="335576E9"/>
    <w:rsid w:val="335A484E"/>
    <w:rsid w:val="335C2374"/>
    <w:rsid w:val="335E433E"/>
    <w:rsid w:val="33641229"/>
    <w:rsid w:val="33664FA1"/>
    <w:rsid w:val="336762D8"/>
    <w:rsid w:val="337201A6"/>
    <w:rsid w:val="33721B98"/>
    <w:rsid w:val="33727DEA"/>
    <w:rsid w:val="33745910"/>
    <w:rsid w:val="337551E4"/>
    <w:rsid w:val="33775400"/>
    <w:rsid w:val="33791178"/>
    <w:rsid w:val="337A4E30"/>
    <w:rsid w:val="337E788D"/>
    <w:rsid w:val="33802506"/>
    <w:rsid w:val="338C7E18"/>
    <w:rsid w:val="338D077F"/>
    <w:rsid w:val="338D4C23"/>
    <w:rsid w:val="338F218D"/>
    <w:rsid w:val="338F274A"/>
    <w:rsid w:val="338F44F8"/>
    <w:rsid w:val="33944C81"/>
    <w:rsid w:val="3398083D"/>
    <w:rsid w:val="339A10EE"/>
    <w:rsid w:val="339B7340"/>
    <w:rsid w:val="33A1247D"/>
    <w:rsid w:val="33A30402"/>
    <w:rsid w:val="33A65CE5"/>
    <w:rsid w:val="33A930DF"/>
    <w:rsid w:val="33A9635F"/>
    <w:rsid w:val="33AA1331"/>
    <w:rsid w:val="33B51A84"/>
    <w:rsid w:val="33B977C6"/>
    <w:rsid w:val="33C1667B"/>
    <w:rsid w:val="33C65A3F"/>
    <w:rsid w:val="33CD5020"/>
    <w:rsid w:val="33D36C61"/>
    <w:rsid w:val="33D939C5"/>
    <w:rsid w:val="33DC34B5"/>
    <w:rsid w:val="33E12879"/>
    <w:rsid w:val="33E505BB"/>
    <w:rsid w:val="33E67E90"/>
    <w:rsid w:val="33EA7980"/>
    <w:rsid w:val="33F151B2"/>
    <w:rsid w:val="33F95E15"/>
    <w:rsid w:val="34000D4E"/>
    <w:rsid w:val="3402116D"/>
    <w:rsid w:val="340A6274"/>
    <w:rsid w:val="341D4C26"/>
    <w:rsid w:val="341D5FA7"/>
    <w:rsid w:val="341E1D9A"/>
    <w:rsid w:val="34254E5C"/>
    <w:rsid w:val="34264730"/>
    <w:rsid w:val="34270BD4"/>
    <w:rsid w:val="342804A8"/>
    <w:rsid w:val="342A4220"/>
    <w:rsid w:val="3431735D"/>
    <w:rsid w:val="343855E6"/>
    <w:rsid w:val="34394463"/>
    <w:rsid w:val="343D03F7"/>
    <w:rsid w:val="343F3CA4"/>
    <w:rsid w:val="343F40B7"/>
    <w:rsid w:val="3442208C"/>
    <w:rsid w:val="34433534"/>
    <w:rsid w:val="34474DD2"/>
    <w:rsid w:val="344C063B"/>
    <w:rsid w:val="344C4197"/>
    <w:rsid w:val="34514203"/>
    <w:rsid w:val="345179FF"/>
    <w:rsid w:val="34533777"/>
    <w:rsid w:val="345649E1"/>
    <w:rsid w:val="34607C42"/>
    <w:rsid w:val="34637732"/>
    <w:rsid w:val="34677222"/>
    <w:rsid w:val="34692F9B"/>
    <w:rsid w:val="34697E8A"/>
    <w:rsid w:val="346A0AC1"/>
    <w:rsid w:val="34727975"/>
    <w:rsid w:val="347436ED"/>
    <w:rsid w:val="34767465"/>
    <w:rsid w:val="34767476"/>
    <w:rsid w:val="347A1192"/>
    <w:rsid w:val="347B2CCE"/>
    <w:rsid w:val="347C3678"/>
    <w:rsid w:val="347D25A2"/>
    <w:rsid w:val="347E6ABB"/>
    <w:rsid w:val="34852243"/>
    <w:rsid w:val="348558FB"/>
    <w:rsid w:val="348813F2"/>
    <w:rsid w:val="348934FD"/>
    <w:rsid w:val="348C458B"/>
    <w:rsid w:val="3491604D"/>
    <w:rsid w:val="34931DC5"/>
    <w:rsid w:val="34943D90"/>
    <w:rsid w:val="349618B6"/>
    <w:rsid w:val="34967B08"/>
    <w:rsid w:val="34A2025B"/>
    <w:rsid w:val="34A35D81"/>
    <w:rsid w:val="34A51BDE"/>
    <w:rsid w:val="34A52E51"/>
    <w:rsid w:val="34A7275C"/>
    <w:rsid w:val="34A73AC3"/>
    <w:rsid w:val="34A75871"/>
    <w:rsid w:val="34AA710F"/>
    <w:rsid w:val="34AB4315"/>
    <w:rsid w:val="34AC2E87"/>
    <w:rsid w:val="34B03D35"/>
    <w:rsid w:val="34B32468"/>
    <w:rsid w:val="34BD008F"/>
    <w:rsid w:val="34BD1C50"/>
    <w:rsid w:val="34BF2BBB"/>
    <w:rsid w:val="34BF6EE8"/>
    <w:rsid w:val="34C06933"/>
    <w:rsid w:val="34C23B58"/>
    <w:rsid w:val="34C401D1"/>
    <w:rsid w:val="34C74165"/>
    <w:rsid w:val="34CE1050"/>
    <w:rsid w:val="34D04DC8"/>
    <w:rsid w:val="34DF500B"/>
    <w:rsid w:val="34E56399"/>
    <w:rsid w:val="34EA0E8D"/>
    <w:rsid w:val="34EA39B0"/>
    <w:rsid w:val="34EC3BCC"/>
    <w:rsid w:val="34EC70FE"/>
    <w:rsid w:val="34ED53F4"/>
    <w:rsid w:val="34F5482E"/>
    <w:rsid w:val="34F860CC"/>
    <w:rsid w:val="34FC508B"/>
    <w:rsid w:val="35061822"/>
    <w:rsid w:val="35076310"/>
    <w:rsid w:val="350D601C"/>
    <w:rsid w:val="35140282"/>
    <w:rsid w:val="3518051D"/>
    <w:rsid w:val="351F18AB"/>
    <w:rsid w:val="35213875"/>
    <w:rsid w:val="35270760"/>
    <w:rsid w:val="35286956"/>
    <w:rsid w:val="352B64A2"/>
    <w:rsid w:val="352C10AF"/>
    <w:rsid w:val="352C3FC8"/>
    <w:rsid w:val="352E7D40"/>
    <w:rsid w:val="35303AB8"/>
    <w:rsid w:val="35374E47"/>
    <w:rsid w:val="353C4247"/>
    <w:rsid w:val="353D7F83"/>
    <w:rsid w:val="35415CC5"/>
    <w:rsid w:val="3542559A"/>
    <w:rsid w:val="35436DC5"/>
    <w:rsid w:val="35472BB0"/>
    <w:rsid w:val="354B379E"/>
    <w:rsid w:val="354C01C6"/>
    <w:rsid w:val="35507CB7"/>
    <w:rsid w:val="355157DD"/>
    <w:rsid w:val="35536F2B"/>
    <w:rsid w:val="35581174"/>
    <w:rsid w:val="35587AB7"/>
    <w:rsid w:val="355C2AFF"/>
    <w:rsid w:val="35610D9B"/>
    <w:rsid w:val="3562094D"/>
    <w:rsid w:val="35643762"/>
    <w:rsid w:val="35650039"/>
    <w:rsid w:val="356674DA"/>
    <w:rsid w:val="35695279"/>
    <w:rsid w:val="356C2617"/>
    <w:rsid w:val="35731BF7"/>
    <w:rsid w:val="35753BC1"/>
    <w:rsid w:val="35777939"/>
    <w:rsid w:val="35785DA9"/>
    <w:rsid w:val="357E0CC8"/>
    <w:rsid w:val="357F234A"/>
    <w:rsid w:val="358160C2"/>
    <w:rsid w:val="35843E04"/>
    <w:rsid w:val="35860AB3"/>
    <w:rsid w:val="35867B7C"/>
    <w:rsid w:val="3589141A"/>
    <w:rsid w:val="35944972"/>
    <w:rsid w:val="35951B6D"/>
    <w:rsid w:val="35956011"/>
    <w:rsid w:val="35957DBF"/>
    <w:rsid w:val="359758E5"/>
    <w:rsid w:val="359A3628"/>
    <w:rsid w:val="359A53D6"/>
    <w:rsid w:val="359C2EFC"/>
    <w:rsid w:val="359F0C3E"/>
    <w:rsid w:val="35A149B6"/>
    <w:rsid w:val="35A324DC"/>
    <w:rsid w:val="35A818A1"/>
    <w:rsid w:val="35A95619"/>
    <w:rsid w:val="35AA386B"/>
    <w:rsid w:val="35B244CD"/>
    <w:rsid w:val="35BC17F0"/>
    <w:rsid w:val="35BC359E"/>
    <w:rsid w:val="35BD5A0C"/>
    <w:rsid w:val="35BE7316"/>
    <w:rsid w:val="35C50FBC"/>
    <w:rsid w:val="35C67F79"/>
    <w:rsid w:val="35C83CF1"/>
    <w:rsid w:val="35CB37E1"/>
    <w:rsid w:val="35CF1523"/>
    <w:rsid w:val="35D42696"/>
    <w:rsid w:val="35D501BC"/>
    <w:rsid w:val="35DC154A"/>
    <w:rsid w:val="35E164DD"/>
    <w:rsid w:val="35E30B2B"/>
    <w:rsid w:val="35EC254E"/>
    <w:rsid w:val="35EF127D"/>
    <w:rsid w:val="35F25212"/>
    <w:rsid w:val="35F30C8A"/>
    <w:rsid w:val="35F4501C"/>
    <w:rsid w:val="35F454E7"/>
    <w:rsid w:val="35F745D6"/>
    <w:rsid w:val="35FA5E74"/>
    <w:rsid w:val="35FC6014"/>
    <w:rsid w:val="35FE7442"/>
    <w:rsid w:val="36015455"/>
    <w:rsid w:val="36017203"/>
    <w:rsid w:val="36064819"/>
    <w:rsid w:val="3608233F"/>
    <w:rsid w:val="360B0081"/>
    <w:rsid w:val="360F7B72"/>
    <w:rsid w:val="36127662"/>
    <w:rsid w:val="36137157"/>
    <w:rsid w:val="36145188"/>
    <w:rsid w:val="36176A26"/>
    <w:rsid w:val="361C403D"/>
    <w:rsid w:val="36211653"/>
    <w:rsid w:val="36343134"/>
    <w:rsid w:val="36344D15"/>
    <w:rsid w:val="36356EAC"/>
    <w:rsid w:val="36370E76"/>
    <w:rsid w:val="363C023B"/>
    <w:rsid w:val="364F4412"/>
    <w:rsid w:val="3651018A"/>
    <w:rsid w:val="36511F38"/>
    <w:rsid w:val="36525CB0"/>
    <w:rsid w:val="365612FD"/>
    <w:rsid w:val="365E4655"/>
    <w:rsid w:val="365E6403"/>
    <w:rsid w:val="36631E1E"/>
    <w:rsid w:val="36637EBD"/>
    <w:rsid w:val="36681030"/>
    <w:rsid w:val="36687282"/>
    <w:rsid w:val="366D22D5"/>
    <w:rsid w:val="36723C5D"/>
    <w:rsid w:val="36743E79"/>
    <w:rsid w:val="367479D5"/>
    <w:rsid w:val="36767BF1"/>
    <w:rsid w:val="36782952"/>
    <w:rsid w:val="36785717"/>
    <w:rsid w:val="3679323D"/>
    <w:rsid w:val="367F4CF7"/>
    <w:rsid w:val="36857E34"/>
    <w:rsid w:val="3687595A"/>
    <w:rsid w:val="368C2F70"/>
    <w:rsid w:val="368D6CE8"/>
    <w:rsid w:val="3690132A"/>
    <w:rsid w:val="36904A65"/>
    <w:rsid w:val="36910587"/>
    <w:rsid w:val="36941E25"/>
    <w:rsid w:val="369436F4"/>
    <w:rsid w:val="369648D9"/>
    <w:rsid w:val="369B1405"/>
    <w:rsid w:val="36AC716F"/>
    <w:rsid w:val="36AD2EE7"/>
    <w:rsid w:val="36AF6C5F"/>
    <w:rsid w:val="36B50C1A"/>
    <w:rsid w:val="36B97ADD"/>
    <w:rsid w:val="36C00E6C"/>
    <w:rsid w:val="36C23B1C"/>
    <w:rsid w:val="36C521E3"/>
    <w:rsid w:val="36C56482"/>
    <w:rsid w:val="36C941C4"/>
    <w:rsid w:val="36C97D20"/>
    <w:rsid w:val="36CA3A99"/>
    <w:rsid w:val="36CB64E2"/>
    <w:rsid w:val="36CE5337"/>
    <w:rsid w:val="36D466C5"/>
    <w:rsid w:val="36D84407"/>
    <w:rsid w:val="36D93CDC"/>
    <w:rsid w:val="36E20DE2"/>
    <w:rsid w:val="36E44B5A"/>
    <w:rsid w:val="36E45DF3"/>
    <w:rsid w:val="36E508D2"/>
    <w:rsid w:val="36E92171"/>
    <w:rsid w:val="36E96615"/>
    <w:rsid w:val="36EB0A23"/>
    <w:rsid w:val="36EE3C2B"/>
    <w:rsid w:val="36EF34FF"/>
    <w:rsid w:val="36F01751"/>
    <w:rsid w:val="36F62AE0"/>
    <w:rsid w:val="36F80FFD"/>
    <w:rsid w:val="36FA25D0"/>
    <w:rsid w:val="3700570C"/>
    <w:rsid w:val="37023232"/>
    <w:rsid w:val="370A0339"/>
    <w:rsid w:val="370E1BD7"/>
    <w:rsid w:val="3710594F"/>
    <w:rsid w:val="37117919"/>
    <w:rsid w:val="37152F66"/>
    <w:rsid w:val="37170FEB"/>
    <w:rsid w:val="37184804"/>
    <w:rsid w:val="371F4707"/>
    <w:rsid w:val="3724764D"/>
    <w:rsid w:val="372907BF"/>
    <w:rsid w:val="37294C63"/>
    <w:rsid w:val="372E04CB"/>
    <w:rsid w:val="372E5DD5"/>
    <w:rsid w:val="37321D6A"/>
    <w:rsid w:val="373A6E70"/>
    <w:rsid w:val="37427AD3"/>
    <w:rsid w:val="37441A9D"/>
    <w:rsid w:val="374455F9"/>
    <w:rsid w:val="37461371"/>
    <w:rsid w:val="37464376"/>
    <w:rsid w:val="37465815"/>
    <w:rsid w:val="37490E61"/>
    <w:rsid w:val="37536137"/>
    <w:rsid w:val="37557806"/>
    <w:rsid w:val="37597520"/>
    <w:rsid w:val="375C0B95"/>
    <w:rsid w:val="375F46CE"/>
    <w:rsid w:val="376161AB"/>
    <w:rsid w:val="376B527C"/>
    <w:rsid w:val="376B702A"/>
    <w:rsid w:val="376E08C8"/>
    <w:rsid w:val="376E0E9A"/>
    <w:rsid w:val="376E6B1A"/>
    <w:rsid w:val="37702892"/>
    <w:rsid w:val="37712166"/>
    <w:rsid w:val="3772660A"/>
    <w:rsid w:val="37735EDE"/>
    <w:rsid w:val="37773C20"/>
    <w:rsid w:val="377A101B"/>
    <w:rsid w:val="377E4FAF"/>
    <w:rsid w:val="377F0D27"/>
    <w:rsid w:val="377F4883"/>
    <w:rsid w:val="378325C5"/>
    <w:rsid w:val="3784633D"/>
    <w:rsid w:val="37871E68"/>
    <w:rsid w:val="37874138"/>
    <w:rsid w:val="378C0D4E"/>
    <w:rsid w:val="378C3FF9"/>
    <w:rsid w:val="378E0F6A"/>
    <w:rsid w:val="378E4AC6"/>
    <w:rsid w:val="37903FFB"/>
    <w:rsid w:val="37986788"/>
    <w:rsid w:val="379A790F"/>
    <w:rsid w:val="37A4253C"/>
    <w:rsid w:val="37AF33BA"/>
    <w:rsid w:val="37B15F12"/>
    <w:rsid w:val="37B207B5"/>
    <w:rsid w:val="37B22EAA"/>
    <w:rsid w:val="37B564F7"/>
    <w:rsid w:val="37BC5AD7"/>
    <w:rsid w:val="37C156A2"/>
    <w:rsid w:val="37C35878"/>
    <w:rsid w:val="37C624B2"/>
    <w:rsid w:val="37CA427B"/>
    <w:rsid w:val="37D22C05"/>
    <w:rsid w:val="37D25172"/>
    <w:rsid w:val="37D42E21"/>
    <w:rsid w:val="37DE77FC"/>
    <w:rsid w:val="37DF3574"/>
    <w:rsid w:val="37E71281"/>
    <w:rsid w:val="37EE32D6"/>
    <w:rsid w:val="37F05781"/>
    <w:rsid w:val="37F631A9"/>
    <w:rsid w:val="37F76D7B"/>
    <w:rsid w:val="37F94635"/>
    <w:rsid w:val="37FB197C"/>
    <w:rsid w:val="37FF7772"/>
    <w:rsid w:val="380A05F1"/>
    <w:rsid w:val="380A7C6E"/>
    <w:rsid w:val="380B4369"/>
    <w:rsid w:val="380B4EE3"/>
    <w:rsid w:val="38194CD8"/>
    <w:rsid w:val="38196A86"/>
    <w:rsid w:val="381C47C8"/>
    <w:rsid w:val="381E409C"/>
    <w:rsid w:val="38247CC7"/>
    <w:rsid w:val="382B0567"/>
    <w:rsid w:val="382B67B9"/>
    <w:rsid w:val="382D0783"/>
    <w:rsid w:val="38390ED6"/>
    <w:rsid w:val="383B18DD"/>
    <w:rsid w:val="38404012"/>
    <w:rsid w:val="38431D54"/>
    <w:rsid w:val="384653A1"/>
    <w:rsid w:val="38494244"/>
    <w:rsid w:val="384977AD"/>
    <w:rsid w:val="384B0C09"/>
    <w:rsid w:val="384D4981"/>
    <w:rsid w:val="385019AF"/>
    <w:rsid w:val="385555E4"/>
    <w:rsid w:val="385950D4"/>
    <w:rsid w:val="385E093C"/>
    <w:rsid w:val="386374A9"/>
    <w:rsid w:val="38797524"/>
    <w:rsid w:val="387B14EE"/>
    <w:rsid w:val="387D7CBC"/>
    <w:rsid w:val="3885236D"/>
    <w:rsid w:val="388A7983"/>
    <w:rsid w:val="388C0C90"/>
    <w:rsid w:val="388C3BDA"/>
    <w:rsid w:val="3894435E"/>
    <w:rsid w:val="389820A0"/>
    <w:rsid w:val="38986298"/>
    <w:rsid w:val="389C3213"/>
    <w:rsid w:val="38A16C4D"/>
    <w:rsid w:val="38A26A7B"/>
    <w:rsid w:val="38A345A1"/>
    <w:rsid w:val="38A8605B"/>
    <w:rsid w:val="38AA1DD4"/>
    <w:rsid w:val="38AC6BC3"/>
    <w:rsid w:val="38B4055C"/>
    <w:rsid w:val="38BB1AB5"/>
    <w:rsid w:val="38C22C79"/>
    <w:rsid w:val="38C369F1"/>
    <w:rsid w:val="38C764E2"/>
    <w:rsid w:val="38C84008"/>
    <w:rsid w:val="38CA5FD2"/>
    <w:rsid w:val="38CF183A"/>
    <w:rsid w:val="38D806EF"/>
    <w:rsid w:val="38D8249D"/>
    <w:rsid w:val="38DB3D3B"/>
    <w:rsid w:val="38DD3F57"/>
    <w:rsid w:val="38E54BBA"/>
    <w:rsid w:val="38F372D7"/>
    <w:rsid w:val="38F44DFD"/>
    <w:rsid w:val="38F8669B"/>
    <w:rsid w:val="38F92413"/>
    <w:rsid w:val="38FD7E11"/>
    <w:rsid w:val="3905525C"/>
    <w:rsid w:val="390A63CE"/>
    <w:rsid w:val="390C0398"/>
    <w:rsid w:val="390E5EBF"/>
    <w:rsid w:val="390F1C37"/>
    <w:rsid w:val="39143345"/>
    <w:rsid w:val="39171C32"/>
    <w:rsid w:val="391A0D07"/>
    <w:rsid w:val="391D07F7"/>
    <w:rsid w:val="39205BF2"/>
    <w:rsid w:val="3925145A"/>
    <w:rsid w:val="39253208"/>
    <w:rsid w:val="392F4087"/>
    <w:rsid w:val="39311BAD"/>
    <w:rsid w:val="39355B41"/>
    <w:rsid w:val="39365415"/>
    <w:rsid w:val="393A4F06"/>
    <w:rsid w:val="393B0C7E"/>
    <w:rsid w:val="393D0552"/>
    <w:rsid w:val="393F251C"/>
    <w:rsid w:val="39447B32"/>
    <w:rsid w:val="39461AFC"/>
    <w:rsid w:val="39480CAB"/>
    <w:rsid w:val="39495149"/>
    <w:rsid w:val="394A0EC1"/>
    <w:rsid w:val="394A2C6F"/>
    <w:rsid w:val="394F0D5E"/>
    <w:rsid w:val="395518BA"/>
    <w:rsid w:val="39551D3F"/>
    <w:rsid w:val="395B39E5"/>
    <w:rsid w:val="396226AE"/>
    <w:rsid w:val="396509C3"/>
    <w:rsid w:val="39665CFB"/>
    <w:rsid w:val="39671A73"/>
    <w:rsid w:val="39755F3E"/>
    <w:rsid w:val="397B107A"/>
    <w:rsid w:val="398048E2"/>
    <w:rsid w:val="39822409"/>
    <w:rsid w:val="39822F7A"/>
    <w:rsid w:val="39894E7E"/>
    <w:rsid w:val="398E6FFF"/>
    <w:rsid w:val="39916AF0"/>
    <w:rsid w:val="3995213C"/>
    <w:rsid w:val="39954B62"/>
    <w:rsid w:val="399A2294"/>
    <w:rsid w:val="399B34CA"/>
    <w:rsid w:val="399C796E"/>
    <w:rsid w:val="39A56E01"/>
    <w:rsid w:val="39A9208B"/>
    <w:rsid w:val="39AE76A2"/>
    <w:rsid w:val="39B32F0A"/>
    <w:rsid w:val="39B369AA"/>
    <w:rsid w:val="39B8407C"/>
    <w:rsid w:val="39BB7E3A"/>
    <w:rsid w:val="39C12F31"/>
    <w:rsid w:val="39C42A21"/>
    <w:rsid w:val="39CB2002"/>
    <w:rsid w:val="39D0586A"/>
    <w:rsid w:val="39D2513E"/>
    <w:rsid w:val="39D52E80"/>
    <w:rsid w:val="39D731BF"/>
    <w:rsid w:val="39DC420F"/>
    <w:rsid w:val="39E41315"/>
    <w:rsid w:val="39E54399"/>
    <w:rsid w:val="39F01A68"/>
    <w:rsid w:val="39F07CBA"/>
    <w:rsid w:val="39F50E2C"/>
    <w:rsid w:val="39F8091D"/>
    <w:rsid w:val="39FA28E7"/>
    <w:rsid w:val="39FC7DA9"/>
    <w:rsid w:val="39FE23D7"/>
    <w:rsid w:val="39FE2691"/>
    <w:rsid w:val="3A002D81"/>
    <w:rsid w:val="3A06128C"/>
    <w:rsid w:val="3A064DE8"/>
    <w:rsid w:val="3A080BD5"/>
    <w:rsid w:val="3A0D261A"/>
    <w:rsid w:val="3A0D43C8"/>
    <w:rsid w:val="3A0E1EEE"/>
    <w:rsid w:val="3A1219DE"/>
    <w:rsid w:val="3A133427"/>
    <w:rsid w:val="3A165E6F"/>
    <w:rsid w:val="3A192D6D"/>
    <w:rsid w:val="3A1F310B"/>
    <w:rsid w:val="3A217E73"/>
    <w:rsid w:val="3A306308"/>
    <w:rsid w:val="3A322081"/>
    <w:rsid w:val="3A345DF9"/>
    <w:rsid w:val="3A475AC0"/>
    <w:rsid w:val="3A4A73CA"/>
    <w:rsid w:val="3A4B5033"/>
    <w:rsid w:val="3A4F49E1"/>
    <w:rsid w:val="3A52627F"/>
    <w:rsid w:val="3A555D6F"/>
    <w:rsid w:val="3A56723A"/>
    <w:rsid w:val="3A570ED2"/>
    <w:rsid w:val="3A575643"/>
    <w:rsid w:val="3A5C70FE"/>
    <w:rsid w:val="3A5E4C24"/>
    <w:rsid w:val="3A6303AE"/>
    <w:rsid w:val="3A63223A"/>
    <w:rsid w:val="3A6D4E67"/>
    <w:rsid w:val="3A706705"/>
    <w:rsid w:val="3A712BA9"/>
    <w:rsid w:val="3A7158D5"/>
    <w:rsid w:val="3A79380C"/>
    <w:rsid w:val="3A797CAF"/>
    <w:rsid w:val="3A7E0E22"/>
    <w:rsid w:val="3A8328DC"/>
    <w:rsid w:val="3A8723CC"/>
    <w:rsid w:val="3A9248CD"/>
    <w:rsid w:val="3A960861"/>
    <w:rsid w:val="3AA50AA5"/>
    <w:rsid w:val="3AA52853"/>
    <w:rsid w:val="3AAA1C17"/>
    <w:rsid w:val="3AAA3B91"/>
    <w:rsid w:val="3AAC3E24"/>
    <w:rsid w:val="3AAD7959"/>
    <w:rsid w:val="3AAF547F"/>
    <w:rsid w:val="3AB4703D"/>
    <w:rsid w:val="3AC058DE"/>
    <w:rsid w:val="3AC16F61"/>
    <w:rsid w:val="3AC3717D"/>
    <w:rsid w:val="3AC56A51"/>
    <w:rsid w:val="3AC7092A"/>
    <w:rsid w:val="3ACA4067"/>
    <w:rsid w:val="3ACF78CF"/>
    <w:rsid w:val="3AD1189A"/>
    <w:rsid w:val="3AD60C5E"/>
    <w:rsid w:val="3AD76784"/>
    <w:rsid w:val="3ADB0022"/>
    <w:rsid w:val="3ADC3BC9"/>
    <w:rsid w:val="3AE2555B"/>
    <w:rsid w:val="3AE25855"/>
    <w:rsid w:val="3AF63A9D"/>
    <w:rsid w:val="3AFA7C3B"/>
    <w:rsid w:val="3B005CDB"/>
    <w:rsid w:val="3B057795"/>
    <w:rsid w:val="3B0A0908"/>
    <w:rsid w:val="3B0E33FD"/>
    <w:rsid w:val="3B0F23C2"/>
    <w:rsid w:val="3B0F4170"/>
    <w:rsid w:val="3B0F5F1E"/>
    <w:rsid w:val="3B111C96"/>
    <w:rsid w:val="3B133C60"/>
    <w:rsid w:val="3B2A71FC"/>
    <w:rsid w:val="3B2C2F74"/>
    <w:rsid w:val="3B334302"/>
    <w:rsid w:val="3B3E0A5D"/>
    <w:rsid w:val="3B421CCA"/>
    <w:rsid w:val="3B437AFA"/>
    <w:rsid w:val="3B491430"/>
    <w:rsid w:val="3B497682"/>
    <w:rsid w:val="3B4F27BE"/>
    <w:rsid w:val="3B506C62"/>
    <w:rsid w:val="3B554279"/>
    <w:rsid w:val="3B563787"/>
    <w:rsid w:val="3B576203"/>
    <w:rsid w:val="3B5878C5"/>
    <w:rsid w:val="3B590718"/>
    <w:rsid w:val="3B5B73B5"/>
    <w:rsid w:val="3B5F50F7"/>
    <w:rsid w:val="3B602C1D"/>
    <w:rsid w:val="3B691AD2"/>
    <w:rsid w:val="3B6E70E8"/>
    <w:rsid w:val="3B6F0FCC"/>
    <w:rsid w:val="3B716BD9"/>
    <w:rsid w:val="3B732951"/>
    <w:rsid w:val="3B7A5A8D"/>
    <w:rsid w:val="3B820DE6"/>
    <w:rsid w:val="3B8406BA"/>
    <w:rsid w:val="3B8701AA"/>
    <w:rsid w:val="3B89099F"/>
    <w:rsid w:val="3B8A5BD4"/>
    <w:rsid w:val="3B8C57C0"/>
    <w:rsid w:val="3B8C756F"/>
    <w:rsid w:val="3B9052B1"/>
    <w:rsid w:val="3B984165"/>
    <w:rsid w:val="3B9C1479"/>
    <w:rsid w:val="3B9C3C56"/>
    <w:rsid w:val="3BA26D92"/>
    <w:rsid w:val="3BA40D5C"/>
    <w:rsid w:val="3BB32D4D"/>
    <w:rsid w:val="3BB56AC5"/>
    <w:rsid w:val="3BC44F5A"/>
    <w:rsid w:val="3BC82C9D"/>
    <w:rsid w:val="3BD17677"/>
    <w:rsid w:val="3BD31641"/>
    <w:rsid w:val="3BD3519D"/>
    <w:rsid w:val="3BD50F16"/>
    <w:rsid w:val="3BD553B9"/>
    <w:rsid w:val="3BD80A06"/>
    <w:rsid w:val="3BD86C58"/>
    <w:rsid w:val="3BDA652C"/>
    <w:rsid w:val="3BDC22A4"/>
    <w:rsid w:val="3BDF1D94"/>
    <w:rsid w:val="3BDF3B42"/>
    <w:rsid w:val="3BE253E0"/>
    <w:rsid w:val="3BE41159"/>
    <w:rsid w:val="3BE455FD"/>
    <w:rsid w:val="3BEB0739"/>
    <w:rsid w:val="3BEE0229"/>
    <w:rsid w:val="3BF13876"/>
    <w:rsid w:val="3BFC64A2"/>
    <w:rsid w:val="3BFE66BE"/>
    <w:rsid w:val="3C0D06AF"/>
    <w:rsid w:val="3C0E4427"/>
    <w:rsid w:val="3C1057FB"/>
    <w:rsid w:val="3C14417C"/>
    <w:rsid w:val="3C1557B6"/>
    <w:rsid w:val="3C157564"/>
    <w:rsid w:val="3C187054"/>
    <w:rsid w:val="3C1A101E"/>
    <w:rsid w:val="3C1A7270"/>
    <w:rsid w:val="3C1D466B"/>
    <w:rsid w:val="3C1D696F"/>
    <w:rsid w:val="3C2218C9"/>
    <w:rsid w:val="3C221C81"/>
    <w:rsid w:val="3C2679C3"/>
    <w:rsid w:val="3C28373B"/>
    <w:rsid w:val="3C286100"/>
    <w:rsid w:val="3C2D0D52"/>
    <w:rsid w:val="3C3245BA"/>
    <w:rsid w:val="3C357C06"/>
    <w:rsid w:val="3C371BD0"/>
    <w:rsid w:val="3C377FC0"/>
    <w:rsid w:val="3C3976F6"/>
    <w:rsid w:val="3C3C71E7"/>
    <w:rsid w:val="3C410359"/>
    <w:rsid w:val="3C4165AB"/>
    <w:rsid w:val="3C46170C"/>
    <w:rsid w:val="3C4B742A"/>
    <w:rsid w:val="3C4F6F1A"/>
    <w:rsid w:val="3C5502A8"/>
    <w:rsid w:val="3C5A141B"/>
    <w:rsid w:val="3C5E715D"/>
    <w:rsid w:val="3C6504EB"/>
    <w:rsid w:val="3C666161"/>
    <w:rsid w:val="3C680F15"/>
    <w:rsid w:val="3C6D73A0"/>
    <w:rsid w:val="3C6E4EC6"/>
    <w:rsid w:val="3C7249B6"/>
    <w:rsid w:val="3C7626F9"/>
    <w:rsid w:val="3C771FCD"/>
    <w:rsid w:val="3C776471"/>
    <w:rsid w:val="3C7D493C"/>
    <w:rsid w:val="3C7F0E81"/>
    <w:rsid w:val="3C814BF9"/>
    <w:rsid w:val="3C830972"/>
    <w:rsid w:val="3C8446EA"/>
    <w:rsid w:val="3C850B8E"/>
    <w:rsid w:val="3C8666B4"/>
    <w:rsid w:val="3C8E32FB"/>
    <w:rsid w:val="3C8F37BA"/>
    <w:rsid w:val="3C906C91"/>
    <w:rsid w:val="3C920BB5"/>
    <w:rsid w:val="3C940DD1"/>
    <w:rsid w:val="3C942B7F"/>
    <w:rsid w:val="3C945B55"/>
    <w:rsid w:val="3C9506A5"/>
    <w:rsid w:val="3C9568F7"/>
    <w:rsid w:val="3C9708C1"/>
    <w:rsid w:val="3C9A2914"/>
    <w:rsid w:val="3CA52FDE"/>
    <w:rsid w:val="3CA54D8C"/>
    <w:rsid w:val="3CAA05F4"/>
    <w:rsid w:val="3CAB4D29"/>
    <w:rsid w:val="3CAE3076"/>
    <w:rsid w:val="3CB43221"/>
    <w:rsid w:val="3CB5015B"/>
    <w:rsid w:val="3CB7061B"/>
    <w:rsid w:val="3CB7686D"/>
    <w:rsid w:val="3CBB635D"/>
    <w:rsid w:val="3CBD0327"/>
    <w:rsid w:val="3CBE19AA"/>
    <w:rsid w:val="3CC35212"/>
    <w:rsid w:val="3CCA47F2"/>
    <w:rsid w:val="3CCF3BB7"/>
    <w:rsid w:val="3CD36B7B"/>
    <w:rsid w:val="3CD45671"/>
    <w:rsid w:val="3CD72A6B"/>
    <w:rsid w:val="3CDD2778"/>
    <w:rsid w:val="3CE138EA"/>
    <w:rsid w:val="3CE20A5B"/>
    <w:rsid w:val="3CE529F8"/>
    <w:rsid w:val="3CE60F00"/>
    <w:rsid w:val="3CF278A5"/>
    <w:rsid w:val="3CF509F9"/>
    <w:rsid w:val="3CF7310E"/>
    <w:rsid w:val="3CF8135F"/>
    <w:rsid w:val="3CFD4BC8"/>
    <w:rsid w:val="3D041BF4"/>
    <w:rsid w:val="3D0575D8"/>
    <w:rsid w:val="3D073425"/>
    <w:rsid w:val="3D0C5168"/>
    <w:rsid w:val="3D1141CF"/>
    <w:rsid w:val="3D121CF5"/>
    <w:rsid w:val="3D132429"/>
    <w:rsid w:val="3D136199"/>
    <w:rsid w:val="3D18555E"/>
    <w:rsid w:val="3D1A3505"/>
    <w:rsid w:val="3D211F38"/>
    <w:rsid w:val="3D22018A"/>
    <w:rsid w:val="3D2219BA"/>
    <w:rsid w:val="3D232155"/>
    <w:rsid w:val="3D251A29"/>
    <w:rsid w:val="3D254C96"/>
    <w:rsid w:val="3D2731BC"/>
    <w:rsid w:val="3D2739F3"/>
    <w:rsid w:val="3D2D6B2F"/>
    <w:rsid w:val="3D3305EA"/>
    <w:rsid w:val="3D363C36"/>
    <w:rsid w:val="3D371873"/>
    <w:rsid w:val="3D3D3216"/>
    <w:rsid w:val="3D3E2AEA"/>
    <w:rsid w:val="3D45031D"/>
    <w:rsid w:val="3D475E43"/>
    <w:rsid w:val="3D4C16AB"/>
    <w:rsid w:val="3D532A3A"/>
    <w:rsid w:val="3D54230E"/>
    <w:rsid w:val="3D5440BC"/>
    <w:rsid w:val="3D5B18EE"/>
    <w:rsid w:val="3D5B1B7C"/>
    <w:rsid w:val="3D5B544A"/>
    <w:rsid w:val="3D622C7D"/>
    <w:rsid w:val="3D6469F5"/>
    <w:rsid w:val="3D6C58AA"/>
    <w:rsid w:val="3D6F7148"/>
    <w:rsid w:val="3D712EC0"/>
    <w:rsid w:val="3D734E8A"/>
    <w:rsid w:val="3D736C38"/>
    <w:rsid w:val="3D7517DF"/>
    <w:rsid w:val="3D762284"/>
    <w:rsid w:val="3D78424E"/>
    <w:rsid w:val="3D793B23"/>
    <w:rsid w:val="3D7C485B"/>
    <w:rsid w:val="3D7C661B"/>
    <w:rsid w:val="3D804EB1"/>
    <w:rsid w:val="3D850719"/>
    <w:rsid w:val="3D8952CB"/>
    <w:rsid w:val="3D8E75CE"/>
    <w:rsid w:val="3D8F3346"/>
    <w:rsid w:val="3D945D6E"/>
    <w:rsid w:val="3D95517D"/>
    <w:rsid w:val="3D9848F1"/>
    <w:rsid w:val="3D9A2417"/>
    <w:rsid w:val="3D9A4EA4"/>
    <w:rsid w:val="3D9B1CEB"/>
    <w:rsid w:val="3D9F76BF"/>
    <w:rsid w:val="3DAE7C70"/>
    <w:rsid w:val="3DAF5796"/>
    <w:rsid w:val="3DB37034"/>
    <w:rsid w:val="3DB42DAD"/>
    <w:rsid w:val="3DC12D0A"/>
    <w:rsid w:val="3DC72AE0"/>
    <w:rsid w:val="3DC92AB3"/>
    <w:rsid w:val="3DC92CFC"/>
    <w:rsid w:val="3DC96858"/>
    <w:rsid w:val="3DCB0822"/>
    <w:rsid w:val="3DCC459A"/>
    <w:rsid w:val="3DD2162E"/>
    <w:rsid w:val="3DD75419"/>
    <w:rsid w:val="3DDA0A65"/>
    <w:rsid w:val="3DDD67A7"/>
    <w:rsid w:val="3DDF7E2A"/>
    <w:rsid w:val="3DE10046"/>
    <w:rsid w:val="3DE11DF4"/>
    <w:rsid w:val="3DE43692"/>
    <w:rsid w:val="3DE73182"/>
    <w:rsid w:val="3DE90CA8"/>
    <w:rsid w:val="3DEB5DED"/>
    <w:rsid w:val="3DF02037"/>
    <w:rsid w:val="3DF15DAF"/>
    <w:rsid w:val="3DF21B38"/>
    <w:rsid w:val="3DF31B27"/>
    <w:rsid w:val="3DF338D5"/>
    <w:rsid w:val="3DF37D79"/>
    <w:rsid w:val="3DF633C5"/>
    <w:rsid w:val="3DF678C0"/>
    <w:rsid w:val="3DF71617"/>
    <w:rsid w:val="3DFA4C63"/>
    <w:rsid w:val="3DFC4E7F"/>
    <w:rsid w:val="3DFD4754"/>
    <w:rsid w:val="3E043D34"/>
    <w:rsid w:val="3E06185A"/>
    <w:rsid w:val="3E083824"/>
    <w:rsid w:val="3E1723C3"/>
    <w:rsid w:val="3E173A67"/>
    <w:rsid w:val="3E1838C9"/>
    <w:rsid w:val="3E1C107E"/>
    <w:rsid w:val="3E1D4DF6"/>
    <w:rsid w:val="3E287A22"/>
    <w:rsid w:val="3E2B306F"/>
    <w:rsid w:val="3E2D1493"/>
    <w:rsid w:val="3E2D328B"/>
    <w:rsid w:val="3E2E0DB1"/>
    <w:rsid w:val="3E2E2B5F"/>
    <w:rsid w:val="3E3143FA"/>
    <w:rsid w:val="3E3208A1"/>
    <w:rsid w:val="3E46434D"/>
    <w:rsid w:val="3E480206"/>
    <w:rsid w:val="3E4D7489"/>
    <w:rsid w:val="3E502AD5"/>
    <w:rsid w:val="3E506F79"/>
    <w:rsid w:val="3E525A70"/>
    <w:rsid w:val="3E5C147A"/>
    <w:rsid w:val="3E5C591E"/>
    <w:rsid w:val="3E611186"/>
    <w:rsid w:val="3E612F34"/>
    <w:rsid w:val="3E66054B"/>
    <w:rsid w:val="3E686071"/>
    <w:rsid w:val="3E6A003B"/>
    <w:rsid w:val="3E6A6478"/>
    <w:rsid w:val="3E6D686E"/>
    <w:rsid w:val="3E7E3AE6"/>
    <w:rsid w:val="3E7E5894"/>
    <w:rsid w:val="3E7F160D"/>
    <w:rsid w:val="3E8135D7"/>
    <w:rsid w:val="3E8310FD"/>
    <w:rsid w:val="3E886713"/>
    <w:rsid w:val="3E89171A"/>
    <w:rsid w:val="3E8A248B"/>
    <w:rsid w:val="3E8D3D29"/>
    <w:rsid w:val="3E8F3986"/>
    <w:rsid w:val="3E907376"/>
    <w:rsid w:val="3E946E66"/>
    <w:rsid w:val="3E9718AC"/>
    <w:rsid w:val="3E972D24"/>
    <w:rsid w:val="3E9F580B"/>
    <w:rsid w:val="3EA177D5"/>
    <w:rsid w:val="3EA90437"/>
    <w:rsid w:val="3EAB0654"/>
    <w:rsid w:val="3EAD3546"/>
    <w:rsid w:val="3EAE5A4E"/>
    <w:rsid w:val="3EB5502E"/>
    <w:rsid w:val="3EB94B1E"/>
    <w:rsid w:val="3EBE2135"/>
    <w:rsid w:val="3EBF7C5B"/>
    <w:rsid w:val="3EC05EAD"/>
    <w:rsid w:val="3EC60FE9"/>
    <w:rsid w:val="3EC62D97"/>
    <w:rsid w:val="3EC6723B"/>
    <w:rsid w:val="3ECC2AA4"/>
    <w:rsid w:val="3ECC3927"/>
    <w:rsid w:val="3ECD2378"/>
    <w:rsid w:val="3ED454B4"/>
    <w:rsid w:val="3ED92ACB"/>
    <w:rsid w:val="3ED96F6F"/>
    <w:rsid w:val="3EDE7692"/>
    <w:rsid w:val="3EDF3E59"/>
    <w:rsid w:val="3EE002FD"/>
    <w:rsid w:val="3EE03BC0"/>
    <w:rsid w:val="3EE15E23"/>
    <w:rsid w:val="3EE2728E"/>
    <w:rsid w:val="3EE53B65"/>
    <w:rsid w:val="3EE65143"/>
    <w:rsid w:val="3EEB27FE"/>
    <w:rsid w:val="3EEF0540"/>
    <w:rsid w:val="3EF406C7"/>
    <w:rsid w:val="3EF45B57"/>
    <w:rsid w:val="3EFC2AAD"/>
    <w:rsid w:val="3EFE4C27"/>
    <w:rsid w:val="3EFE69D5"/>
    <w:rsid w:val="3F00274D"/>
    <w:rsid w:val="3F002817"/>
    <w:rsid w:val="3F0106EF"/>
    <w:rsid w:val="3F03223E"/>
    <w:rsid w:val="3F035D9A"/>
    <w:rsid w:val="3F0402D3"/>
    <w:rsid w:val="3F054E0F"/>
    <w:rsid w:val="3F0A537A"/>
    <w:rsid w:val="3F0D4E6A"/>
    <w:rsid w:val="3F125FDD"/>
    <w:rsid w:val="3F19736B"/>
    <w:rsid w:val="3F1B1F1A"/>
    <w:rsid w:val="3F1E4982"/>
    <w:rsid w:val="3F220916"/>
    <w:rsid w:val="3F23226B"/>
    <w:rsid w:val="3F283A52"/>
    <w:rsid w:val="3F2B318B"/>
    <w:rsid w:val="3F3643C1"/>
    <w:rsid w:val="3F381EE7"/>
    <w:rsid w:val="3F383D76"/>
    <w:rsid w:val="3F3917BB"/>
    <w:rsid w:val="3F3B5533"/>
    <w:rsid w:val="3F4023D9"/>
    <w:rsid w:val="3F417ECC"/>
    <w:rsid w:val="3F42568F"/>
    <w:rsid w:val="3F446ADE"/>
    <w:rsid w:val="3F473ED8"/>
    <w:rsid w:val="3F4A39C9"/>
    <w:rsid w:val="3F4C7741"/>
    <w:rsid w:val="3F4F0FDF"/>
    <w:rsid w:val="3F4F5483"/>
    <w:rsid w:val="3F512FA9"/>
    <w:rsid w:val="3F520ACF"/>
    <w:rsid w:val="3F5847F0"/>
    <w:rsid w:val="3F5B5BD6"/>
    <w:rsid w:val="3F5B7984"/>
    <w:rsid w:val="3F6208A5"/>
    <w:rsid w:val="3F620D12"/>
    <w:rsid w:val="3F632CDC"/>
    <w:rsid w:val="3F634A8A"/>
    <w:rsid w:val="3F676329"/>
    <w:rsid w:val="3F6C1B91"/>
    <w:rsid w:val="3F6F1E30"/>
    <w:rsid w:val="3F6F78D3"/>
    <w:rsid w:val="3F780536"/>
    <w:rsid w:val="3F7D78FA"/>
    <w:rsid w:val="3F8447B8"/>
    <w:rsid w:val="3F84512C"/>
    <w:rsid w:val="3F854A01"/>
    <w:rsid w:val="3F8C3FE1"/>
    <w:rsid w:val="3F8E1B07"/>
    <w:rsid w:val="3F8F762D"/>
    <w:rsid w:val="3F9410E8"/>
    <w:rsid w:val="3F9F6BA5"/>
    <w:rsid w:val="3F9F6F85"/>
    <w:rsid w:val="3FA05CDE"/>
    <w:rsid w:val="3FA56E51"/>
    <w:rsid w:val="3FA7564D"/>
    <w:rsid w:val="3FAB0C37"/>
    <w:rsid w:val="3FAC01DF"/>
    <w:rsid w:val="3FAF7CCF"/>
    <w:rsid w:val="3FB157F6"/>
    <w:rsid w:val="3FBB48C6"/>
    <w:rsid w:val="3FBD23EC"/>
    <w:rsid w:val="3FBD5A85"/>
    <w:rsid w:val="3FC27A03"/>
    <w:rsid w:val="3FC512A1"/>
    <w:rsid w:val="3FC7326B"/>
    <w:rsid w:val="3FCA4B09"/>
    <w:rsid w:val="3FCB2D5B"/>
    <w:rsid w:val="3FD55988"/>
    <w:rsid w:val="3FD57736"/>
    <w:rsid w:val="3FD61700"/>
    <w:rsid w:val="3FD7116C"/>
    <w:rsid w:val="3FDB2873"/>
    <w:rsid w:val="3FDD483D"/>
    <w:rsid w:val="3FE060DB"/>
    <w:rsid w:val="3FE61943"/>
    <w:rsid w:val="3FE71217"/>
    <w:rsid w:val="3FE93C38"/>
    <w:rsid w:val="3FEE07F8"/>
    <w:rsid w:val="3FF04570"/>
    <w:rsid w:val="3FF51B86"/>
    <w:rsid w:val="3FF878C8"/>
    <w:rsid w:val="3FF90632"/>
    <w:rsid w:val="3FFF2A05"/>
    <w:rsid w:val="400C0C7E"/>
    <w:rsid w:val="400D00D4"/>
    <w:rsid w:val="401144E6"/>
    <w:rsid w:val="401364B0"/>
    <w:rsid w:val="40155D85"/>
    <w:rsid w:val="401C35B7"/>
    <w:rsid w:val="401C5365"/>
    <w:rsid w:val="401F30A7"/>
    <w:rsid w:val="4021297B"/>
    <w:rsid w:val="4021611C"/>
    <w:rsid w:val="402406BD"/>
    <w:rsid w:val="40267F92"/>
    <w:rsid w:val="40284794"/>
    <w:rsid w:val="402911F6"/>
    <w:rsid w:val="402B55A8"/>
    <w:rsid w:val="40316936"/>
    <w:rsid w:val="403501D5"/>
    <w:rsid w:val="4037219F"/>
    <w:rsid w:val="403D52DB"/>
    <w:rsid w:val="403F1053"/>
    <w:rsid w:val="403F72A5"/>
    <w:rsid w:val="40416F07"/>
    <w:rsid w:val="4044666A"/>
    <w:rsid w:val="404E1296"/>
    <w:rsid w:val="404E74E8"/>
    <w:rsid w:val="4050500F"/>
    <w:rsid w:val="40526FD9"/>
    <w:rsid w:val="40583EC3"/>
    <w:rsid w:val="405A5E8D"/>
    <w:rsid w:val="405D597D"/>
    <w:rsid w:val="40624D42"/>
    <w:rsid w:val="40697227"/>
    <w:rsid w:val="406A694A"/>
    <w:rsid w:val="406B2398"/>
    <w:rsid w:val="406D5BC1"/>
    <w:rsid w:val="406F4AE6"/>
    <w:rsid w:val="40750F19"/>
    <w:rsid w:val="407F58F4"/>
    <w:rsid w:val="4081341A"/>
    <w:rsid w:val="4084115C"/>
    <w:rsid w:val="408A53BE"/>
    <w:rsid w:val="408B6047"/>
    <w:rsid w:val="40905D53"/>
    <w:rsid w:val="40925627"/>
    <w:rsid w:val="40953369"/>
    <w:rsid w:val="409A44DC"/>
    <w:rsid w:val="409C46F8"/>
    <w:rsid w:val="409E2D40"/>
    <w:rsid w:val="409F1AF2"/>
    <w:rsid w:val="40A4535A"/>
    <w:rsid w:val="40A47108"/>
    <w:rsid w:val="40AB0497"/>
    <w:rsid w:val="40B01F51"/>
    <w:rsid w:val="40B27A77"/>
    <w:rsid w:val="40B41A41"/>
    <w:rsid w:val="40B734F5"/>
    <w:rsid w:val="40BC26A4"/>
    <w:rsid w:val="40C335CB"/>
    <w:rsid w:val="40C81049"/>
    <w:rsid w:val="40CC60A6"/>
    <w:rsid w:val="40CD2B03"/>
    <w:rsid w:val="40DA6FCE"/>
    <w:rsid w:val="40DF6392"/>
    <w:rsid w:val="40E01CD0"/>
    <w:rsid w:val="40E045E4"/>
    <w:rsid w:val="40E439A9"/>
    <w:rsid w:val="40E57E4D"/>
    <w:rsid w:val="40E85FFC"/>
    <w:rsid w:val="40ED4F53"/>
    <w:rsid w:val="40EE65D6"/>
    <w:rsid w:val="40F167F2"/>
    <w:rsid w:val="40F736DC"/>
    <w:rsid w:val="40FA31CC"/>
    <w:rsid w:val="40FB7670"/>
    <w:rsid w:val="40FE0F0E"/>
    <w:rsid w:val="40FE4A6B"/>
    <w:rsid w:val="40FF07E3"/>
    <w:rsid w:val="41016309"/>
    <w:rsid w:val="4105404B"/>
    <w:rsid w:val="410A1661"/>
    <w:rsid w:val="410F4ECA"/>
    <w:rsid w:val="410F6C78"/>
    <w:rsid w:val="411048EB"/>
    <w:rsid w:val="41110C42"/>
    <w:rsid w:val="41126768"/>
    <w:rsid w:val="411B386E"/>
    <w:rsid w:val="411C11E1"/>
    <w:rsid w:val="41202C33"/>
    <w:rsid w:val="41210759"/>
    <w:rsid w:val="412169AB"/>
    <w:rsid w:val="412344D1"/>
    <w:rsid w:val="412626D2"/>
    <w:rsid w:val="41263FC1"/>
    <w:rsid w:val="41314E40"/>
    <w:rsid w:val="41320BB8"/>
    <w:rsid w:val="41322966"/>
    <w:rsid w:val="413606A8"/>
    <w:rsid w:val="41393CF5"/>
    <w:rsid w:val="41401527"/>
    <w:rsid w:val="41445B9A"/>
    <w:rsid w:val="4148218A"/>
    <w:rsid w:val="414A4154"/>
    <w:rsid w:val="414C5E0C"/>
    <w:rsid w:val="414D77A0"/>
    <w:rsid w:val="41526B64"/>
    <w:rsid w:val="41540B2E"/>
    <w:rsid w:val="41596C87"/>
    <w:rsid w:val="415D176E"/>
    <w:rsid w:val="41605725"/>
    <w:rsid w:val="41630D72"/>
    <w:rsid w:val="41683BAB"/>
    <w:rsid w:val="416C40CA"/>
    <w:rsid w:val="416D399E"/>
    <w:rsid w:val="41742F7F"/>
    <w:rsid w:val="41760AA5"/>
    <w:rsid w:val="41831414"/>
    <w:rsid w:val="418A4550"/>
    <w:rsid w:val="418F600A"/>
    <w:rsid w:val="41911D83"/>
    <w:rsid w:val="4191768D"/>
    <w:rsid w:val="41931657"/>
    <w:rsid w:val="41986C6D"/>
    <w:rsid w:val="41A2189A"/>
    <w:rsid w:val="41A27AEC"/>
    <w:rsid w:val="41A35612"/>
    <w:rsid w:val="41A75102"/>
    <w:rsid w:val="41AC44C7"/>
    <w:rsid w:val="41AE46E3"/>
    <w:rsid w:val="41AE4A7E"/>
    <w:rsid w:val="41AF2209"/>
    <w:rsid w:val="41B82E6B"/>
    <w:rsid w:val="41B94E35"/>
    <w:rsid w:val="41BB3E2A"/>
    <w:rsid w:val="41BC6350"/>
    <w:rsid w:val="41C061C4"/>
    <w:rsid w:val="41C21BE4"/>
    <w:rsid w:val="41C751D0"/>
    <w:rsid w:val="41CA0DF1"/>
    <w:rsid w:val="41CC4B69"/>
    <w:rsid w:val="41CD45FD"/>
    <w:rsid w:val="41D028AB"/>
    <w:rsid w:val="41D103D1"/>
    <w:rsid w:val="41D43A1D"/>
    <w:rsid w:val="41D63C39"/>
    <w:rsid w:val="41DD28D2"/>
    <w:rsid w:val="41E225DE"/>
    <w:rsid w:val="41E73751"/>
    <w:rsid w:val="41EA1493"/>
    <w:rsid w:val="41EC6FB9"/>
    <w:rsid w:val="41F12821"/>
    <w:rsid w:val="41F540C0"/>
    <w:rsid w:val="41F8770C"/>
    <w:rsid w:val="41FF08E3"/>
    <w:rsid w:val="42004812"/>
    <w:rsid w:val="420C2CFA"/>
    <w:rsid w:val="42102B0B"/>
    <w:rsid w:val="421B164C"/>
    <w:rsid w:val="421F28A3"/>
    <w:rsid w:val="42216661"/>
    <w:rsid w:val="42246753"/>
    <w:rsid w:val="42276243"/>
    <w:rsid w:val="42292222"/>
    <w:rsid w:val="422C5607"/>
    <w:rsid w:val="422F6EA6"/>
    <w:rsid w:val="42336996"/>
    <w:rsid w:val="4235270E"/>
    <w:rsid w:val="42380450"/>
    <w:rsid w:val="423C1E74"/>
    <w:rsid w:val="42440BA3"/>
    <w:rsid w:val="42446DF5"/>
    <w:rsid w:val="4246431B"/>
    <w:rsid w:val="42470693"/>
    <w:rsid w:val="424C7A58"/>
    <w:rsid w:val="424E557E"/>
    <w:rsid w:val="42530DE6"/>
    <w:rsid w:val="42537038"/>
    <w:rsid w:val="42552DB0"/>
    <w:rsid w:val="42554B5E"/>
    <w:rsid w:val="425A2175"/>
    <w:rsid w:val="425A5851"/>
    <w:rsid w:val="425E5173"/>
    <w:rsid w:val="42666D6B"/>
    <w:rsid w:val="4267663F"/>
    <w:rsid w:val="4269685C"/>
    <w:rsid w:val="42755AA6"/>
    <w:rsid w:val="42763F5C"/>
    <w:rsid w:val="4278294E"/>
    <w:rsid w:val="427C033D"/>
    <w:rsid w:val="427F607F"/>
    <w:rsid w:val="4285031E"/>
    <w:rsid w:val="428D2785"/>
    <w:rsid w:val="428D4036"/>
    <w:rsid w:val="428E1E1E"/>
    <w:rsid w:val="42905B96"/>
    <w:rsid w:val="42935686"/>
    <w:rsid w:val="42984A4B"/>
    <w:rsid w:val="429C278D"/>
    <w:rsid w:val="429D6505"/>
    <w:rsid w:val="42A15FF5"/>
    <w:rsid w:val="42A930FC"/>
    <w:rsid w:val="42AD499A"/>
    <w:rsid w:val="42B0448A"/>
    <w:rsid w:val="42B06238"/>
    <w:rsid w:val="42B555FD"/>
    <w:rsid w:val="42B71375"/>
    <w:rsid w:val="42BA0E65"/>
    <w:rsid w:val="42BA70B7"/>
    <w:rsid w:val="42BB6525"/>
    <w:rsid w:val="42BC698B"/>
    <w:rsid w:val="42BD2703"/>
    <w:rsid w:val="42BD4D21"/>
    <w:rsid w:val="42BF17E7"/>
    <w:rsid w:val="42C1186D"/>
    <w:rsid w:val="42C341BE"/>
    <w:rsid w:val="42C41CE4"/>
    <w:rsid w:val="42C44321"/>
    <w:rsid w:val="42C45840"/>
    <w:rsid w:val="42C817D4"/>
    <w:rsid w:val="42C83582"/>
    <w:rsid w:val="42D00689"/>
    <w:rsid w:val="42D02437"/>
    <w:rsid w:val="42D53EF1"/>
    <w:rsid w:val="42D81056"/>
    <w:rsid w:val="42DA5063"/>
    <w:rsid w:val="42DD6902"/>
    <w:rsid w:val="42DD787B"/>
    <w:rsid w:val="42E303BC"/>
    <w:rsid w:val="42E87A67"/>
    <w:rsid w:val="42EA4663"/>
    <w:rsid w:val="42ED4D97"/>
    <w:rsid w:val="42F04887"/>
    <w:rsid w:val="42F06635"/>
    <w:rsid w:val="42F779C3"/>
    <w:rsid w:val="42FE51F6"/>
    <w:rsid w:val="42FE6FA4"/>
    <w:rsid w:val="43000F6E"/>
    <w:rsid w:val="4303280C"/>
    <w:rsid w:val="43056584"/>
    <w:rsid w:val="430D5439"/>
    <w:rsid w:val="430E6C9F"/>
    <w:rsid w:val="4311364F"/>
    <w:rsid w:val="43157B86"/>
    <w:rsid w:val="431A1904"/>
    <w:rsid w:val="431C1B20"/>
    <w:rsid w:val="431C62FA"/>
    <w:rsid w:val="432A144B"/>
    <w:rsid w:val="432B58BF"/>
    <w:rsid w:val="432D5ADB"/>
    <w:rsid w:val="432F1853"/>
    <w:rsid w:val="43301127"/>
    <w:rsid w:val="433230F1"/>
    <w:rsid w:val="43326C4D"/>
    <w:rsid w:val="433429C6"/>
    <w:rsid w:val="43346E69"/>
    <w:rsid w:val="4335673E"/>
    <w:rsid w:val="43394480"/>
    <w:rsid w:val="433B4453"/>
    <w:rsid w:val="433C0BB6"/>
    <w:rsid w:val="43452E25"/>
    <w:rsid w:val="43454BD3"/>
    <w:rsid w:val="43476B9D"/>
    <w:rsid w:val="43486471"/>
    <w:rsid w:val="434A3F97"/>
    <w:rsid w:val="4352109E"/>
    <w:rsid w:val="435B43F6"/>
    <w:rsid w:val="435B61A4"/>
    <w:rsid w:val="435C1F1C"/>
    <w:rsid w:val="436037BB"/>
    <w:rsid w:val="43616F73"/>
    <w:rsid w:val="43672D9B"/>
    <w:rsid w:val="4368266F"/>
    <w:rsid w:val="43721740"/>
    <w:rsid w:val="43727992"/>
    <w:rsid w:val="43805C0B"/>
    <w:rsid w:val="438374A9"/>
    <w:rsid w:val="438A4CDB"/>
    <w:rsid w:val="438F22F2"/>
    <w:rsid w:val="43931DE2"/>
    <w:rsid w:val="439873F8"/>
    <w:rsid w:val="439C056B"/>
    <w:rsid w:val="439F186D"/>
    <w:rsid w:val="43A06C70"/>
    <w:rsid w:val="43B27D8E"/>
    <w:rsid w:val="43B43B06"/>
    <w:rsid w:val="43B753A5"/>
    <w:rsid w:val="43B81849"/>
    <w:rsid w:val="43C04259"/>
    <w:rsid w:val="43C27FD1"/>
    <w:rsid w:val="43C7383A"/>
    <w:rsid w:val="43CD6976"/>
    <w:rsid w:val="43D033AB"/>
    <w:rsid w:val="43D23F8D"/>
    <w:rsid w:val="43D63A7D"/>
    <w:rsid w:val="43D877F5"/>
    <w:rsid w:val="43DB5537"/>
    <w:rsid w:val="43DD4E0B"/>
    <w:rsid w:val="43DE0B83"/>
    <w:rsid w:val="43DE2931"/>
    <w:rsid w:val="43DF5027"/>
    <w:rsid w:val="43E066A9"/>
    <w:rsid w:val="43E22422"/>
    <w:rsid w:val="43E268C5"/>
    <w:rsid w:val="43E3619A"/>
    <w:rsid w:val="43E4263E"/>
    <w:rsid w:val="43E75C8A"/>
    <w:rsid w:val="43E83D1F"/>
    <w:rsid w:val="43E97C54"/>
    <w:rsid w:val="43EE7018"/>
    <w:rsid w:val="43F32881"/>
    <w:rsid w:val="43FB163B"/>
    <w:rsid w:val="44000AFA"/>
    <w:rsid w:val="440305EA"/>
    <w:rsid w:val="4407632C"/>
    <w:rsid w:val="44095C00"/>
    <w:rsid w:val="440C749E"/>
    <w:rsid w:val="440E3217"/>
    <w:rsid w:val="440F6F41"/>
    <w:rsid w:val="44134CD1"/>
    <w:rsid w:val="4418102D"/>
    <w:rsid w:val="44182864"/>
    <w:rsid w:val="441A7E0D"/>
    <w:rsid w:val="441E75A6"/>
    <w:rsid w:val="44224667"/>
    <w:rsid w:val="4427252A"/>
    <w:rsid w:val="442E38B9"/>
    <w:rsid w:val="442F13DF"/>
    <w:rsid w:val="44330ECF"/>
    <w:rsid w:val="443A04B0"/>
    <w:rsid w:val="443A225E"/>
    <w:rsid w:val="443B7D84"/>
    <w:rsid w:val="443D58AA"/>
    <w:rsid w:val="443F7874"/>
    <w:rsid w:val="444017D9"/>
    <w:rsid w:val="44427364"/>
    <w:rsid w:val="44477C42"/>
    <w:rsid w:val="444924A1"/>
    <w:rsid w:val="444C3D3F"/>
    <w:rsid w:val="444E3F5B"/>
    <w:rsid w:val="44501A81"/>
    <w:rsid w:val="4450382F"/>
    <w:rsid w:val="445157F9"/>
    <w:rsid w:val="445175A7"/>
    <w:rsid w:val="44562E10"/>
    <w:rsid w:val="445C6678"/>
    <w:rsid w:val="446077EA"/>
    <w:rsid w:val="44670B79"/>
    <w:rsid w:val="446C6A68"/>
    <w:rsid w:val="447514E8"/>
    <w:rsid w:val="44775260"/>
    <w:rsid w:val="447A4D50"/>
    <w:rsid w:val="447B4624"/>
    <w:rsid w:val="447C2876"/>
    <w:rsid w:val="44801C3A"/>
    <w:rsid w:val="44823C05"/>
    <w:rsid w:val="44827761"/>
    <w:rsid w:val="44877411"/>
    <w:rsid w:val="44884910"/>
    <w:rsid w:val="44896D41"/>
    <w:rsid w:val="448B2AB9"/>
    <w:rsid w:val="448E4357"/>
    <w:rsid w:val="44966EC5"/>
    <w:rsid w:val="4497145E"/>
    <w:rsid w:val="44986F84"/>
    <w:rsid w:val="449A2CFC"/>
    <w:rsid w:val="449C6A74"/>
    <w:rsid w:val="44A8440D"/>
    <w:rsid w:val="44A92F3F"/>
    <w:rsid w:val="44AC2A30"/>
    <w:rsid w:val="44AE0556"/>
    <w:rsid w:val="44B85878"/>
    <w:rsid w:val="44BA15F0"/>
    <w:rsid w:val="44BC0EC5"/>
    <w:rsid w:val="44BE2E8F"/>
    <w:rsid w:val="44C9538F"/>
    <w:rsid w:val="44CD4E80"/>
    <w:rsid w:val="44D2693A"/>
    <w:rsid w:val="44D73F50"/>
    <w:rsid w:val="44DA134B"/>
    <w:rsid w:val="44E1092B"/>
    <w:rsid w:val="44E65F41"/>
    <w:rsid w:val="44EB79FC"/>
    <w:rsid w:val="44F12C03"/>
    <w:rsid w:val="44F43CE7"/>
    <w:rsid w:val="44F51665"/>
    <w:rsid w:val="44FC5765"/>
    <w:rsid w:val="44FE5699"/>
    <w:rsid w:val="44FF0DB1"/>
    <w:rsid w:val="44FF34A7"/>
    <w:rsid w:val="4504286C"/>
    <w:rsid w:val="4508410A"/>
    <w:rsid w:val="45094E8C"/>
    <w:rsid w:val="450B3BFA"/>
    <w:rsid w:val="450B59A8"/>
    <w:rsid w:val="4513485D"/>
    <w:rsid w:val="4515613E"/>
    <w:rsid w:val="451F76A5"/>
    <w:rsid w:val="452151CC"/>
    <w:rsid w:val="45252F0E"/>
    <w:rsid w:val="452A22D2"/>
    <w:rsid w:val="452B5F00"/>
    <w:rsid w:val="452B604A"/>
    <w:rsid w:val="4530540F"/>
    <w:rsid w:val="45321187"/>
    <w:rsid w:val="4537679D"/>
    <w:rsid w:val="453C2005"/>
    <w:rsid w:val="453C3DB3"/>
    <w:rsid w:val="453E3FCF"/>
    <w:rsid w:val="4541761C"/>
    <w:rsid w:val="454E7CB6"/>
    <w:rsid w:val="45531301"/>
    <w:rsid w:val="455D70B3"/>
    <w:rsid w:val="45603F46"/>
    <w:rsid w:val="45637592"/>
    <w:rsid w:val="45682DFA"/>
    <w:rsid w:val="456A6B72"/>
    <w:rsid w:val="457572C5"/>
    <w:rsid w:val="457E43CC"/>
    <w:rsid w:val="45833B28"/>
    <w:rsid w:val="4585575A"/>
    <w:rsid w:val="45903FBF"/>
    <w:rsid w:val="45997458"/>
    <w:rsid w:val="459C4852"/>
    <w:rsid w:val="459E681C"/>
    <w:rsid w:val="45A02594"/>
    <w:rsid w:val="45A57BAB"/>
    <w:rsid w:val="45A71B75"/>
    <w:rsid w:val="45A81295"/>
    <w:rsid w:val="45AC7FDA"/>
    <w:rsid w:val="45AD4CB1"/>
    <w:rsid w:val="45C53DA9"/>
    <w:rsid w:val="45C67B21"/>
    <w:rsid w:val="45CC15DB"/>
    <w:rsid w:val="45CF2E79"/>
    <w:rsid w:val="45D16BF2"/>
    <w:rsid w:val="45D40490"/>
    <w:rsid w:val="45D73ADC"/>
    <w:rsid w:val="45DE130F"/>
    <w:rsid w:val="45E00BE3"/>
    <w:rsid w:val="45E36925"/>
    <w:rsid w:val="45E5016B"/>
    <w:rsid w:val="45E76415"/>
    <w:rsid w:val="45F14B9E"/>
    <w:rsid w:val="45F411FB"/>
    <w:rsid w:val="45F621B4"/>
    <w:rsid w:val="45F823D0"/>
    <w:rsid w:val="45F8417E"/>
    <w:rsid w:val="45F91CA4"/>
    <w:rsid w:val="45F91F5D"/>
    <w:rsid w:val="45FB77CB"/>
    <w:rsid w:val="46003485"/>
    <w:rsid w:val="46041623"/>
    <w:rsid w:val="46054AED"/>
    <w:rsid w:val="460A3EB2"/>
    <w:rsid w:val="46162856"/>
    <w:rsid w:val="461865CE"/>
    <w:rsid w:val="46256F3D"/>
    <w:rsid w:val="462A4554"/>
    <w:rsid w:val="462E5DF2"/>
    <w:rsid w:val="46357180"/>
    <w:rsid w:val="463B1B4F"/>
    <w:rsid w:val="4642189D"/>
    <w:rsid w:val="46435FB5"/>
    <w:rsid w:val="46445615"/>
    <w:rsid w:val="464473C4"/>
    <w:rsid w:val="4645480E"/>
    <w:rsid w:val="4646138E"/>
    <w:rsid w:val="46492C2C"/>
    <w:rsid w:val="464949DA"/>
    <w:rsid w:val="464E1FF0"/>
    <w:rsid w:val="4654337F"/>
    <w:rsid w:val="46565349"/>
    <w:rsid w:val="465D66D7"/>
    <w:rsid w:val="46641543"/>
    <w:rsid w:val="466435C2"/>
    <w:rsid w:val="466510E8"/>
    <w:rsid w:val="466F387B"/>
    <w:rsid w:val="467B6B5D"/>
    <w:rsid w:val="468C2B19"/>
    <w:rsid w:val="46911EDD"/>
    <w:rsid w:val="4698770F"/>
    <w:rsid w:val="469C27AD"/>
    <w:rsid w:val="469D6AD4"/>
    <w:rsid w:val="46A03A1C"/>
    <w:rsid w:val="46A2058E"/>
    <w:rsid w:val="46A55012"/>
    <w:rsid w:val="46AB7443"/>
    <w:rsid w:val="46B02CAB"/>
    <w:rsid w:val="46B06807"/>
    <w:rsid w:val="46B34549"/>
    <w:rsid w:val="46B5206F"/>
    <w:rsid w:val="46B768C4"/>
    <w:rsid w:val="46BA58D8"/>
    <w:rsid w:val="46BF2EEE"/>
    <w:rsid w:val="46C978C9"/>
    <w:rsid w:val="46CD3915"/>
    <w:rsid w:val="46D4382F"/>
    <w:rsid w:val="46D83FB0"/>
    <w:rsid w:val="46DB13AA"/>
    <w:rsid w:val="46DC3AA0"/>
    <w:rsid w:val="46DC75FC"/>
    <w:rsid w:val="46E55AB0"/>
    <w:rsid w:val="46F26E20"/>
    <w:rsid w:val="46F5246C"/>
    <w:rsid w:val="46F80C5B"/>
    <w:rsid w:val="46FA5CD4"/>
    <w:rsid w:val="46FC37FA"/>
    <w:rsid w:val="47017063"/>
    <w:rsid w:val="47044DA5"/>
    <w:rsid w:val="47086643"/>
    <w:rsid w:val="470923BB"/>
    <w:rsid w:val="47095F17"/>
    <w:rsid w:val="4710374A"/>
    <w:rsid w:val="471843AC"/>
    <w:rsid w:val="471903E1"/>
    <w:rsid w:val="471F398D"/>
    <w:rsid w:val="471F3E06"/>
    <w:rsid w:val="472114B3"/>
    <w:rsid w:val="472471F5"/>
    <w:rsid w:val="47265F6B"/>
    <w:rsid w:val="47266AC9"/>
    <w:rsid w:val="472C4902"/>
    <w:rsid w:val="473016F6"/>
    <w:rsid w:val="47305B9A"/>
    <w:rsid w:val="47332F94"/>
    <w:rsid w:val="473531B0"/>
    <w:rsid w:val="473C62ED"/>
    <w:rsid w:val="47413903"/>
    <w:rsid w:val="4743767B"/>
    <w:rsid w:val="474433F3"/>
    <w:rsid w:val="47460F19"/>
    <w:rsid w:val="47486A40"/>
    <w:rsid w:val="474927B8"/>
    <w:rsid w:val="474B29D4"/>
    <w:rsid w:val="47507FEA"/>
    <w:rsid w:val="475278BE"/>
    <w:rsid w:val="47541888"/>
    <w:rsid w:val="47543636"/>
    <w:rsid w:val="475E2707"/>
    <w:rsid w:val="475E5238"/>
    <w:rsid w:val="475F2102"/>
    <w:rsid w:val="47617B01"/>
    <w:rsid w:val="47631ACB"/>
    <w:rsid w:val="476615BC"/>
    <w:rsid w:val="476A10AC"/>
    <w:rsid w:val="476B4E24"/>
    <w:rsid w:val="476F0470"/>
    <w:rsid w:val="476F764D"/>
    <w:rsid w:val="477041E8"/>
    <w:rsid w:val="477261B2"/>
    <w:rsid w:val="47767A51"/>
    <w:rsid w:val="47794E4B"/>
    <w:rsid w:val="47797541"/>
    <w:rsid w:val="477F442B"/>
    <w:rsid w:val="478101A3"/>
    <w:rsid w:val="478163F5"/>
    <w:rsid w:val="47833F1C"/>
    <w:rsid w:val="47857842"/>
    <w:rsid w:val="47866032"/>
    <w:rsid w:val="478722A2"/>
    <w:rsid w:val="478B1022"/>
    <w:rsid w:val="478D6B48"/>
    <w:rsid w:val="4791488A"/>
    <w:rsid w:val="47971775"/>
    <w:rsid w:val="47975C19"/>
    <w:rsid w:val="479E1E8C"/>
    <w:rsid w:val="47A3011A"/>
    <w:rsid w:val="47A35F63"/>
    <w:rsid w:val="47A53E92"/>
    <w:rsid w:val="47AB6FCE"/>
    <w:rsid w:val="47AC6ECB"/>
    <w:rsid w:val="47AD2D46"/>
    <w:rsid w:val="47AF6ABF"/>
    <w:rsid w:val="47B20B23"/>
    <w:rsid w:val="47B6609F"/>
    <w:rsid w:val="47B916EB"/>
    <w:rsid w:val="47C36A0E"/>
    <w:rsid w:val="47C61AE1"/>
    <w:rsid w:val="47C702AC"/>
    <w:rsid w:val="47C869DA"/>
    <w:rsid w:val="47C87B80"/>
    <w:rsid w:val="47D77DC3"/>
    <w:rsid w:val="47D97FDF"/>
    <w:rsid w:val="47DC362C"/>
    <w:rsid w:val="47DE55F6"/>
    <w:rsid w:val="47E30E5E"/>
    <w:rsid w:val="47E726FC"/>
    <w:rsid w:val="47E73680"/>
    <w:rsid w:val="47E744AA"/>
    <w:rsid w:val="47ED3A8B"/>
    <w:rsid w:val="47F00E85"/>
    <w:rsid w:val="47F551BE"/>
    <w:rsid w:val="47F866B8"/>
    <w:rsid w:val="47FD3CCE"/>
    <w:rsid w:val="48013092"/>
    <w:rsid w:val="48030BB8"/>
    <w:rsid w:val="48036E0A"/>
    <w:rsid w:val="48050DD4"/>
    <w:rsid w:val="480706A9"/>
    <w:rsid w:val="48074B4D"/>
    <w:rsid w:val="48131278"/>
    <w:rsid w:val="48142DC6"/>
    <w:rsid w:val="48194880"/>
    <w:rsid w:val="481D65E5"/>
    <w:rsid w:val="48256D81"/>
    <w:rsid w:val="48286871"/>
    <w:rsid w:val="482963CC"/>
    <w:rsid w:val="482A4C90"/>
    <w:rsid w:val="482C1089"/>
    <w:rsid w:val="48376AB4"/>
    <w:rsid w:val="4839282C"/>
    <w:rsid w:val="48397A59"/>
    <w:rsid w:val="483B65A4"/>
    <w:rsid w:val="483F42E6"/>
    <w:rsid w:val="48403BBB"/>
    <w:rsid w:val="484418FD"/>
    <w:rsid w:val="4847319B"/>
    <w:rsid w:val="484E4529"/>
    <w:rsid w:val="484F3DFE"/>
    <w:rsid w:val="48541414"/>
    <w:rsid w:val="4856518C"/>
    <w:rsid w:val="48580F04"/>
    <w:rsid w:val="485B27A2"/>
    <w:rsid w:val="485B70FC"/>
    <w:rsid w:val="485D78B2"/>
    <w:rsid w:val="485E3121"/>
    <w:rsid w:val="48643D4D"/>
    <w:rsid w:val="4867383D"/>
    <w:rsid w:val="486D24D6"/>
    <w:rsid w:val="486E0728"/>
    <w:rsid w:val="486E0FF2"/>
    <w:rsid w:val="487B1097"/>
    <w:rsid w:val="487D096B"/>
    <w:rsid w:val="487D5531"/>
    <w:rsid w:val="487D6BBD"/>
    <w:rsid w:val="48802C4C"/>
    <w:rsid w:val="48822425"/>
    <w:rsid w:val="48877A3B"/>
    <w:rsid w:val="488B465C"/>
    <w:rsid w:val="488C32A4"/>
    <w:rsid w:val="488C5052"/>
    <w:rsid w:val="488E2B78"/>
    <w:rsid w:val="488E4926"/>
    <w:rsid w:val="48914416"/>
    <w:rsid w:val="489363E0"/>
    <w:rsid w:val="48943F06"/>
    <w:rsid w:val="48965ED0"/>
    <w:rsid w:val="48A02236"/>
    <w:rsid w:val="48A26623"/>
    <w:rsid w:val="48A4239B"/>
    <w:rsid w:val="48A979B2"/>
    <w:rsid w:val="48AB372A"/>
    <w:rsid w:val="48AD4E0D"/>
    <w:rsid w:val="48B325DE"/>
    <w:rsid w:val="48B3438D"/>
    <w:rsid w:val="48B7783F"/>
    <w:rsid w:val="48B84099"/>
    <w:rsid w:val="48BF2D31"/>
    <w:rsid w:val="48C000DF"/>
    <w:rsid w:val="48C06AA9"/>
    <w:rsid w:val="48C26CC5"/>
    <w:rsid w:val="48C42A3E"/>
    <w:rsid w:val="48C60564"/>
    <w:rsid w:val="48C7608A"/>
    <w:rsid w:val="48D03190"/>
    <w:rsid w:val="48D72771"/>
    <w:rsid w:val="48DF2644"/>
    <w:rsid w:val="48DF5182"/>
    <w:rsid w:val="48E21116"/>
    <w:rsid w:val="48E21B73"/>
    <w:rsid w:val="48E64762"/>
    <w:rsid w:val="48E704DA"/>
    <w:rsid w:val="48E85E85"/>
    <w:rsid w:val="48EB47DC"/>
    <w:rsid w:val="48F70FBE"/>
    <w:rsid w:val="48F74BC1"/>
    <w:rsid w:val="48F84ED8"/>
    <w:rsid w:val="49023467"/>
    <w:rsid w:val="490D2C9B"/>
    <w:rsid w:val="49117305"/>
    <w:rsid w:val="491237A9"/>
    <w:rsid w:val="492732ED"/>
    <w:rsid w:val="492A3E83"/>
    <w:rsid w:val="492B6619"/>
    <w:rsid w:val="492C413F"/>
    <w:rsid w:val="492D2391"/>
    <w:rsid w:val="492E6109"/>
    <w:rsid w:val="493279A7"/>
    <w:rsid w:val="493556E9"/>
    <w:rsid w:val="49357497"/>
    <w:rsid w:val="49417BEA"/>
    <w:rsid w:val="49423962"/>
    <w:rsid w:val="49425710"/>
    <w:rsid w:val="49452DA6"/>
    <w:rsid w:val="49470F79"/>
    <w:rsid w:val="494D2A33"/>
    <w:rsid w:val="49514C5F"/>
    <w:rsid w:val="49535B70"/>
    <w:rsid w:val="49536046"/>
    <w:rsid w:val="495E079C"/>
    <w:rsid w:val="49607AC3"/>
    <w:rsid w:val="49627B61"/>
    <w:rsid w:val="49675177"/>
    <w:rsid w:val="496B4C67"/>
    <w:rsid w:val="496E4757"/>
    <w:rsid w:val="4970227E"/>
    <w:rsid w:val="497338BA"/>
    <w:rsid w:val="49793828"/>
    <w:rsid w:val="497A30FC"/>
    <w:rsid w:val="497B1DA6"/>
    <w:rsid w:val="497B5A03"/>
    <w:rsid w:val="497E4457"/>
    <w:rsid w:val="49804BB7"/>
    <w:rsid w:val="4981448B"/>
    <w:rsid w:val="49816239"/>
    <w:rsid w:val="49831FB1"/>
    <w:rsid w:val="49845D29"/>
    <w:rsid w:val="498521CD"/>
    <w:rsid w:val="498D1081"/>
    <w:rsid w:val="498D2E30"/>
    <w:rsid w:val="498E0956"/>
    <w:rsid w:val="498E6BA8"/>
    <w:rsid w:val="498F4DFA"/>
    <w:rsid w:val="49920D7E"/>
    <w:rsid w:val="499441BE"/>
    <w:rsid w:val="499875AE"/>
    <w:rsid w:val="499A554C"/>
    <w:rsid w:val="499E503D"/>
    <w:rsid w:val="499F48B0"/>
    <w:rsid w:val="49A075BC"/>
    <w:rsid w:val="49A308A5"/>
    <w:rsid w:val="49A54C7D"/>
    <w:rsid w:val="49A85EBB"/>
    <w:rsid w:val="49A95790"/>
    <w:rsid w:val="49AA1C33"/>
    <w:rsid w:val="49AF0FF8"/>
    <w:rsid w:val="49B02FC2"/>
    <w:rsid w:val="49B55F4A"/>
    <w:rsid w:val="49BA174B"/>
    <w:rsid w:val="49BE56DF"/>
    <w:rsid w:val="49CA567C"/>
    <w:rsid w:val="49CD7964"/>
    <w:rsid w:val="49D15412"/>
    <w:rsid w:val="49D2118A"/>
    <w:rsid w:val="49D40A5E"/>
    <w:rsid w:val="49D547D7"/>
    <w:rsid w:val="49D62A28"/>
    <w:rsid w:val="49DC5B65"/>
    <w:rsid w:val="49DE368B"/>
    <w:rsid w:val="49DF11B1"/>
    <w:rsid w:val="49E05655"/>
    <w:rsid w:val="49EA64D4"/>
    <w:rsid w:val="49EC2ACC"/>
    <w:rsid w:val="49ED38CE"/>
    <w:rsid w:val="49F033BE"/>
    <w:rsid w:val="49F421A9"/>
    <w:rsid w:val="49F7299F"/>
    <w:rsid w:val="4A001853"/>
    <w:rsid w:val="4A0B1FA6"/>
    <w:rsid w:val="4A0D21F0"/>
    <w:rsid w:val="4A113A61"/>
    <w:rsid w:val="4A162E25"/>
    <w:rsid w:val="4A1672C9"/>
    <w:rsid w:val="4A17094B"/>
    <w:rsid w:val="4A190B67"/>
    <w:rsid w:val="4A1946C3"/>
    <w:rsid w:val="4A266DE0"/>
    <w:rsid w:val="4A2A2D74"/>
    <w:rsid w:val="4A2D63C1"/>
    <w:rsid w:val="4A2F3EE7"/>
    <w:rsid w:val="4A331C29"/>
    <w:rsid w:val="4A363C8C"/>
    <w:rsid w:val="4A372D9B"/>
    <w:rsid w:val="4A394D65"/>
    <w:rsid w:val="4A396B13"/>
    <w:rsid w:val="4A3B0ADD"/>
    <w:rsid w:val="4A3B6D2F"/>
    <w:rsid w:val="4A423EAA"/>
    <w:rsid w:val="4A435BE4"/>
    <w:rsid w:val="4A45195C"/>
    <w:rsid w:val="4A45370A"/>
    <w:rsid w:val="4A487BD7"/>
    <w:rsid w:val="4A4E6A63"/>
    <w:rsid w:val="4A4F4589"/>
    <w:rsid w:val="4A5120AF"/>
    <w:rsid w:val="4A563B69"/>
    <w:rsid w:val="4A5751EC"/>
    <w:rsid w:val="4A595408"/>
    <w:rsid w:val="4A5E657A"/>
    <w:rsid w:val="4A62250E"/>
    <w:rsid w:val="4A6411E3"/>
    <w:rsid w:val="4A6A13C3"/>
    <w:rsid w:val="4A6A3171"/>
    <w:rsid w:val="4A722025"/>
    <w:rsid w:val="4A743FEF"/>
    <w:rsid w:val="4A78588E"/>
    <w:rsid w:val="4A7D10F6"/>
    <w:rsid w:val="4A7D6761"/>
    <w:rsid w:val="4A7E7BF1"/>
    <w:rsid w:val="4A7F4E6E"/>
    <w:rsid w:val="4A800BE6"/>
    <w:rsid w:val="4A875AD1"/>
    <w:rsid w:val="4A897A9B"/>
    <w:rsid w:val="4A8A3813"/>
    <w:rsid w:val="4A8C30E7"/>
    <w:rsid w:val="4A915755"/>
    <w:rsid w:val="4A9326C8"/>
    <w:rsid w:val="4A93582F"/>
    <w:rsid w:val="4A993A56"/>
    <w:rsid w:val="4A9B157C"/>
    <w:rsid w:val="4A9F4148"/>
    <w:rsid w:val="4AA15B5C"/>
    <w:rsid w:val="4AAA17BF"/>
    <w:rsid w:val="4AAA7982"/>
    <w:rsid w:val="4AAC3CC0"/>
    <w:rsid w:val="4AAC5537"/>
    <w:rsid w:val="4AAE5753"/>
    <w:rsid w:val="4AB35768"/>
    <w:rsid w:val="4AB459AB"/>
    <w:rsid w:val="4ABA5EA6"/>
    <w:rsid w:val="4ABB39CC"/>
    <w:rsid w:val="4AC00FE3"/>
    <w:rsid w:val="4AC52385"/>
    <w:rsid w:val="4AC53563"/>
    <w:rsid w:val="4AC565F9"/>
    <w:rsid w:val="4AC7411F"/>
    <w:rsid w:val="4ACC5BD9"/>
    <w:rsid w:val="4ACE1952"/>
    <w:rsid w:val="4ACF3922"/>
    <w:rsid w:val="4AD35E1A"/>
    <w:rsid w:val="4AD66A58"/>
    <w:rsid w:val="4AD8632C"/>
    <w:rsid w:val="4ADA02F6"/>
    <w:rsid w:val="4ADB7BCB"/>
    <w:rsid w:val="4AE64EED"/>
    <w:rsid w:val="4AE66C9B"/>
    <w:rsid w:val="4AE747C1"/>
    <w:rsid w:val="4AE9678B"/>
    <w:rsid w:val="4AEA6060"/>
    <w:rsid w:val="4AEE3DA2"/>
    <w:rsid w:val="4AF05342"/>
    <w:rsid w:val="4AF07B1A"/>
    <w:rsid w:val="4AF36D49"/>
    <w:rsid w:val="4B047121"/>
    <w:rsid w:val="4B076C12"/>
    <w:rsid w:val="4B0E7FA0"/>
    <w:rsid w:val="4B11183E"/>
    <w:rsid w:val="4B2477C4"/>
    <w:rsid w:val="4B273A7C"/>
    <w:rsid w:val="4B2E0642"/>
    <w:rsid w:val="4B354767"/>
    <w:rsid w:val="4B361218"/>
    <w:rsid w:val="4B3B68BB"/>
    <w:rsid w:val="4B3D6AD7"/>
    <w:rsid w:val="4B427C4A"/>
    <w:rsid w:val="4B4734B2"/>
    <w:rsid w:val="4B4B11F4"/>
    <w:rsid w:val="4B5005B9"/>
    <w:rsid w:val="4B5160DF"/>
    <w:rsid w:val="4B517E8D"/>
    <w:rsid w:val="4B5300A9"/>
    <w:rsid w:val="4B5A31E5"/>
    <w:rsid w:val="4B5A4F93"/>
    <w:rsid w:val="4B5B2A30"/>
    <w:rsid w:val="4B5C6F5D"/>
    <w:rsid w:val="4B5D2426"/>
    <w:rsid w:val="4B5F6A4E"/>
    <w:rsid w:val="4B62209A"/>
    <w:rsid w:val="4B667DDC"/>
    <w:rsid w:val="4B683B54"/>
    <w:rsid w:val="4B6E4EE3"/>
    <w:rsid w:val="4B7324F9"/>
    <w:rsid w:val="4B79502C"/>
    <w:rsid w:val="4B7F448E"/>
    <w:rsid w:val="4B7F49FA"/>
    <w:rsid w:val="4B83098E"/>
    <w:rsid w:val="4B83273C"/>
    <w:rsid w:val="4B86222C"/>
    <w:rsid w:val="4B871568"/>
    <w:rsid w:val="4B897627"/>
    <w:rsid w:val="4B8B15F1"/>
    <w:rsid w:val="4B8D35BB"/>
    <w:rsid w:val="4B8D7117"/>
    <w:rsid w:val="4B9009B5"/>
    <w:rsid w:val="4B946E8E"/>
    <w:rsid w:val="4B9506C1"/>
    <w:rsid w:val="4B980928"/>
    <w:rsid w:val="4B985ABC"/>
    <w:rsid w:val="4BA206E8"/>
    <w:rsid w:val="4BA50A52"/>
    <w:rsid w:val="4BA83F51"/>
    <w:rsid w:val="4BAF3531"/>
    <w:rsid w:val="4BB46D99"/>
    <w:rsid w:val="4BB70638"/>
    <w:rsid w:val="4BB723E6"/>
    <w:rsid w:val="4BB943B0"/>
    <w:rsid w:val="4BBA1ED6"/>
    <w:rsid w:val="4BBC39A1"/>
    <w:rsid w:val="4BBD5522"/>
    <w:rsid w:val="4BBE19C6"/>
    <w:rsid w:val="4BBE3774"/>
    <w:rsid w:val="4BC04BF0"/>
    <w:rsid w:val="4BC62629"/>
    <w:rsid w:val="4BCB40E3"/>
    <w:rsid w:val="4BCD2C86"/>
    <w:rsid w:val="4BCF4C89"/>
    <w:rsid w:val="4BD20FCE"/>
    <w:rsid w:val="4BD96ED8"/>
    <w:rsid w:val="4BE3521B"/>
    <w:rsid w:val="4BE672D8"/>
    <w:rsid w:val="4BE85FBF"/>
    <w:rsid w:val="4BE86A43"/>
    <w:rsid w:val="4BF4363A"/>
    <w:rsid w:val="4BF61160"/>
    <w:rsid w:val="4BF74ED8"/>
    <w:rsid w:val="4BF94D80"/>
    <w:rsid w:val="4BFB2271"/>
    <w:rsid w:val="4BFE0015"/>
    <w:rsid w:val="4BFE1DC3"/>
    <w:rsid w:val="4BFF5B3B"/>
    <w:rsid w:val="4C030A03"/>
    <w:rsid w:val="4C0B2731"/>
    <w:rsid w:val="4C1C66ED"/>
    <w:rsid w:val="4C1E75F6"/>
    <w:rsid w:val="4C213F8C"/>
    <w:rsid w:val="4C251A45"/>
    <w:rsid w:val="4C286E40"/>
    <w:rsid w:val="4C2A2BB8"/>
    <w:rsid w:val="4C2B4DA7"/>
    <w:rsid w:val="4C2B6930"/>
    <w:rsid w:val="4C2C4B82"/>
    <w:rsid w:val="4C2F6420"/>
    <w:rsid w:val="4C3005F9"/>
    <w:rsid w:val="4C317704"/>
    <w:rsid w:val="4C337EB2"/>
    <w:rsid w:val="4C3954F1"/>
    <w:rsid w:val="4C3C0B94"/>
    <w:rsid w:val="4C3C28EB"/>
    <w:rsid w:val="4C3E48B5"/>
    <w:rsid w:val="4C3E6663"/>
    <w:rsid w:val="4C417F01"/>
    <w:rsid w:val="4C431ECB"/>
    <w:rsid w:val="4C460604"/>
    <w:rsid w:val="4C481290"/>
    <w:rsid w:val="4C4B0D80"/>
    <w:rsid w:val="4C4C5224"/>
    <w:rsid w:val="4C5145E8"/>
    <w:rsid w:val="4C516396"/>
    <w:rsid w:val="4C59524B"/>
    <w:rsid w:val="4C5E4F57"/>
    <w:rsid w:val="4C612351"/>
    <w:rsid w:val="4C6205A3"/>
    <w:rsid w:val="4C6360CA"/>
    <w:rsid w:val="4C653BF0"/>
    <w:rsid w:val="4C692B3F"/>
    <w:rsid w:val="4C6A7458"/>
    <w:rsid w:val="4C6D0CF6"/>
    <w:rsid w:val="4C7B4BC0"/>
    <w:rsid w:val="4C83051A"/>
    <w:rsid w:val="4C8557FE"/>
    <w:rsid w:val="4C883D82"/>
    <w:rsid w:val="4C8A18A8"/>
    <w:rsid w:val="4C8A5D4C"/>
    <w:rsid w:val="4C940979"/>
    <w:rsid w:val="4C942727"/>
    <w:rsid w:val="4C944C8C"/>
    <w:rsid w:val="4C96625F"/>
    <w:rsid w:val="4C9814EE"/>
    <w:rsid w:val="4CA23096"/>
    <w:rsid w:val="4CA42662"/>
    <w:rsid w:val="4CA566E2"/>
    <w:rsid w:val="4CA834C6"/>
    <w:rsid w:val="4CA92473"/>
    <w:rsid w:val="4CAA1F4A"/>
    <w:rsid w:val="4CAD5597"/>
    <w:rsid w:val="4CAF7561"/>
    <w:rsid w:val="4CB10492"/>
    <w:rsid w:val="4CB15087"/>
    <w:rsid w:val="4CB608EF"/>
    <w:rsid w:val="4CBD3A2C"/>
    <w:rsid w:val="4CC052CA"/>
    <w:rsid w:val="4CC132CB"/>
    <w:rsid w:val="4CC27294"/>
    <w:rsid w:val="4CC36B68"/>
    <w:rsid w:val="4CC56D84"/>
    <w:rsid w:val="4CC748AA"/>
    <w:rsid w:val="4CC96874"/>
    <w:rsid w:val="4CCA6149"/>
    <w:rsid w:val="4CD34FFD"/>
    <w:rsid w:val="4CD40D75"/>
    <w:rsid w:val="4CDA1214"/>
    <w:rsid w:val="4CE0771A"/>
    <w:rsid w:val="4CE23492"/>
    <w:rsid w:val="4CE4545C"/>
    <w:rsid w:val="4CE74F4D"/>
    <w:rsid w:val="4CEE0B24"/>
    <w:rsid w:val="4CEE62DB"/>
    <w:rsid w:val="4CF36781"/>
    <w:rsid w:val="4CF5766A"/>
    <w:rsid w:val="4CF973FB"/>
    <w:rsid w:val="4CFA4C80"/>
    <w:rsid w:val="4CFE5DF2"/>
    <w:rsid w:val="4CFF2296"/>
    <w:rsid w:val="4D0324CA"/>
    <w:rsid w:val="4D041BF8"/>
    <w:rsid w:val="4D080439"/>
    <w:rsid w:val="4D0C49B3"/>
    <w:rsid w:val="4D0F77F7"/>
    <w:rsid w:val="4D115B26"/>
    <w:rsid w:val="4D146BD4"/>
    <w:rsid w:val="4D151ABA"/>
    <w:rsid w:val="4D1A5CCF"/>
    <w:rsid w:val="4D1B69A4"/>
    <w:rsid w:val="4D216607"/>
    <w:rsid w:val="4D241CFD"/>
    <w:rsid w:val="4D2515D1"/>
    <w:rsid w:val="4D265A75"/>
    <w:rsid w:val="4D275349"/>
    <w:rsid w:val="4D2770F7"/>
    <w:rsid w:val="4D2A0DDA"/>
    <w:rsid w:val="4D2D62EB"/>
    <w:rsid w:val="4D371A30"/>
    <w:rsid w:val="4D371F6E"/>
    <w:rsid w:val="4D3D4B6D"/>
    <w:rsid w:val="4D3F2693"/>
    <w:rsid w:val="4D4001B9"/>
    <w:rsid w:val="4D44414D"/>
    <w:rsid w:val="4D491763"/>
    <w:rsid w:val="4D4B54DB"/>
    <w:rsid w:val="4D502AF2"/>
    <w:rsid w:val="4D537EEC"/>
    <w:rsid w:val="4D5819A6"/>
    <w:rsid w:val="4D595121"/>
    <w:rsid w:val="4D5C3245"/>
    <w:rsid w:val="4D5D0D6B"/>
    <w:rsid w:val="4D622825"/>
    <w:rsid w:val="4D6420F9"/>
    <w:rsid w:val="4D64659D"/>
    <w:rsid w:val="4D662315"/>
    <w:rsid w:val="4D6B3488"/>
    <w:rsid w:val="4D772623"/>
    <w:rsid w:val="4D785BA5"/>
    <w:rsid w:val="4D7C38E7"/>
    <w:rsid w:val="4D810EFD"/>
    <w:rsid w:val="4D84279B"/>
    <w:rsid w:val="4D844549"/>
    <w:rsid w:val="4D897DB2"/>
    <w:rsid w:val="4D8B55C5"/>
    <w:rsid w:val="4D8B66A2"/>
    <w:rsid w:val="4D8B6D06"/>
    <w:rsid w:val="4D95396E"/>
    <w:rsid w:val="4D987FF5"/>
    <w:rsid w:val="4D9D0F46"/>
    <w:rsid w:val="4D9E1AAF"/>
    <w:rsid w:val="4DA44CDC"/>
    <w:rsid w:val="4DA846DC"/>
    <w:rsid w:val="4DA93FB0"/>
    <w:rsid w:val="4DAB41CC"/>
    <w:rsid w:val="4DAD1CF2"/>
    <w:rsid w:val="4DAE15C6"/>
    <w:rsid w:val="4DB06F2E"/>
    <w:rsid w:val="4DC332C4"/>
    <w:rsid w:val="4DC40DEA"/>
    <w:rsid w:val="4DC50087"/>
    <w:rsid w:val="4DC66910"/>
    <w:rsid w:val="4DCD4142"/>
    <w:rsid w:val="4DCD5378"/>
    <w:rsid w:val="4DCD5EF0"/>
    <w:rsid w:val="4DCD7C9F"/>
    <w:rsid w:val="4DD23F95"/>
    <w:rsid w:val="4DD3102D"/>
    <w:rsid w:val="4DD3727F"/>
    <w:rsid w:val="4DD43DBB"/>
    <w:rsid w:val="4DD51249"/>
    <w:rsid w:val="4DDE00FE"/>
    <w:rsid w:val="4DE4148C"/>
    <w:rsid w:val="4DE4323A"/>
    <w:rsid w:val="4DE65204"/>
    <w:rsid w:val="4DE66FB2"/>
    <w:rsid w:val="4DE84AD8"/>
    <w:rsid w:val="4DE90850"/>
    <w:rsid w:val="4DEB6377"/>
    <w:rsid w:val="4DF74D1B"/>
    <w:rsid w:val="4DF94F37"/>
    <w:rsid w:val="4DFC7BE8"/>
    <w:rsid w:val="4DFF1E22"/>
    <w:rsid w:val="4E027371"/>
    <w:rsid w:val="4E035DB6"/>
    <w:rsid w:val="4E086F29"/>
    <w:rsid w:val="4E0A3B0E"/>
    <w:rsid w:val="4E0B4C6B"/>
    <w:rsid w:val="4E0D17AE"/>
    <w:rsid w:val="4E0D453F"/>
    <w:rsid w:val="4E0F475B"/>
    <w:rsid w:val="4E102281"/>
    <w:rsid w:val="4E1B16B7"/>
    <w:rsid w:val="4E1B3100"/>
    <w:rsid w:val="4E1D7F58"/>
    <w:rsid w:val="4E21623C"/>
    <w:rsid w:val="4E22716A"/>
    <w:rsid w:val="4E263853"/>
    <w:rsid w:val="4E2E44B5"/>
    <w:rsid w:val="4E2F1F85"/>
    <w:rsid w:val="4E30647F"/>
    <w:rsid w:val="4E344845"/>
    <w:rsid w:val="4E3715BC"/>
    <w:rsid w:val="4E3917D8"/>
    <w:rsid w:val="4E393586"/>
    <w:rsid w:val="4E3A10AC"/>
    <w:rsid w:val="4E3B72FE"/>
    <w:rsid w:val="4E3C3076"/>
    <w:rsid w:val="4E3E3BDD"/>
    <w:rsid w:val="4E3E77E5"/>
    <w:rsid w:val="4E404914"/>
    <w:rsid w:val="4E43401B"/>
    <w:rsid w:val="4E45017D"/>
    <w:rsid w:val="4E473EF5"/>
    <w:rsid w:val="4E497FAE"/>
    <w:rsid w:val="4E4A12EF"/>
    <w:rsid w:val="4E4B32B9"/>
    <w:rsid w:val="4E5008D0"/>
    <w:rsid w:val="4E524648"/>
    <w:rsid w:val="4E5403C0"/>
    <w:rsid w:val="4E5A52AA"/>
    <w:rsid w:val="4E5C7274"/>
    <w:rsid w:val="4E676345"/>
    <w:rsid w:val="4E6A1991"/>
    <w:rsid w:val="4E6E3697"/>
    <w:rsid w:val="4E7A3A25"/>
    <w:rsid w:val="4E832A53"/>
    <w:rsid w:val="4E86609F"/>
    <w:rsid w:val="4E8927D2"/>
    <w:rsid w:val="4E8B1908"/>
    <w:rsid w:val="4E8F13F8"/>
    <w:rsid w:val="4E915170"/>
    <w:rsid w:val="4E920EE8"/>
    <w:rsid w:val="4E9702AC"/>
    <w:rsid w:val="4E980569"/>
    <w:rsid w:val="4E9904C8"/>
    <w:rsid w:val="4E9A4D43"/>
    <w:rsid w:val="4E9B7D9D"/>
    <w:rsid w:val="4EA01857"/>
    <w:rsid w:val="4EAD5D22"/>
    <w:rsid w:val="4EB26E94"/>
    <w:rsid w:val="4EB40E5E"/>
    <w:rsid w:val="4EB42C0C"/>
    <w:rsid w:val="4EB62E28"/>
    <w:rsid w:val="4EB64BD7"/>
    <w:rsid w:val="4EB838C5"/>
    <w:rsid w:val="4EB90223"/>
    <w:rsid w:val="4EC512BE"/>
    <w:rsid w:val="4ECA2430"/>
    <w:rsid w:val="4ECC264C"/>
    <w:rsid w:val="4EDD03B5"/>
    <w:rsid w:val="4EDD6607"/>
    <w:rsid w:val="4EE167FE"/>
    <w:rsid w:val="4EE259CC"/>
    <w:rsid w:val="4EE31744"/>
    <w:rsid w:val="4EE47996"/>
    <w:rsid w:val="4EE51018"/>
    <w:rsid w:val="4EE5726A"/>
    <w:rsid w:val="4EE74D90"/>
    <w:rsid w:val="4EE80AC2"/>
    <w:rsid w:val="4EE81059"/>
    <w:rsid w:val="4EEA2AD2"/>
    <w:rsid w:val="4EEA4880"/>
    <w:rsid w:val="4EEF1E97"/>
    <w:rsid w:val="4F022943"/>
    <w:rsid w:val="4F0516BA"/>
    <w:rsid w:val="4F075325"/>
    <w:rsid w:val="4F0A4F22"/>
    <w:rsid w:val="4F0F2539"/>
    <w:rsid w:val="4F111E0D"/>
    <w:rsid w:val="4F135C0B"/>
    <w:rsid w:val="4F1418FD"/>
    <w:rsid w:val="4F1638C7"/>
    <w:rsid w:val="4F1D4C56"/>
    <w:rsid w:val="4F245FE4"/>
    <w:rsid w:val="4F253B0A"/>
    <w:rsid w:val="4F2C6C47"/>
    <w:rsid w:val="4F2E1569"/>
    <w:rsid w:val="4F3050BB"/>
    <w:rsid w:val="4F305855"/>
    <w:rsid w:val="4F31425D"/>
    <w:rsid w:val="4F342E1D"/>
    <w:rsid w:val="4F361873"/>
    <w:rsid w:val="4F3855EC"/>
    <w:rsid w:val="4F3B332E"/>
    <w:rsid w:val="4F3B5E0D"/>
    <w:rsid w:val="4F3C6C90"/>
    <w:rsid w:val="4F4C1097"/>
    <w:rsid w:val="4F4C553B"/>
    <w:rsid w:val="4F4C72E9"/>
    <w:rsid w:val="4F4E3061"/>
    <w:rsid w:val="4F4E6069"/>
    <w:rsid w:val="4F55619D"/>
    <w:rsid w:val="4F560168"/>
    <w:rsid w:val="4F585C8E"/>
    <w:rsid w:val="4F5A1A06"/>
    <w:rsid w:val="4F5D14F6"/>
    <w:rsid w:val="4F5E0341"/>
    <w:rsid w:val="4F5E2F7B"/>
    <w:rsid w:val="4F610FE6"/>
    <w:rsid w:val="4F664600"/>
    <w:rsid w:val="4F674123"/>
    <w:rsid w:val="4F691C49"/>
    <w:rsid w:val="4F6C34E7"/>
    <w:rsid w:val="4F711713"/>
    <w:rsid w:val="4F822D0B"/>
    <w:rsid w:val="4F8508C3"/>
    <w:rsid w:val="4F870321"/>
    <w:rsid w:val="4F887E5A"/>
    <w:rsid w:val="4F8A20D5"/>
    <w:rsid w:val="4F9842DC"/>
    <w:rsid w:val="4FA17635"/>
    <w:rsid w:val="4FA2515B"/>
    <w:rsid w:val="4FAE260E"/>
    <w:rsid w:val="4FB05ACA"/>
    <w:rsid w:val="4FB54E8E"/>
    <w:rsid w:val="4FBB7FCB"/>
    <w:rsid w:val="4FBF7ABB"/>
    <w:rsid w:val="4FCC21D8"/>
    <w:rsid w:val="4FCC3F86"/>
    <w:rsid w:val="4FCD042A"/>
    <w:rsid w:val="4FD35314"/>
    <w:rsid w:val="4FD427AE"/>
    <w:rsid w:val="4FD5362F"/>
    <w:rsid w:val="4FD73056"/>
    <w:rsid w:val="4FDA2B47"/>
    <w:rsid w:val="4FDA48F5"/>
    <w:rsid w:val="4FDF63AF"/>
    <w:rsid w:val="4FE63299"/>
    <w:rsid w:val="4FEB08B0"/>
    <w:rsid w:val="4FEB6B02"/>
    <w:rsid w:val="4FF6535D"/>
    <w:rsid w:val="50055E16"/>
    <w:rsid w:val="50067E5C"/>
    <w:rsid w:val="50083210"/>
    <w:rsid w:val="500951DA"/>
    <w:rsid w:val="500F0A42"/>
    <w:rsid w:val="50151DD1"/>
    <w:rsid w:val="5019366F"/>
    <w:rsid w:val="501A1195"/>
    <w:rsid w:val="501A73E7"/>
    <w:rsid w:val="501C315F"/>
    <w:rsid w:val="50284697"/>
    <w:rsid w:val="50313ECF"/>
    <w:rsid w:val="5032028D"/>
    <w:rsid w:val="50377F99"/>
    <w:rsid w:val="503867CE"/>
    <w:rsid w:val="503E4E84"/>
    <w:rsid w:val="503E6C32"/>
    <w:rsid w:val="503F0BFC"/>
    <w:rsid w:val="50412BC6"/>
    <w:rsid w:val="50422451"/>
    <w:rsid w:val="50463D38"/>
    <w:rsid w:val="50497D81"/>
    <w:rsid w:val="504A1A7A"/>
    <w:rsid w:val="504A7CCC"/>
    <w:rsid w:val="504B134F"/>
    <w:rsid w:val="504B75A0"/>
    <w:rsid w:val="504F0E3F"/>
    <w:rsid w:val="50506965"/>
    <w:rsid w:val="50577CF3"/>
    <w:rsid w:val="50595C72"/>
    <w:rsid w:val="50597F0F"/>
    <w:rsid w:val="50650662"/>
    <w:rsid w:val="50695041"/>
    <w:rsid w:val="506B379F"/>
    <w:rsid w:val="506D5769"/>
    <w:rsid w:val="506F7294"/>
    <w:rsid w:val="507408A5"/>
    <w:rsid w:val="50744D49"/>
    <w:rsid w:val="50747F0E"/>
    <w:rsid w:val="50770396"/>
    <w:rsid w:val="507A1C34"/>
    <w:rsid w:val="507C1E50"/>
    <w:rsid w:val="507C59AC"/>
    <w:rsid w:val="507E34D2"/>
    <w:rsid w:val="50830AE8"/>
    <w:rsid w:val="50850D04"/>
    <w:rsid w:val="50881B87"/>
    <w:rsid w:val="508828E2"/>
    <w:rsid w:val="508B3E41"/>
    <w:rsid w:val="508D5E0B"/>
    <w:rsid w:val="508F1B83"/>
    <w:rsid w:val="50923421"/>
    <w:rsid w:val="509448C9"/>
    <w:rsid w:val="50947199"/>
    <w:rsid w:val="509727E6"/>
    <w:rsid w:val="509C1BAA"/>
    <w:rsid w:val="509D25DB"/>
    <w:rsid w:val="509E3B74"/>
    <w:rsid w:val="50A05B3E"/>
    <w:rsid w:val="50A078EC"/>
    <w:rsid w:val="50A14BF2"/>
    <w:rsid w:val="50A54F03"/>
    <w:rsid w:val="50A76ECD"/>
    <w:rsid w:val="50A8054F"/>
    <w:rsid w:val="50A867A1"/>
    <w:rsid w:val="50AB003F"/>
    <w:rsid w:val="50AD2009"/>
    <w:rsid w:val="50BC224C"/>
    <w:rsid w:val="50BD049E"/>
    <w:rsid w:val="50C51101"/>
    <w:rsid w:val="50C744A8"/>
    <w:rsid w:val="50C74950"/>
    <w:rsid w:val="50C8299F"/>
    <w:rsid w:val="50CA4969"/>
    <w:rsid w:val="50CD4459"/>
    <w:rsid w:val="50CE26AB"/>
    <w:rsid w:val="50CF1F80"/>
    <w:rsid w:val="50D1080A"/>
    <w:rsid w:val="50D13F4A"/>
    <w:rsid w:val="50D30370"/>
    <w:rsid w:val="50D6330E"/>
    <w:rsid w:val="50D92DFE"/>
    <w:rsid w:val="50DF2E8B"/>
    <w:rsid w:val="50E35A2B"/>
    <w:rsid w:val="50E517A3"/>
    <w:rsid w:val="50E81293"/>
    <w:rsid w:val="50EC0D83"/>
    <w:rsid w:val="50EF43D0"/>
    <w:rsid w:val="50F11EF6"/>
    <w:rsid w:val="50F125C4"/>
    <w:rsid w:val="50F33EC0"/>
    <w:rsid w:val="50F419E6"/>
    <w:rsid w:val="50F42FA1"/>
    <w:rsid w:val="50F9524E"/>
    <w:rsid w:val="51013C50"/>
    <w:rsid w:val="51024103"/>
    <w:rsid w:val="51071D62"/>
    <w:rsid w:val="510A120A"/>
    <w:rsid w:val="510E07AC"/>
    <w:rsid w:val="511107EA"/>
    <w:rsid w:val="51194B9B"/>
    <w:rsid w:val="5119769F"/>
    <w:rsid w:val="511D718F"/>
    <w:rsid w:val="511E4CB5"/>
    <w:rsid w:val="511E6A63"/>
    <w:rsid w:val="51220301"/>
    <w:rsid w:val="51271DBC"/>
    <w:rsid w:val="512D5102"/>
    <w:rsid w:val="512F6EC2"/>
    <w:rsid w:val="513149E8"/>
    <w:rsid w:val="51340035"/>
    <w:rsid w:val="51363DAD"/>
    <w:rsid w:val="513B7615"/>
    <w:rsid w:val="513B77C9"/>
    <w:rsid w:val="51402E7D"/>
    <w:rsid w:val="51404C2B"/>
    <w:rsid w:val="51447A50"/>
    <w:rsid w:val="51453FF0"/>
    <w:rsid w:val="514B3CFC"/>
    <w:rsid w:val="51535D52"/>
    <w:rsid w:val="51581F75"/>
    <w:rsid w:val="515B1A65"/>
    <w:rsid w:val="515E50B1"/>
    <w:rsid w:val="51656440"/>
    <w:rsid w:val="516A3A56"/>
    <w:rsid w:val="516C3C72"/>
    <w:rsid w:val="516F72BF"/>
    <w:rsid w:val="517174DB"/>
    <w:rsid w:val="51730B5D"/>
    <w:rsid w:val="517448D5"/>
    <w:rsid w:val="51782617"/>
    <w:rsid w:val="517D19DC"/>
    <w:rsid w:val="517F5754"/>
    <w:rsid w:val="51890380"/>
    <w:rsid w:val="518B234A"/>
    <w:rsid w:val="518E3BE9"/>
    <w:rsid w:val="51932FAD"/>
    <w:rsid w:val="519A07DF"/>
    <w:rsid w:val="51A11B6E"/>
    <w:rsid w:val="51A52CE0"/>
    <w:rsid w:val="51A90A23"/>
    <w:rsid w:val="51AA1FCE"/>
    <w:rsid w:val="51AC406F"/>
    <w:rsid w:val="51AF590D"/>
    <w:rsid w:val="51B178D7"/>
    <w:rsid w:val="51B2749D"/>
    <w:rsid w:val="51B353FD"/>
    <w:rsid w:val="51B573C7"/>
    <w:rsid w:val="51B82A14"/>
    <w:rsid w:val="51C07B1A"/>
    <w:rsid w:val="51C27D36"/>
    <w:rsid w:val="51CB2747"/>
    <w:rsid w:val="51CE2237"/>
    <w:rsid w:val="51D30789"/>
    <w:rsid w:val="51D81308"/>
    <w:rsid w:val="51DA6E2E"/>
    <w:rsid w:val="51DD6D94"/>
    <w:rsid w:val="51E11F6A"/>
    <w:rsid w:val="51E8779D"/>
    <w:rsid w:val="51E94A83"/>
    <w:rsid w:val="51EE0B2B"/>
    <w:rsid w:val="51EE28D9"/>
    <w:rsid w:val="51F26DD5"/>
    <w:rsid w:val="51F7178E"/>
    <w:rsid w:val="51F872B4"/>
    <w:rsid w:val="51FC6DA4"/>
    <w:rsid w:val="51FE09ED"/>
    <w:rsid w:val="5200433F"/>
    <w:rsid w:val="52075749"/>
    <w:rsid w:val="5209468C"/>
    <w:rsid w:val="520C2D5F"/>
    <w:rsid w:val="520E6AD8"/>
    <w:rsid w:val="521265C8"/>
    <w:rsid w:val="52151C14"/>
    <w:rsid w:val="5216104F"/>
    <w:rsid w:val="521A1920"/>
    <w:rsid w:val="521A547C"/>
    <w:rsid w:val="521A722A"/>
    <w:rsid w:val="521E21BF"/>
    <w:rsid w:val="521E31BF"/>
    <w:rsid w:val="52214A5D"/>
    <w:rsid w:val="5224663F"/>
    <w:rsid w:val="52263E21"/>
    <w:rsid w:val="52291B63"/>
    <w:rsid w:val="522B58DB"/>
    <w:rsid w:val="522D51B0"/>
    <w:rsid w:val="52302EF2"/>
    <w:rsid w:val="52306A4E"/>
    <w:rsid w:val="52344790"/>
    <w:rsid w:val="52374280"/>
    <w:rsid w:val="52410C5B"/>
    <w:rsid w:val="5246001F"/>
    <w:rsid w:val="524644C3"/>
    <w:rsid w:val="52466FD1"/>
    <w:rsid w:val="52495D62"/>
    <w:rsid w:val="524A3FB4"/>
    <w:rsid w:val="524E3378"/>
    <w:rsid w:val="524F15CA"/>
    <w:rsid w:val="52511736"/>
    <w:rsid w:val="52524C16"/>
    <w:rsid w:val="52592449"/>
    <w:rsid w:val="525941F7"/>
    <w:rsid w:val="525B6445"/>
    <w:rsid w:val="525C5A95"/>
    <w:rsid w:val="525F7333"/>
    <w:rsid w:val="52614E59"/>
    <w:rsid w:val="52642B9B"/>
    <w:rsid w:val="52697AFE"/>
    <w:rsid w:val="526B5CD8"/>
    <w:rsid w:val="526D4280"/>
    <w:rsid w:val="5272012F"/>
    <w:rsid w:val="52727066"/>
    <w:rsid w:val="52793D86"/>
    <w:rsid w:val="528F19C6"/>
    <w:rsid w:val="528F5E6A"/>
    <w:rsid w:val="52903522"/>
    <w:rsid w:val="529C40E3"/>
    <w:rsid w:val="52A35472"/>
    <w:rsid w:val="52A64F62"/>
    <w:rsid w:val="52A94F25"/>
    <w:rsid w:val="52AD4542"/>
    <w:rsid w:val="52AE0C79"/>
    <w:rsid w:val="52B70F1D"/>
    <w:rsid w:val="52BE405A"/>
    <w:rsid w:val="52C33D66"/>
    <w:rsid w:val="52C673B2"/>
    <w:rsid w:val="52C804AE"/>
    <w:rsid w:val="52D715BF"/>
    <w:rsid w:val="52D73CD1"/>
    <w:rsid w:val="52DB2E5E"/>
    <w:rsid w:val="52DD4E28"/>
    <w:rsid w:val="52DE294E"/>
    <w:rsid w:val="52DE64AA"/>
    <w:rsid w:val="52E31D12"/>
    <w:rsid w:val="52E361B6"/>
    <w:rsid w:val="52EC6E19"/>
    <w:rsid w:val="52EF4B5B"/>
    <w:rsid w:val="52EF6909"/>
    <w:rsid w:val="52F12681"/>
    <w:rsid w:val="52F537F4"/>
    <w:rsid w:val="52F61A46"/>
    <w:rsid w:val="52FB6426"/>
    <w:rsid w:val="52FE08FA"/>
    <w:rsid w:val="52FE4D9E"/>
    <w:rsid w:val="52FE6B4C"/>
    <w:rsid w:val="53000B16"/>
    <w:rsid w:val="5305096F"/>
    <w:rsid w:val="53057EDB"/>
    <w:rsid w:val="530C74BB"/>
    <w:rsid w:val="530D6D8F"/>
    <w:rsid w:val="530E3233"/>
    <w:rsid w:val="530F4D20"/>
    <w:rsid w:val="53114AD1"/>
    <w:rsid w:val="531D5445"/>
    <w:rsid w:val="531E0F9C"/>
    <w:rsid w:val="5322283B"/>
    <w:rsid w:val="53226CDE"/>
    <w:rsid w:val="53237D49"/>
    <w:rsid w:val="532742F5"/>
    <w:rsid w:val="532760A3"/>
    <w:rsid w:val="532E2F13"/>
    <w:rsid w:val="53346A12"/>
    <w:rsid w:val="533802B0"/>
    <w:rsid w:val="533B56AA"/>
    <w:rsid w:val="533D58C6"/>
    <w:rsid w:val="53456529"/>
    <w:rsid w:val="534923BE"/>
    <w:rsid w:val="534C0852"/>
    <w:rsid w:val="534C3D5B"/>
    <w:rsid w:val="53560736"/>
    <w:rsid w:val="535A303F"/>
    <w:rsid w:val="535D3873"/>
    <w:rsid w:val="53605111"/>
    <w:rsid w:val="5367649F"/>
    <w:rsid w:val="536A5F90"/>
    <w:rsid w:val="536E5A80"/>
    <w:rsid w:val="53754EDA"/>
    <w:rsid w:val="53761B3F"/>
    <w:rsid w:val="53764934"/>
    <w:rsid w:val="537831E5"/>
    <w:rsid w:val="53807561"/>
    <w:rsid w:val="53876B42"/>
    <w:rsid w:val="53890B0C"/>
    <w:rsid w:val="53901E9A"/>
    <w:rsid w:val="539A4AC7"/>
    <w:rsid w:val="539B25ED"/>
    <w:rsid w:val="539F3E8B"/>
    <w:rsid w:val="53A30B5C"/>
    <w:rsid w:val="53A414A2"/>
    <w:rsid w:val="53A476F3"/>
    <w:rsid w:val="53A5346C"/>
    <w:rsid w:val="53AF1317"/>
    <w:rsid w:val="53B135FD"/>
    <w:rsid w:val="53B35B89"/>
    <w:rsid w:val="53B536AF"/>
    <w:rsid w:val="53B65F21"/>
    <w:rsid w:val="53BA0524"/>
    <w:rsid w:val="53BA0CC5"/>
    <w:rsid w:val="53C438F2"/>
    <w:rsid w:val="53C51418"/>
    <w:rsid w:val="53C75190"/>
    <w:rsid w:val="53C9715A"/>
    <w:rsid w:val="53CA1FE5"/>
    <w:rsid w:val="53CB2ED2"/>
    <w:rsid w:val="53CD7B39"/>
    <w:rsid w:val="53CE29C2"/>
    <w:rsid w:val="53CE651E"/>
    <w:rsid w:val="53CF391E"/>
    <w:rsid w:val="53CF4F37"/>
    <w:rsid w:val="53D02297"/>
    <w:rsid w:val="53D17DBD"/>
    <w:rsid w:val="53D56863"/>
    <w:rsid w:val="53DE168B"/>
    <w:rsid w:val="53E2646E"/>
    <w:rsid w:val="53E775E0"/>
    <w:rsid w:val="53E8734F"/>
    <w:rsid w:val="53F1220D"/>
    <w:rsid w:val="53F31701"/>
    <w:rsid w:val="53F8359B"/>
    <w:rsid w:val="53F83936"/>
    <w:rsid w:val="53FC12DE"/>
    <w:rsid w:val="53FD0BB2"/>
    <w:rsid w:val="53FD6E04"/>
    <w:rsid w:val="54063F0A"/>
    <w:rsid w:val="540B7773"/>
    <w:rsid w:val="540C7047"/>
    <w:rsid w:val="541008E5"/>
    <w:rsid w:val="54106B37"/>
    <w:rsid w:val="541128AF"/>
    <w:rsid w:val="541C1980"/>
    <w:rsid w:val="54243574"/>
    <w:rsid w:val="542474E3"/>
    <w:rsid w:val="5426635A"/>
    <w:rsid w:val="54280155"/>
    <w:rsid w:val="54280325"/>
    <w:rsid w:val="54295E4B"/>
    <w:rsid w:val="542B1BC3"/>
    <w:rsid w:val="542D7DD2"/>
    <w:rsid w:val="542E16B3"/>
    <w:rsid w:val="54300F87"/>
    <w:rsid w:val="543547EF"/>
    <w:rsid w:val="5435659E"/>
    <w:rsid w:val="543C0CB0"/>
    <w:rsid w:val="543C16DA"/>
    <w:rsid w:val="543C5B7E"/>
    <w:rsid w:val="543C792C"/>
    <w:rsid w:val="543F11CA"/>
    <w:rsid w:val="54407F67"/>
    <w:rsid w:val="54436F0C"/>
    <w:rsid w:val="54446ACD"/>
    <w:rsid w:val="54462559"/>
    <w:rsid w:val="544669FD"/>
    <w:rsid w:val="5449029B"/>
    <w:rsid w:val="544D7D8B"/>
    <w:rsid w:val="544F3B03"/>
    <w:rsid w:val="5454111A"/>
    <w:rsid w:val="545A4256"/>
    <w:rsid w:val="545C1D7C"/>
    <w:rsid w:val="54617393"/>
    <w:rsid w:val="5463135D"/>
    <w:rsid w:val="54666F89"/>
    <w:rsid w:val="547075D6"/>
    <w:rsid w:val="54751090"/>
    <w:rsid w:val="54754BEC"/>
    <w:rsid w:val="54776BB6"/>
    <w:rsid w:val="5479292E"/>
    <w:rsid w:val="547F5A6B"/>
    <w:rsid w:val="548117E3"/>
    <w:rsid w:val="54876D0B"/>
    <w:rsid w:val="548B08B3"/>
    <w:rsid w:val="548B440F"/>
    <w:rsid w:val="548E5CAE"/>
    <w:rsid w:val="549624C6"/>
    <w:rsid w:val="549C486F"/>
    <w:rsid w:val="549F7EBB"/>
    <w:rsid w:val="54A84FC1"/>
    <w:rsid w:val="54AB2D04"/>
    <w:rsid w:val="54AD4386"/>
    <w:rsid w:val="54AD5102"/>
    <w:rsid w:val="54AF6350"/>
    <w:rsid w:val="54B43966"/>
    <w:rsid w:val="54B5148C"/>
    <w:rsid w:val="54BA54C6"/>
    <w:rsid w:val="54BF230B"/>
    <w:rsid w:val="54C067AF"/>
    <w:rsid w:val="54C92693"/>
    <w:rsid w:val="54C94F38"/>
    <w:rsid w:val="54CB20D2"/>
    <w:rsid w:val="54CD67D6"/>
    <w:rsid w:val="54CF07A0"/>
    <w:rsid w:val="54CF254E"/>
    <w:rsid w:val="54D73AF9"/>
    <w:rsid w:val="54D9517B"/>
    <w:rsid w:val="54DE6C35"/>
    <w:rsid w:val="54E12281"/>
    <w:rsid w:val="54E7478C"/>
    <w:rsid w:val="54ED6E78"/>
    <w:rsid w:val="54EE711C"/>
    <w:rsid w:val="54FB7EF6"/>
    <w:rsid w:val="54FE3540"/>
    <w:rsid w:val="54FF0DAD"/>
    <w:rsid w:val="550A7A2A"/>
    <w:rsid w:val="550C37A2"/>
    <w:rsid w:val="550D64A7"/>
    <w:rsid w:val="550F3B87"/>
    <w:rsid w:val="5519159D"/>
    <w:rsid w:val="551B1C37"/>
    <w:rsid w:val="551E7032"/>
    <w:rsid w:val="55222FC6"/>
    <w:rsid w:val="55230AEC"/>
    <w:rsid w:val="552705DC"/>
    <w:rsid w:val="5527238A"/>
    <w:rsid w:val="552A10A5"/>
    <w:rsid w:val="552C5BF2"/>
    <w:rsid w:val="5534551D"/>
    <w:rsid w:val="553E1482"/>
    <w:rsid w:val="55456CB4"/>
    <w:rsid w:val="554D5B69"/>
    <w:rsid w:val="554D7917"/>
    <w:rsid w:val="554F17C0"/>
    <w:rsid w:val="55564A1D"/>
    <w:rsid w:val="5559450E"/>
    <w:rsid w:val="555B2034"/>
    <w:rsid w:val="55603AEE"/>
    <w:rsid w:val="556137CD"/>
    <w:rsid w:val="55627866"/>
    <w:rsid w:val="556954C6"/>
    <w:rsid w:val="556E7FB9"/>
    <w:rsid w:val="556F5ADF"/>
    <w:rsid w:val="55752E1C"/>
    <w:rsid w:val="55766E6E"/>
    <w:rsid w:val="55782BE6"/>
    <w:rsid w:val="557A1216"/>
    <w:rsid w:val="557B4484"/>
    <w:rsid w:val="55825812"/>
    <w:rsid w:val="558275C0"/>
    <w:rsid w:val="558C48E3"/>
    <w:rsid w:val="55913CA7"/>
    <w:rsid w:val="55935C72"/>
    <w:rsid w:val="559A7000"/>
    <w:rsid w:val="55A106D3"/>
    <w:rsid w:val="55A27C63"/>
    <w:rsid w:val="55AD03B6"/>
    <w:rsid w:val="55AF412E"/>
    <w:rsid w:val="55B31E70"/>
    <w:rsid w:val="55BA4D34"/>
    <w:rsid w:val="55BF0815"/>
    <w:rsid w:val="55C220B3"/>
    <w:rsid w:val="55C45E2B"/>
    <w:rsid w:val="55C53951"/>
    <w:rsid w:val="55CB540B"/>
    <w:rsid w:val="55CE6CAA"/>
    <w:rsid w:val="55D1259F"/>
    <w:rsid w:val="55D1679A"/>
    <w:rsid w:val="55D32512"/>
    <w:rsid w:val="55D3446F"/>
    <w:rsid w:val="55D43B94"/>
    <w:rsid w:val="55DA564E"/>
    <w:rsid w:val="55DD0C9B"/>
    <w:rsid w:val="55DD6EED"/>
    <w:rsid w:val="55DE5AA4"/>
    <w:rsid w:val="55E55DA1"/>
    <w:rsid w:val="55E62245"/>
    <w:rsid w:val="55EE4C56"/>
    <w:rsid w:val="55EF15FA"/>
    <w:rsid w:val="55EF2CFE"/>
    <w:rsid w:val="55F54236"/>
    <w:rsid w:val="55F85AD5"/>
    <w:rsid w:val="55FF6E63"/>
    <w:rsid w:val="56002BDB"/>
    <w:rsid w:val="56010E2D"/>
    <w:rsid w:val="56064695"/>
    <w:rsid w:val="56073F6A"/>
    <w:rsid w:val="56091A90"/>
    <w:rsid w:val="56094A0A"/>
    <w:rsid w:val="560B1CAC"/>
    <w:rsid w:val="561074A3"/>
    <w:rsid w:val="56150435"/>
    <w:rsid w:val="56156687"/>
    <w:rsid w:val="56170651"/>
    <w:rsid w:val="56186177"/>
    <w:rsid w:val="5619084D"/>
    <w:rsid w:val="561C5C67"/>
    <w:rsid w:val="561F12B3"/>
    <w:rsid w:val="56222B52"/>
    <w:rsid w:val="562C553B"/>
    <w:rsid w:val="562E599A"/>
    <w:rsid w:val="562E7748"/>
    <w:rsid w:val="5630301F"/>
    <w:rsid w:val="56310FE7"/>
    <w:rsid w:val="56372AA1"/>
    <w:rsid w:val="56382375"/>
    <w:rsid w:val="5639699E"/>
    <w:rsid w:val="563A7E9B"/>
    <w:rsid w:val="563D798B"/>
    <w:rsid w:val="56472142"/>
    <w:rsid w:val="564725B8"/>
    <w:rsid w:val="565371AF"/>
    <w:rsid w:val="56544746"/>
    <w:rsid w:val="56551179"/>
    <w:rsid w:val="56552F27"/>
    <w:rsid w:val="56554CD5"/>
    <w:rsid w:val="565A053D"/>
    <w:rsid w:val="565A22EB"/>
    <w:rsid w:val="56617B1E"/>
    <w:rsid w:val="566D0271"/>
    <w:rsid w:val="56705FB3"/>
    <w:rsid w:val="56764C4B"/>
    <w:rsid w:val="56766821"/>
    <w:rsid w:val="567710EF"/>
    <w:rsid w:val="567747E3"/>
    <w:rsid w:val="56835CE6"/>
    <w:rsid w:val="56836083"/>
    <w:rsid w:val="56845A0B"/>
    <w:rsid w:val="56921A85"/>
    <w:rsid w:val="56935B78"/>
    <w:rsid w:val="56955A19"/>
    <w:rsid w:val="569C0B56"/>
    <w:rsid w:val="56A3389C"/>
    <w:rsid w:val="56A47A0A"/>
    <w:rsid w:val="56A65531"/>
    <w:rsid w:val="56B04601"/>
    <w:rsid w:val="56B57E6A"/>
    <w:rsid w:val="56C02A96"/>
    <w:rsid w:val="56C105BC"/>
    <w:rsid w:val="56C87B9D"/>
    <w:rsid w:val="56C9121F"/>
    <w:rsid w:val="56CA56C3"/>
    <w:rsid w:val="56D13B66"/>
    <w:rsid w:val="56DA342C"/>
    <w:rsid w:val="56DC53F6"/>
    <w:rsid w:val="56DD792D"/>
    <w:rsid w:val="56E04EE6"/>
    <w:rsid w:val="56E12C15"/>
    <w:rsid w:val="56E7268F"/>
    <w:rsid w:val="56E85B49"/>
    <w:rsid w:val="56E878F7"/>
    <w:rsid w:val="56EA18C1"/>
    <w:rsid w:val="56EA380F"/>
    <w:rsid w:val="56ED13B1"/>
    <w:rsid w:val="56EE0C86"/>
    <w:rsid w:val="56EF512A"/>
    <w:rsid w:val="56EF6ED8"/>
    <w:rsid w:val="56F2652B"/>
    <w:rsid w:val="56F42740"/>
    <w:rsid w:val="56F444EE"/>
    <w:rsid w:val="56F601FD"/>
    <w:rsid w:val="56F62853"/>
    <w:rsid w:val="570109B9"/>
    <w:rsid w:val="570566FB"/>
    <w:rsid w:val="570A3D11"/>
    <w:rsid w:val="57122BC6"/>
    <w:rsid w:val="571701DC"/>
    <w:rsid w:val="571E5A0F"/>
    <w:rsid w:val="57211102"/>
    <w:rsid w:val="57230733"/>
    <w:rsid w:val="572D59EE"/>
    <w:rsid w:val="573568B4"/>
    <w:rsid w:val="57362D58"/>
    <w:rsid w:val="57392849"/>
    <w:rsid w:val="57405985"/>
    <w:rsid w:val="57411D7B"/>
    <w:rsid w:val="574511ED"/>
    <w:rsid w:val="57476D14"/>
    <w:rsid w:val="5748483A"/>
    <w:rsid w:val="574865E8"/>
    <w:rsid w:val="574B60D8"/>
    <w:rsid w:val="574D3BFE"/>
    <w:rsid w:val="574F7976"/>
    <w:rsid w:val="575925A3"/>
    <w:rsid w:val="575E22AF"/>
    <w:rsid w:val="57633422"/>
    <w:rsid w:val="57672F12"/>
    <w:rsid w:val="576C413D"/>
    <w:rsid w:val="576D42A0"/>
    <w:rsid w:val="576F1DC6"/>
    <w:rsid w:val="577675F9"/>
    <w:rsid w:val="57783371"/>
    <w:rsid w:val="577E64AD"/>
    <w:rsid w:val="577F535B"/>
    <w:rsid w:val="57820F76"/>
    <w:rsid w:val="5782427D"/>
    <w:rsid w:val="578C0BCA"/>
    <w:rsid w:val="578C4726"/>
    <w:rsid w:val="578E03E2"/>
    <w:rsid w:val="57923D07"/>
    <w:rsid w:val="579932E7"/>
    <w:rsid w:val="579C371F"/>
    <w:rsid w:val="579E08FE"/>
    <w:rsid w:val="57A001D2"/>
    <w:rsid w:val="57A02A5E"/>
    <w:rsid w:val="57A70297"/>
    <w:rsid w:val="57A75A04"/>
    <w:rsid w:val="57A8352A"/>
    <w:rsid w:val="57AE0B41"/>
    <w:rsid w:val="57B13E2A"/>
    <w:rsid w:val="57B36157"/>
    <w:rsid w:val="57B3788F"/>
    <w:rsid w:val="57BB1ACC"/>
    <w:rsid w:val="57BB500C"/>
    <w:rsid w:val="57BC2B32"/>
    <w:rsid w:val="57C93BCD"/>
    <w:rsid w:val="57CA16F3"/>
    <w:rsid w:val="57CC0FC7"/>
    <w:rsid w:val="57CC546B"/>
    <w:rsid w:val="57CF0AB7"/>
    <w:rsid w:val="57D32355"/>
    <w:rsid w:val="57D8796C"/>
    <w:rsid w:val="57DD1426"/>
    <w:rsid w:val="57E04A72"/>
    <w:rsid w:val="57E24C8E"/>
    <w:rsid w:val="57E75E01"/>
    <w:rsid w:val="57EE718F"/>
    <w:rsid w:val="57F10A2D"/>
    <w:rsid w:val="57F95B34"/>
    <w:rsid w:val="58020EA8"/>
    <w:rsid w:val="580544D9"/>
    <w:rsid w:val="580764A3"/>
    <w:rsid w:val="580A7D41"/>
    <w:rsid w:val="580B66C3"/>
    <w:rsid w:val="5814115E"/>
    <w:rsid w:val="58164938"/>
    <w:rsid w:val="5818420C"/>
    <w:rsid w:val="58201313"/>
    <w:rsid w:val="5821117D"/>
    <w:rsid w:val="58256929"/>
    <w:rsid w:val="58297DA6"/>
    <w:rsid w:val="582B2191"/>
    <w:rsid w:val="582F1556"/>
    <w:rsid w:val="58311772"/>
    <w:rsid w:val="58337298"/>
    <w:rsid w:val="58340A3A"/>
    <w:rsid w:val="58372D37"/>
    <w:rsid w:val="583C2D69"/>
    <w:rsid w:val="583C439E"/>
    <w:rsid w:val="583D1EC5"/>
    <w:rsid w:val="5845501B"/>
    <w:rsid w:val="58472D43"/>
    <w:rsid w:val="584D65AC"/>
    <w:rsid w:val="584E40D2"/>
    <w:rsid w:val="584E5E80"/>
    <w:rsid w:val="5853793A"/>
    <w:rsid w:val="58564D34"/>
    <w:rsid w:val="585A65D3"/>
    <w:rsid w:val="58607961"/>
    <w:rsid w:val="58647451"/>
    <w:rsid w:val="5866766D"/>
    <w:rsid w:val="58676F42"/>
    <w:rsid w:val="586915B1"/>
    <w:rsid w:val="586C4558"/>
    <w:rsid w:val="586E02D0"/>
    <w:rsid w:val="58711748"/>
    <w:rsid w:val="58762D15"/>
    <w:rsid w:val="58782322"/>
    <w:rsid w:val="587D0513"/>
    <w:rsid w:val="587F24DD"/>
    <w:rsid w:val="587F428B"/>
    <w:rsid w:val="58897523"/>
    <w:rsid w:val="58906498"/>
    <w:rsid w:val="58910B64"/>
    <w:rsid w:val="589A2E73"/>
    <w:rsid w:val="58A452AE"/>
    <w:rsid w:val="58A9755A"/>
    <w:rsid w:val="58AB32D2"/>
    <w:rsid w:val="58AC5FE5"/>
    <w:rsid w:val="58AE3FFD"/>
    <w:rsid w:val="58BF28DA"/>
    <w:rsid w:val="58C3061C"/>
    <w:rsid w:val="58C3686E"/>
    <w:rsid w:val="58CB5722"/>
    <w:rsid w:val="58D2260D"/>
    <w:rsid w:val="58D228D1"/>
    <w:rsid w:val="58D345D7"/>
    <w:rsid w:val="58D36385"/>
    <w:rsid w:val="58E10AA2"/>
    <w:rsid w:val="58E30470"/>
    <w:rsid w:val="58E52993"/>
    <w:rsid w:val="58E5304E"/>
    <w:rsid w:val="58EB7B73"/>
    <w:rsid w:val="58ED5699"/>
    <w:rsid w:val="58EF39F1"/>
    <w:rsid w:val="58F05777"/>
    <w:rsid w:val="58F46A27"/>
    <w:rsid w:val="58F702C5"/>
    <w:rsid w:val="58F92290"/>
    <w:rsid w:val="58FB1ADD"/>
    <w:rsid w:val="590429E2"/>
    <w:rsid w:val="59084281"/>
    <w:rsid w:val="59126EAD"/>
    <w:rsid w:val="5915699E"/>
    <w:rsid w:val="591644E9"/>
    <w:rsid w:val="591B0458"/>
    <w:rsid w:val="591E3AA4"/>
    <w:rsid w:val="591F781C"/>
    <w:rsid w:val="592171A5"/>
    <w:rsid w:val="59284CA9"/>
    <w:rsid w:val="592941F7"/>
    <w:rsid w:val="592D0D90"/>
    <w:rsid w:val="592D3CE7"/>
    <w:rsid w:val="592E0B62"/>
    <w:rsid w:val="592F3F03"/>
    <w:rsid w:val="59301E5D"/>
    <w:rsid w:val="59310D84"/>
    <w:rsid w:val="593376EE"/>
    <w:rsid w:val="59345076"/>
    <w:rsid w:val="59392F0E"/>
    <w:rsid w:val="593C1797"/>
    <w:rsid w:val="593E4146"/>
    <w:rsid w:val="594352B9"/>
    <w:rsid w:val="59441031"/>
    <w:rsid w:val="59464DA9"/>
    <w:rsid w:val="594749F9"/>
    <w:rsid w:val="59486D73"/>
    <w:rsid w:val="595219A0"/>
    <w:rsid w:val="59527BF2"/>
    <w:rsid w:val="595439FE"/>
    <w:rsid w:val="595474C6"/>
    <w:rsid w:val="59575208"/>
    <w:rsid w:val="59592D2E"/>
    <w:rsid w:val="595B6AA6"/>
    <w:rsid w:val="595C281E"/>
    <w:rsid w:val="595D682D"/>
    <w:rsid w:val="595E4EDA"/>
    <w:rsid w:val="596811C3"/>
    <w:rsid w:val="596A0A97"/>
    <w:rsid w:val="596A6CE9"/>
    <w:rsid w:val="596D0588"/>
    <w:rsid w:val="596D67DA"/>
    <w:rsid w:val="59722042"/>
    <w:rsid w:val="59745DBA"/>
    <w:rsid w:val="5976568E"/>
    <w:rsid w:val="597933D0"/>
    <w:rsid w:val="597B0EF6"/>
    <w:rsid w:val="597D4C6F"/>
    <w:rsid w:val="597E2B8D"/>
    <w:rsid w:val="59815DE1"/>
    <w:rsid w:val="59822285"/>
    <w:rsid w:val="5987789B"/>
    <w:rsid w:val="598A113A"/>
    <w:rsid w:val="598D0C2A"/>
    <w:rsid w:val="598D4786"/>
    <w:rsid w:val="59914276"/>
    <w:rsid w:val="599C6D66"/>
    <w:rsid w:val="59A044B9"/>
    <w:rsid w:val="59A321FB"/>
    <w:rsid w:val="59A541C5"/>
    <w:rsid w:val="59A55F73"/>
    <w:rsid w:val="59AD28DF"/>
    <w:rsid w:val="59AF294E"/>
    <w:rsid w:val="59B241EC"/>
    <w:rsid w:val="59B44408"/>
    <w:rsid w:val="59BB3CE7"/>
    <w:rsid w:val="59BB7545"/>
    <w:rsid w:val="59BD150F"/>
    <w:rsid w:val="59D10B16"/>
    <w:rsid w:val="59D2488F"/>
    <w:rsid w:val="59D538CC"/>
    <w:rsid w:val="59D6612D"/>
    <w:rsid w:val="59DE00C4"/>
    <w:rsid w:val="59E24AD2"/>
    <w:rsid w:val="59E44CEE"/>
    <w:rsid w:val="59E545C2"/>
    <w:rsid w:val="59E92304"/>
    <w:rsid w:val="59EC5950"/>
    <w:rsid w:val="59EE16C8"/>
    <w:rsid w:val="59EF3692"/>
    <w:rsid w:val="59FB3737"/>
    <w:rsid w:val="59FD7B5D"/>
    <w:rsid w:val="59FE5684"/>
    <w:rsid w:val="5A056A12"/>
    <w:rsid w:val="5A074538"/>
    <w:rsid w:val="5A0A5DD6"/>
    <w:rsid w:val="5A0C1B4F"/>
    <w:rsid w:val="5A0F65E0"/>
    <w:rsid w:val="5A105AE3"/>
    <w:rsid w:val="5A166E71"/>
    <w:rsid w:val="5A1924BD"/>
    <w:rsid w:val="5A1976E0"/>
    <w:rsid w:val="5A231810"/>
    <w:rsid w:val="5A272E2C"/>
    <w:rsid w:val="5A2D14E4"/>
    <w:rsid w:val="5A33357F"/>
    <w:rsid w:val="5A3410A5"/>
    <w:rsid w:val="5A3572F7"/>
    <w:rsid w:val="5A3E3CD2"/>
    <w:rsid w:val="5A3F0176"/>
    <w:rsid w:val="5A421A14"/>
    <w:rsid w:val="5A4412E8"/>
    <w:rsid w:val="5A44578C"/>
    <w:rsid w:val="5A4532B2"/>
    <w:rsid w:val="5A5534F6"/>
    <w:rsid w:val="5A58195D"/>
    <w:rsid w:val="5A597744"/>
    <w:rsid w:val="5A61633E"/>
    <w:rsid w:val="5A67147B"/>
    <w:rsid w:val="5A6F03CD"/>
    <w:rsid w:val="5A7122F9"/>
    <w:rsid w:val="5A7140A7"/>
    <w:rsid w:val="5A7430DE"/>
    <w:rsid w:val="5A76346C"/>
    <w:rsid w:val="5A786593"/>
    <w:rsid w:val="5A81078E"/>
    <w:rsid w:val="5A9A1850"/>
    <w:rsid w:val="5A9E28C7"/>
    <w:rsid w:val="5AA004E9"/>
    <w:rsid w:val="5AA41367"/>
    <w:rsid w:val="5AA4246D"/>
    <w:rsid w:val="5AAE1F4D"/>
    <w:rsid w:val="5AAF422B"/>
    <w:rsid w:val="5AB04BD0"/>
    <w:rsid w:val="5AB67D0C"/>
    <w:rsid w:val="5AB75F5E"/>
    <w:rsid w:val="5ABD109B"/>
    <w:rsid w:val="5AC24903"/>
    <w:rsid w:val="5AC32B55"/>
    <w:rsid w:val="5AC36AE1"/>
    <w:rsid w:val="5AC43474"/>
    <w:rsid w:val="5AC97A40"/>
    <w:rsid w:val="5ACA37C7"/>
    <w:rsid w:val="5AD05272"/>
    <w:rsid w:val="5AD92379"/>
    <w:rsid w:val="5ADF1011"/>
    <w:rsid w:val="5AE6315F"/>
    <w:rsid w:val="5AE825BC"/>
    <w:rsid w:val="5AEB5E8C"/>
    <w:rsid w:val="5AED1980"/>
    <w:rsid w:val="5AF32D0E"/>
    <w:rsid w:val="5AF34ABD"/>
    <w:rsid w:val="5AF65935"/>
    <w:rsid w:val="5AF96577"/>
    <w:rsid w:val="5AF96C2F"/>
    <w:rsid w:val="5AFA5E4B"/>
    <w:rsid w:val="5AFB7C61"/>
    <w:rsid w:val="5AFC1BC3"/>
    <w:rsid w:val="5AFC6067"/>
    <w:rsid w:val="5AFF3461"/>
    <w:rsid w:val="5B0F5D9A"/>
    <w:rsid w:val="5B10566E"/>
    <w:rsid w:val="5B17525B"/>
    <w:rsid w:val="5B184523"/>
    <w:rsid w:val="5B215ACE"/>
    <w:rsid w:val="5B2829B8"/>
    <w:rsid w:val="5B2D4472"/>
    <w:rsid w:val="5B2E3D47"/>
    <w:rsid w:val="5B3752F1"/>
    <w:rsid w:val="5B386973"/>
    <w:rsid w:val="5B3E042E"/>
    <w:rsid w:val="5B435A44"/>
    <w:rsid w:val="5B461090"/>
    <w:rsid w:val="5B4B66A7"/>
    <w:rsid w:val="5B510A5B"/>
    <w:rsid w:val="5B5205EC"/>
    <w:rsid w:val="5B5419FF"/>
    <w:rsid w:val="5B5B72AF"/>
    <w:rsid w:val="5B5C08B4"/>
    <w:rsid w:val="5B5F03A4"/>
    <w:rsid w:val="5B631C42"/>
    <w:rsid w:val="5B667984"/>
    <w:rsid w:val="5B6854AA"/>
    <w:rsid w:val="5B690172"/>
    <w:rsid w:val="5B6A7475"/>
    <w:rsid w:val="5B6C63BF"/>
    <w:rsid w:val="5B6F1862"/>
    <w:rsid w:val="5B7C71A8"/>
    <w:rsid w:val="5B7E4CCE"/>
    <w:rsid w:val="5B7F7967"/>
    <w:rsid w:val="5B800A46"/>
    <w:rsid w:val="5B81031A"/>
    <w:rsid w:val="5B8322E4"/>
    <w:rsid w:val="5B885B4D"/>
    <w:rsid w:val="5B8B1199"/>
    <w:rsid w:val="5B8B46C1"/>
    <w:rsid w:val="5B920779"/>
    <w:rsid w:val="5B935A55"/>
    <w:rsid w:val="5B995664"/>
    <w:rsid w:val="5B9C6F02"/>
    <w:rsid w:val="5BA26C0E"/>
    <w:rsid w:val="5BAD55B3"/>
    <w:rsid w:val="5BAD7361"/>
    <w:rsid w:val="5BAE658C"/>
    <w:rsid w:val="5BB4249E"/>
    <w:rsid w:val="5BB97AB4"/>
    <w:rsid w:val="5BBE50CA"/>
    <w:rsid w:val="5BC14BBB"/>
    <w:rsid w:val="5BC25A8D"/>
    <w:rsid w:val="5BC30933"/>
    <w:rsid w:val="5BC621D1"/>
    <w:rsid w:val="5BC85F49"/>
    <w:rsid w:val="5BC87CF7"/>
    <w:rsid w:val="5BCD17B1"/>
    <w:rsid w:val="5BCF552A"/>
    <w:rsid w:val="5BD20B76"/>
    <w:rsid w:val="5BDE751B"/>
    <w:rsid w:val="5BE10DB9"/>
    <w:rsid w:val="5BE54D4D"/>
    <w:rsid w:val="5BF154A0"/>
    <w:rsid w:val="5BF3746A"/>
    <w:rsid w:val="5BF46D3E"/>
    <w:rsid w:val="5BFE5B97"/>
    <w:rsid w:val="5C0351D3"/>
    <w:rsid w:val="5C05719D"/>
    <w:rsid w:val="5C074CC3"/>
    <w:rsid w:val="5C0827EA"/>
    <w:rsid w:val="5C0A47B4"/>
    <w:rsid w:val="5C0B79E1"/>
    <w:rsid w:val="5C0D7E00"/>
    <w:rsid w:val="5C0F5926"/>
    <w:rsid w:val="5C115B42"/>
    <w:rsid w:val="5C125416"/>
    <w:rsid w:val="5C164F06"/>
    <w:rsid w:val="5C166CB5"/>
    <w:rsid w:val="5C1D6295"/>
    <w:rsid w:val="5C1E1157"/>
    <w:rsid w:val="5C1E200D"/>
    <w:rsid w:val="5C1F025F"/>
    <w:rsid w:val="5C230831"/>
    <w:rsid w:val="5C292E8C"/>
    <w:rsid w:val="5C294C3A"/>
    <w:rsid w:val="5C2A49B7"/>
    <w:rsid w:val="5C2B271B"/>
    <w:rsid w:val="5C2C0286"/>
    <w:rsid w:val="5C2C297C"/>
    <w:rsid w:val="5C2E3663"/>
    <w:rsid w:val="5C313AEE"/>
    <w:rsid w:val="5C32271D"/>
    <w:rsid w:val="5C324481"/>
    <w:rsid w:val="5C332E30"/>
    <w:rsid w:val="5C361105"/>
    <w:rsid w:val="5C3958EB"/>
    <w:rsid w:val="5C3B2BBF"/>
    <w:rsid w:val="5C3F445D"/>
    <w:rsid w:val="5C423F4D"/>
    <w:rsid w:val="5C451348"/>
    <w:rsid w:val="5C463395"/>
    <w:rsid w:val="5C471564"/>
    <w:rsid w:val="5C4A4BB0"/>
    <w:rsid w:val="5C4D6DB2"/>
    <w:rsid w:val="5C4E28F2"/>
    <w:rsid w:val="5C5F065B"/>
    <w:rsid w:val="5C602626"/>
    <w:rsid w:val="5C643446"/>
    <w:rsid w:val="5C6519EA"/>
    <w:rsid w:val="5C677510"/>
    <w:rsid w:val="5C6E089F"/>
    <w:rsid w:val="5C700ABB"/>
    <w:rsid w:val="5C7165E1"/>
    <w:rsid w:val="5C726720"/>
    <w:rsid w:val="5C7A6B4F"/>
    <w:rsid w:val="5C7D36D7"/>
    <w:rsid w:val="5C82259C"/>
    <w:rsid w:val="5C844566"/>
    <w:rsid w:val="5C8C1B31"/>
    <w:rsid w:val="5C936557"/>
    <w:rsid w:val="5C95407D"/>
    <w:rsid w:val="5C98591B"/>
    <w:rsid w:val="5C9D73D6"/>
    <w:rsid w:val="5CA2679A"/>
    <w:rsid w:val="5CA6628A"/>
    <w:rsid w:val="5CA70254"/>
    <w:rsid w:val="5CAB1AF3"/>
    <w:rsid w:val="5CAF3C16"/>
    <w:rsid w:val="5CB63FF4"/>
    <w:rsid w:val="5CCB3F43"/>
    <w:rsid w:val="5CCB6E15"/>
    <w:rsid w:val="5CD050B5"/>
    <w:rsid w:val="5CD32DF8"/>
    <w:rsid w:val="5CD728E8"/>
    <w:rsid w:val="5CD86660"/>
    <w:rsid w:val="5CDC56DF"/>
    <w:rsid w:val="5CDC6150"/>
    <w:rsid w:val="5CDD77D2"/>
    <w:rsid w:val="5CDE2A64"/>
    <w:rsid w:val="5CE118D1"/>
    <w:rsid w:val="5CE172C2"/>
    <w:rsid w:val="5CE24DE9"/>
    <w:rsid w:val="5CE84673"/>
    <w:rsid w:val="5CEB62FE"/>
    <w:rsid w:val="5CEE6E38"/>
    <w:rsid w:val="5CF214D0"/>
    <w:rsid w:val="5CF277E2"/>
    <w:rsid w:val="5CF54B1C"/>
    <w:rsid w:val="5CFE60C6"/>
    <w:rsid w:val="5D0134C1"/>
    <w:rsid w:val="5D015BB7"/>
    <w:rsid w:val="5D03621E"/>
    <w:rsid w:val="5D041203"/>
    <w:rsid w:val="5D0723E3"/>
    <w:rsid w:val="5D0A73FE"/>
    <w:rsid w:val="5D0D6309"/>
    <w:rsid w:val="5D107BA8"/>
    <w:rsid w:val="5D153410"/>
    <w:rsid w:val="5D156F6C"/>
    <w:rsid w:val="5D1A0A26"/>
    <w:rsid w:val="5D1E016D"/>
    <w:rsid w:val="5D213B63"/>
    <w:rsid w:val="5D223C5B"/>
    <w:rsid w:val="5D327B1E"/>
    <w:rsid w:val="5D355860"/>
    <w:rsid w:val="5D371F8F"/>
    <w:rsid w:val="5D373386"/>
    <w:rsid w:val="5D395350"/>
    <w:rsid w:val="5D3A69D3"/>
    <w:rsid w:val="5D443CF5"/>
    <w:rsid w:val="5D447851"/>
    <w:rsid w:val="5D46181B"/>
    <w:rsid w:val="5D4747DC"/>
    <w:rsid w:val="5D4D2BAA"/>
    <w:rsid w:val="5D4E06D0"/>
    <w:rsid w:val="5D50269A"/>
    <w:rsid w:val="5D55380D"/>
    <w:rsid w:val="5D584510"/>
    <w:rsid w:val="5D5976CF"/>
    <w:rsid w:val="5D5A7075"/>
    <w:rsid w:val="5D5E4DB7"/>
    <w:rsid w:val="5D610403"/>
    <w:rsid w:val="5D683540"/>
    <w:rsid w:val="5D6879E4"/>
    <w:rsid w:val="5D6F0D72"/>
    <w:rsid w:val="5D704AEA"/>
    <w:rsid w:val="5D72616D"/>
    <w:rsid w:val="5D740137"/>
    <w:rsid w:val="5D7A14C5"/>
    <w:rsid w:val="5D7E41E5"/>
    <w:rsid w:val="5D807430"/>
    <w:rsid w:val="5D83481E"/>
    <w:rsid w:val="5D897632"/>
    <w:rsid w:val="5D8A795A"/>
    <w:rsid w:val="5D92680F"/>
    <w:rsid w:val="5D942587"/>
    <w:rsid w:val="5D9500AD"/>
    <w:rsid w:val="5D9D2640"/>
    <w:rsid w:val="5D9E1657"/>
    <w:rsid w:val="5DA0717E"/>
    <w:rsid w:val="5DA30A1C"/>
    <w:rsid w:val="5DA96C6B"/>
    <w:rsid w:val="5DAF116F"/>
    <w:rsid w:val="5DB32111"/>
    <w:rsid w:val="5DB7038B"/>
    <w:rsid w:val="5DB744C7"/>
    <w:rsid w:val="5DC0337C"/>
    <w:rsid w:val="5DCB1D21"/>
    <w:rsid w:val="5DCC7F73"/>
    <w:rsid w:val="5DCD3CEB"/>
    <w:rsid w:val="5DD230AF"/>
    <w:rsid w:val="5DD24E5D"/>
    <w:rsid w:val="5DDC5CDC"/>
    <w:rsid w:val="5DDD2180"/>
    <w:rsid w:val="5DEA05B1"/>
    <w:rsid w:val="5DEF3C61"/>
    <w:rsid w:val="5DF474C9"/>
    <w:rsid w:val="5DF50B4C"/>
    <w:rsid w:val="5DF72B16"/>
    <w:rsid w:val="5E0314BA"/>
    <w:rsid w:val="5E064FD9"/>
    <w:rsid w:val="5E0A7D17"/>
    <w:rsid w:val="5E0D0017"/>
    <w:rsid w:val="5E0F1C0D"/>
    <w:rsid w:val="5E1154D8"/>
    <w:rsid w:val="5E115985"/>
    <w:rsid w:val="5E145476"/>
    <w:rsid w:val="5E156D0E"/>
    <w:rsid w:val="5E162F9C"/>
    <w:rsid w:val="5E174F66"/>
    <w:rsid w:val="5E196F30"/>
    <w:rsid w:val="5E1A5D1A"/>
    <w:rsid w:val="5E1C432A"/>
    <w:rsid w:val="5E23390B"/>
    <w:rsid w:val="5E2356B9"/>
    <w:rsid w:val="5E257683"/>
    <w:rsid w:val="5E323B4E"/>
    <w:rsid w:val="5E420DC4"/>
    <w:rsid w:val="5E4E6BDA"/>
    <w:rsid w:val="5E516119"/>
    <w:rsid w:val="5E525F9E"/>
    <w:rsid w:val="5E532442"/>
    <w:rsid w:val="5E547F68"/>
    <w:rsid w:val="5E565A8E"/>
    <w:rsid w:val="5E5A37D0"/>
    <w:rsid w:val="5E5B12F6"/>
    <w:rsid w:val="5E5B16C1"/>
    <w:rsid w:val="5E6006BB"/>
    <w:rsid w:val="5E677C9B"/>
    <w:rsid w:val="5E6957C1"/>
    <w:rsid w:val="5E6A153A"/>
    <w:rsid w:val="5E6F08FE"/>
    <w:rsid w:val="5E736640"/>
    <w:rsid w:val="5E745F14"/>
    <w:rsid w:val="5E7B54F5"/>
    <w:rsid w:val="5E7D2288"/>
    <w:rsid w:val="5E7F3237"/>
    <w:rsid w:val="5E800D5D"/>
    <w:rsid w:val="5E852D1B"/>
    <w:rsid w:val="5E873E9A"/>
    <w:rsid w:val="5E8C14B0"/>
    <w:rsid w:val="5E8C5954"/>
    <w:rsid w:val="5E8C7702"/>
    <w:rsid w:val="5E8E347A"/>
    <w:rsid w:val="5E9071F2"/>
    <w:rsid w:val="5E961FB7"/>
    <w:rsid w:val="5E9A1E1F"/>
    <w:rsid w:val="5E9B16F3"/>
    <w:rsid w:val="5E9F11E3"/>
    <w:rsid w:val="5EA1476A"/>
    <w:rsid w:val="5EA20CD3"/>
    <w:rsid w:val="5EA507C4"/>
    <w:rsid w:val="5EA54320"/>
    <w:rsid w:val="5EA92062"/>
    <w:rsid w:val="5EAC0BFA"/>
    <w:rsid w:val="5EAC56AE"/>
    <w:rsid w:val="5EAF519E"/>
    <w:rsid w:val="5EBA0B15"/>
    <w:rsid w:val="5EBA426F"/>
    <w:rsid w:val="5EC40C4A"/>
    <w:rsid w:val="5EC46E9C"/>
    <w:rsid w:val="5EC7698C"/>
    <w:rsid w:val="5ECA1FD8"/>
    <w:rsid w:val="5ECA3D86"/>
    <w:rsid w:val="5ECC3FA2"/>
    <w:rsid w:val="5ECC5D50"/>
    <w:rsid w:val="5ECE1AC8"/>
    <w:rsid w:val="5ED13367"/>
    <w:rsid w:val="5ED35331"/>
    <w:rsid w:val="5ED4289D"/>
    <w:rsid w:val="5EDA221B"/>
    <w:rsid w:val="5EE27322"/>
    <w:rsid w:val="5EE95B96"/>
    <w:rsid w:val="5EEB267A"/>
    <w:rsid w:val="5EEE216B"/>
    <w:rsid w:val="5EF332DD"/>
    <w:rsid w:val="5EF77271"/>
    <w:rsid w:val="5EF84D97"/>
    <w:rsid w:val="5EFB03E4"/>
    <w:rsid w:val="5EFF6126"/>
    <w:rsid w:val="5EFF7ED4"/>
    <w:rsid w:val="5F011E9E"/>
    <w:rsid w:val="5F0246D2"/>
    <w:rsid w:val="5F096FA4"/>
    <w:rsid w:val="5F0B0627"/>
    <w:rsid w:val="5F0E77BB"/>
    <w:rsid w:val="5F100333"/>
    <w:rsid w:val="5F105C3D"/>
    <w:rsid w:val="5F13397F"/>
    <w:rsid w:val="5F13572D"/>
    <w:rsid w:val="5F1576F7"/>
    <w:rsid w:val="5F1A6ABC"/>
    <w:rsid w:val="5F1B19B2"/>
    <w:rsid w:val="5F1C2834"/>
    <w:rsid w:val="5F1D2C87"/>
    <w:rsid w:val="5F1F40D2"/>
    <w:rsid w:val="5F217E4A"/>
    <w:rsid w:val="5F265461"/>
    <w:rsid w:val="5F2B0CC9"/>
    <w:rsid w:val="5F3062DF"/>
    <w:rsid w:val="5F313E05"/>
    <w:rsid w:val="5F322057"/>
    <w:rsid w:val="5F337B7D"/>
    <w:rsid w:val="5F357D99"/>
    <w:rsid w:val="5F3833E6"/>
    <w:rsid w:val="5F383FFB"/>
    <w:rsid w:val="5F3D27AA"/>
    <w:rsid w:val="5F41673E"/>
    <w:rsid w:val="5F441D8B"/>
    <w:rsid w:val="5F463D55"/>
    <w:rsid w:val="5F5234FC"/>
    <w:rsid w:val="5F553840"/>
    <w:rsid w:val="5F571ABE"/>
    <w:rsid w:val="5F577D10"/>
    <w:rsid w:val="5F6441DB"/>
    <w:rsid w:val="5F667F53"/>
    <w:rsid w:val="5F681F1D"/>
    <w:rsid w:val="5F7206A6"/>
    <w:rsid w:val="5F724B4A"/>
    <w:rsid w:val="5F742670"/>
    <w:rsid w:val="5F7563E8"/>
    <w:rsid w:val="5F7C32D2"/>
    <w:rsid w:val="5F7F1523"/>
    <w:rsid w:val="5F8108E9"/>
    <w:rsid w:val="5F8623A3"/>
    <w:rsid w:val="5F864151"/>
    <w:rsid w:val="5F887EC9"/>
    <w:rsid w:val="5F893C41"/>
    <w:rsid w:val="5F8A16C0"/>
    <w:rsid w:val="5F8A1E93"/>
    <w:rsid w:val="5F8D3732"/>
    <w:rsid w:val="5F9525E6"/>
    <w:rsid w:val="5F9C5723"/>
    <w:rsid w:val="5F9E5F3C"/>
    <w:rsid w:val="5FA10F8B"/>
    <w:rsid w:val="5FA40A7B"/>
    <w:rsid w:val="5FA42829"/>
    <w:rsid w:val="5FA82319"/>
    <w:rsid w:val="5FA840C8"/>
    <w:rsid w:val="5FAA42E4"/>
    <w:rsid w:val="5FAD5B82"/>
    <w:rsid w:val="5FBE00F7"/>
    <w:rsid w:val="5FC41E88"/>
    <w:rsid w:val="5FC44C79"/>
    <w:rsid w:val="5FC52ECB"/>
    <w:rsid w:val="5FCB02AA"/>
    <w:rsid w:val="5FCB425A"/>
    <w:rsid w:val="5FCC6587"/>
    <w:rsid w:val="5FD2383A"/>
    <w:rsid w:val="5FD255E8"/>
    <w:rsid w:val="5FD90725"/>
    <w:rsid w:val="5FE1582B"/>
    <w:rsid w:val="5FE331AE"/>
    <w:rsid w:val="5FE570CA"/>
    <w:rsid w:val="5FEB66AA"/>
    <w:rsid w:val="5FED2422"/>
    <w:rsid w:val="5FEF1CF6"/>
    <w:rsid w:val="5FEF7F48"/>
    <w:rsid w:val="5FF11F12"/>
    <w:rsid w:val="5FF67529"/>
    <w:rsid w:val="5FFE1F39"/>
    <w:rsid w:val="60003F04"/>
    <w:rsid w:val="600067EA"/>
    <w:rsid w:val="600A2FD4"/>
    <w:rsid w:val="600B6660"/>
    <w:rsid w:val="600C0AFA"/>
    <w:rsid w:val="60114363"/>
    <w:rsid w:val="60133497"/>
    <w:rsid w:val="601654D5"/>
    <w:rsid w:val="60213E7A"/>
    <w:rsid w:val="60266FF4"/>
    <w:rsid w:val="60322C1D"/>
    <w:rsid w:val="60343BAD"/>
    <w:rsid w:val="603911C4"/>
    <w:rsid w:val="603A4F47"/>
    <w:rsid w:val="603B318E"/>
    <w:rsid w:val="603C0CB4"/>
    <w:rsid w:val="604069F6"/>
    <w:rsid w:val="604638E0"/>
    <w:rsid w:val="60464631"/>
    <w:rsid w:val="604A517F"/>
    <w:rsid w:val="604C5D33"/>
    <w:rsid w:val="604F7FC8"/>
    <w:rsid w:val="60536729"/>
    <w:rsid w:val="6054424F"/>
    <w:rsid w:val="605A3CC1"/>
    <w:rsid w:val="605B3830"/>
    <w:rsid w:val="605D791A"/>
    <w:rsid w:val="6062071A"/>
    <w:rsid w:val="60730B79"/>
    <w:rsid w:val="607466A0"/>
    <w:rsid w:val="60757AAC"/>
    <w:rsid w:val="60762418"/>
    <w:rsid w:val="60765F74"/>
    <w:rsid w:val="60843738"/>
    <w:rsid w:val="608B78E2"/>
    <w:rsid w:val="60917251"/>
    <w:rsid w:val="609805E0"/>
    <w:rsid w:val="60997EB4"/>
    <w:rsid w:val="609B0CB8"/>
    <w:rsid w:val="60A24FBB"/>
    <w:rsid w:val="60A32AE1"/>
    <w:rsid w:val="60A50489"/>
    <w:rsid w:val="60AA68BC"/>
    <w:rsid w:val="60AF76D8"/>
    <w:rsid w:val="60B13450"/>
    <w:rsid w:val="60B371C8"/>
    <w:rsid w:val="60B44CEE"/>
    <w:rsid w:val="60BA67A8"/>
    <w:rsid w:val="60BD1DF5"/>
    <w:rsid w:val="60C018E5"/>
    <w:rsid w:val="60C05441"/>
    <w:rsid w:val="60C413D5"/>
    <w:rsid w:val="60C50CA9"/>
    <w:rsid w:val="60C5514D"/>
    <w:rsid w:val="60C90799"/>
    <w:rsid w:val="60CA0BA2"/>
    <w:rsid w:val="60CC2038"/>
    <w:rsid w:val="60CD1939"/>
    <w:rsid w:val="60D07CA5"/>
    <w:rsid w:val="60D158A0"/>
    <w:rsid w:val="60D333C6"/>
    <w:rsid w:val="60D3786A"/>
    <w:rsid w:val="60D40EEC"/>
    <w:rsid w:val="60D84E80"/>
    <w:rsid w:val="60DB671F"/>
    <w:rsid w:val="60DD2497"/>
    <w:rsid w:val="60DF7FBD"/>
    <w:rsid w:val="60E05AE3"/>
    <w:rsid w:val="60E70C20"/>
    <w:rsid w:val="60E76E71"/>
    <w:rsid w:val="60F15F42"/>
    <w:rsid w:val="60F17CF0"/>
    <w:rsid w:val="60F33A68"/>
    <w:rsid w:val="60F872D1"/>
    <w:rsid w:val="60FA4DF7"/>
    <w:rsid w:val="60FB0B6F"/>
    <w:rsid w:val="61016185"/>
    <w:rsid w:val="61053348"/>
    <w:rsid w:val="610A2B60"/>
    <w:rsid w:val="610C0686"/>
    <w:rsid w:val="610C541D"/>
    <w:rsid w:val="611171F3"/>
    <w:rsid w:val="61120392"/>
    <w:rsid w:val="611A1845"/>
    <w:rsid w:val="611A2DA3"/>
    <w:rsid w:val="611B4D6D"/>
    <w:rsid w:val="611C2FBF"/>
    <w:rsid w:val="612754C0"/>
    <w:rsid w:val="613025C6"/>
    <w:rsid w:val="61314591"/>
    <w:rsid w:val="6131633F"/>
    <w:rsid w:val="6132232B"/>
    <w:rsid w:val="613D752A"/>
    <w:rsid w:val="613F0A5C"/>
    <w:rsid w:val="613F280A"/>
    <w:rsid w:val="614147D4"/>
    <w:rsid w:val="61453B98"/>
    <w:rsid w:val="6146003C"/>
    <w:rsid w:val="614918DA"/>
    <w:rsid w:val="61497B2C"/>
    <w:rsid w:val="614C4F26"/>
    <w:rsid w:val="61561AD0"/>
    <w:rsid w:val="61587D6F"/>
    <w:rsid w:val="615C160D"/>
    <w:rsid w:val="61616CF0"/>
    <w:rsid w:val="61667B25"/>
    <w:rsid w:val="61691F7C"/>
    <w:rsid w:val="616B35FF"/>
    <w:rsid w:val="616D76DA"/>
    <w:rsid w:val="616E30EF"/>
    <w:rsid w:val="6171498D"/>
    <w:rsid w:val="61720E31"/>
    <w:rsid w:val="61730705"/>
    <w:rsid w:val="61734BA9"/>
    <w:rsid w:val="617526CF"/>
    <w:rsid w:val="617D1AEF"/>
    <w:rsid w:val="617D4D88"/>
    <w:rsid w:val="617F354E"/>
    <w:rsid w:val="61834DEC"/>
    <w:rsid w:val="61891CD7"/>
    <w:rsid w:val="618B3CA1"/>
    <w:rsid w:val="618B5CE5"/>
    <w:rsid w:val="61932B55"/>
    <w:rsid w:val="61954B1F"/>
    <w:rsid w:val="61994610"/>
    <w:rsid w:val="619957F1"/>
    <w:rsid w:val="619E75CA"/>
    <w:rsid w:val="61A60ADB"/>
    <w:rsid w:val="61A82BC6"/>
    <w:rsid w:val="61A86601"/>
    <w:rsid w:val="61A97E6A"/>
    <w:rsid w:val="61AB60F1"/>
    <w:rsid w:val="61B027E8"/>
    <w:rsid w:val="61B2122D"/>
    <w:rsid w:val="61B431F8"/>
    <w:rsid w:val="61B50D1E"/>
    <w:rsid w:val="61B551C2"/>
    <w:rsid w:val="61B7263B"/>
    <w:rsid w:val="61B76844"/>
    <w:rsid w:val="61BD7BD2"/>
    <w:rsid w:val="61BE5E24"/>
    <w:rsid w:val="61CA2A1B"/>
    <w:rsid w:val="61D05B58"/>
    <w:rsid w:val="61D2367E"/>
    <w:rsid w:val="61D27B22"/>
    <w:rsid w:val="61D373F6"/>
    <w:rsid w:val="61D45648"/>
    <w:rsid w:val="61D5316E"/>
    <w:rsid w:val="61DA0784"/>
    <w:rsid w:val="61DC274E"/>
    <w:rsid w:val="61E84C4F"/>
    <w:rsid w:val="61ED04B8"/>
    <w:rsid w:val="61ED495B"/>
    <w:rsid w:val="61EF4230"/>
    <w:rsid w:val="61F335F4"/>
    <w:rsid w:val="61F41846"/>
    <w:rsid w:val="61F730E4"/>
    <w:rsid w:val="61FA72FD"/>
    <w:rsid w:val="61FC06FB"/>
    <w:rsid w:val="62013F63"/>
    <w:rsid w:val="62015D11"/>
    <w:rsid w:val="620567C2"/>
    <w:rsid w:val="620A72BB"/>
    <w:rsid w:val="620D2908"/>
    <w:rsid w:val="620F6680"/>
    <w:rsid w:val="62110360"/>
    <w:rsid w:val="62127F1E"/>
    <w:rsid w:val="621517BC"/>
    <w:rsid w:val="621719D8"/>
    <w:rsid w:val="6223037D"/>
    <w:rsid w:val="6223212B"/>
    <w:rsid w:val="62285994"/>
    <w:rsid w:val="622A53E8"/>
    <w:rsid w:val="622A6F03"/>
    <w:rsid w:val="622C5484"/>
    <w:rsid w:val="622D4D58"/>
    <w:rsid w:val="623E0D13"/>
    <w:rsid w:val="623E51B7"/>
    <w:rsid w:val="624125B1"/>
    <w:rsid w:val="62427C24"/>
    <w:rsid w:val="624502F4"/>
    <w:rsid w:val="624861D4"/>
    <w:rsid w:val="62494C2A"/>
    <w:rsid w:val="624A590A"/>
    <w:rsid w:val="624A76B8"/>
    <w:rsid w:val="624F2F20"/>
    <w:rsid w:val="625247BE"/>
    <w:rsid w:val="62586279"/>
    <w:rsid w:val="62595B4D"/>
    <w:rsid w:val="625B18C5"/>
    <w:rsid w:val="6260512D"/>
    <w:rsid w:val="62634C1E"/>
    <w:rsid w:val="62652744"/>
    <w:rsid w:val="6267026A"/>
    <w:rsid w:val="62682234"/>
    <w:rsid w:val="626A1B08"/>
    <w:rsid w:val="626D784A"/>
    <w:rsid w:val="626F35C2"/>
    <w:rsid w:val="627000DB"/>
    <w:rsid w:val="62712E97"/>
    <w:rsid w:val="62742944"/>
    <w:rsid w:val="62752954"/>
    <w:rsid w:val="62774225"/>
    <w:rsid w:val="62775FD3"/>
    <w:rsid w:val="62782477"/>
    <w:rsid w:val="627D5BEF"/>
    <w:rsid w:val="627E3805"/>
    <w:rsid w:val="627F35F5"/>
    <w:rsid w:val="628232F6"/>
    <w:rsid w:val="628472D5"/>
    <w:rsid w:val="62856942"/>
    <w:rsid w:val="62894684"/>
    <w:rsid w:val="628C07CD"/>
    <w:rsid w:val="62960B4F"/>
    <w:rsid w:val="6299419B"/>
    <w:rsid w:val="629B6165"/>
    <w:rsid w:val="629D3C8C"/>
    <w:rsid w:val="62A25746"/>
    <w:rsid w:val="62A36DC8"/>
    <w:rsid w:val="62A50D92"/>
    <w:rsid w:val="62AA45FB"/>
    <w:rsid w:val="62AB553A"/>
    <w:rsid w:val="62AF39BF"/>
    <w:rsid w:val="62B80AC5"/>
    <w:rsid w:val="62C03E1E"/>
    <w:rsid w:val="62CE653B"/>
    <w:rsid w:val="62CF4061"/>
    <w:rsid w:val="62D022B3"/>
    <w:rsid w:val="62D358FF"/>
    <w:rsid w:val="62D376AD"/>
    <w:rsid w:val="62D43425"/>
    <w:rsid w:val="62D9440C"/>
    <w:rsid w:val="62DB47B4"/>
    <w:rsid w:val="62DD22DA"/>
    <w:rsid w:val="62E23D94"/>
    <w:rsid w:val="62E25B42"/>
    <w:rsid w:val="62EC076F"/>
    <w:rsid w:val="62EC51D9"/>
    <w:rsid w:val="62ED4E04"/>
    <w:rsid w:val="62EE5794"/>
    <w:rsid w:val="62F13FD7"/>
    <w:rsid w:val="62F1762C"/>
    <w:rsid w:val="62FD297C"/>
    <w:rsid w:val="62FE3277"/>
    <w:rsid w:val="62FF4946"/>
    <w:rsid w:val="630261E5"/>
    <w:rsid w:val="63035AB9"/>
    <w:rsid w:val="63041F5D"/>
    <w:rsid w:val="631101D6"/>
    <w:rsid w:val="6315416A"/>
    <w:rsid w:val="6316512C"/>
    <w:rsid w:val="631A52DC"/>
    <w:rsid w:val="631B72A6"/>
    <w:rsid w:val="631D4DCC"/>
    <w:rsid w:val="631F28F3"/>
    <w:rsid w:val="6324615B"/>
    <w:rsid w:val="63260125"/>
    <w:rsid w:val="632779F9"/>
    <w:rsid w:val="63280B10"/>
    <w:rsid w:val="632904C2"/>
    <w:rsid w:val="632E3727"/>
    <w:rsid w:val="63312BB2"/>
    <w:rsid w:val="633578AF"/>
    <w:rsid w:val="63367C3C"/>
    <w:rsid w:val="6339737F"/>
    <w:rsid w:val="63416D0D"/>
    <w:rsid w:val="63424833"/>
    <w:rsid w:val="63497970"/>
    <w:rsid w:val="635051A2"/>
    <w:rsid w:val="63520F1A"/>
    <w:rsid w:val="635527B8"/>
    <w:rsid w:val="6356208C"/>
    <w:rsid w:val="635D78BF"/>
    <w:rsid w:val="636251A8"/>
    <w:rsid w:val="63626C83"/>
    <w:rsid w:val="63640C4D"/>
    <w:rsid w:val="636429FB"/>
    <w:rsid w:val="63716EC6"/>
    <w:rsid w:val="63730E90"/>
    <w:rsid w:val="637A3FCD"/>
    <w:rsid w:val="6381535B"/>
    <w:rsid w:val="63827325"/>
    <w:rsid w:val="63846BFA"/>
    <w:rsid w:val="63860BC4"/>
    <w:rsid w:val="638906B4"/>
    <w:rsid w:val="638E7A78"/>
    <w:rsid w:val="63915694"/>
    <w:rsid w:val="63936E3D"/>
    <w:rsid w:val="639561FD"/>
    <w:rsid w:val="63957059"/>
    <w:rsid w:val="6397692D"/>
    <w:rsid w:val="639808F7"/>
    <w:rsid w:val="639A641D"/>
    <w:rsid w:val="639E415F"/>
    <w:rsid w:val="639F3A33"/>
    <w:rsid w:val="63A1155A"/>
    <w:rsid w:val="63A4729C"/>
    <w:rsid w:val="63A52695"/>
    <w:rsid w:val="63A728E8"/>
    <w:rsid w:val="63AD40A5"/>
    <w:rsid w:val="63AD6150"/>
    <w:rsid w:val="63B3128D"/>
    <w:rsid w:val="63B374DF"/>
    <w:rsid w:val="63B70D7D"/>
    <w:rsid w:val="63BD3EBA"/>
    <w:rsid w:val="63C11BFC"/>
    <w:rsid w:val="63C67212"/>
    <w:rsid w:val="63CF256B"/>
    <w:rsid w:val="63CF4D36"/>
    <w:rsid w:val="63D336DD"/>
    <w:rsid w:val="63D5727E"/>
    <w:rsid w:val="63DC6A36"/>
    <w:rsid w:val="63DE27AE"/>
    <w:rsid w:val="63E045B6"/>
    <w:rsid w:val="63E2436F"/>
    <w:rsid w:val="63E24F3C"/>
    <w:rsid w:val="63E47698"/>
    <w:rsid w:val="63E56E61"/>
    <w:rsid w:val="63ED204F"/>
    <w:rsid w:val="63F05837"/>
    <w:rsid w:val="63F518A5"/>
    <w:rsid w:val="63FE4BFE"/>
    <w:rsid w:val="63FF44D2"/>
    <w:rsid w:val="6401024A"/>
    <w:rsid w:val="640210A3"/>
    <w:rsid w:val="640214AF"/>
    <w:rsid w:val="6408782B"/>
    <w:rsid w:val="641066DF"/>
    <w:rsid w:val="64144421"/>
    <w:rsid w:val="641461CF"/>
    <w:rsid w:val="64175CC0"/>
    <w:rsid w:val="64191A38"/>
    <w:rsid w:val="64243F39"/>
    <w:rsid w:val="64264155"/>
    <w:rsid w:val="642841DC"/>
    <w:rsid w:val="6429154F"/>
    <w:rsid w:val="642A77A1"/>
    <w:rsid w:val="64322AF9"/>
    <w:rsid w:val="643423CE"/>
    <w:rsid w:val="64370110"/>
    <w:rsid w:val="64395C36"/>
    <w:rsid w:val="643E149E"/>
    <w:rsid w:val="644840CB"/>
    <w:rsid w:val="644B00C6"/>
    <w:rsid w:val="644F0FB6"/>
    <w:rsid w:val="645111D2"/>
    <w:rsid w:val="64540CC2"/>
    <w:rsid w:val="6454481E"/>
    <w:rsid w:val="64553B1D"/>
    <w:rsid w:val="645667E8"/>
    <w:rsid w:val="6457430E"/>
    <w:rsid w:val="64590086"/>
    <w:rsid w:val="645B0956"/>
    <w:rsid w:val="645E3A94"/>
    <w:rsid w:val="645E569D"/>
    <w:rsid w:val="646A2293"/>
    <w:rsid w:val="646D3B32"/>
    <w:rsid w:val="646F1658"/>
    <w:rsid w:val="647355E4"/>
    <w:rsid w:val="647E189B"/>
    <w:rsid w:val="648158F4"/>
    <w:rsid w:val="648275DD"/>
    <w:rsid w:val="6486294B"/>
    <w:rsid w:val="64872E45"/>
    <w:rsid w:val="648C045C"/>
    <w:rsid w:val="648C536D"/>
    <w:rsid w:val="648F3AA8"/>
    <w:rsid w:val="648F687F"/>
    <w:rsid w:val="64964E36"/>
    <w:rsid w:val="649C7F73"/>
    <w:rsid w:val="649D4417"/>
    <w:rsid w:val="649E018F"/>
    <w:rsid w:val="64A07A63"/>
    <w:rsid w:val="64A21A2D"/>
    <w:rsid w:val="64A55079"/>
    <w:rsid w:val="64A86918"/>
    <w:rsid w:val="64AA21BD"/>
    <w:rsid w:val="64AA3A67"/>
    <w:rsid w:val="64AD2180"/>
    <w:rsid w:val="64AF5EF8"/>
    <w:rsid w:val="64AF7CA6"/>
    <w:rsid w:val="64B452BD"/>
    <w:rsid w:val="64BC7417"/>
    <w:rsid w:val="64BD0615"/>
    <w:rsid w:val="64BE2D8D"/>
    <w:rsid w:val="64C01EB3"/>
    <w:rsid w:val="64C179D9"/>
    <w:rsid w:val="64C33752"/>
    <w:rsid w:val="64C370B9"/>
    <w:rsid w:val="64C65F81"/>
    <w:rsid w:val="64CA30D3"/>
    <w:rsid w:val="64D43BB1"/>
    <w:rsid w:val="64D67929"/>
    <w:rsid w:val="64D771FD"/>
    <w:rsid w:val="64DB0A9B"/>
    <w:rsid w:val="64DD6316"/>
    <w:rsid w:val="64DE67DD"/>
    <w:rsid w:val="64E02555"/>
    <w:rsid w:val="64E141BC"/>
    <w:rsid w:val="64E33DF4"/>
    <w:rsid w:val="64E41ED7"/>
    <w:rsid w:val="64EC0EFA"/>
    <w:rsid w:val="64EC2CA8"/>
    <w:rsid w:val="64F46001"/>
    <w:rsid w:val="64F63B27"/>
    <w:rsid w:val="64FB7736"/>
    <w:rsid w:val="64FD6C64"/>
    <w:rsid w:val="64FE478A"/>
    <w:rsid w:val="6502071E"/>
    <w:rsid w:val="650A75D2"/>
    <w:rsid w:val="650C2823"/>
    <w:rsid w:val="65150451"/>
    <w:rsid w:val="651D5558"/>
    <w:rsid w:val="65200BA4"/>
    <w:rsid w:val="65222B6E"/>
    <w:rsid w:val="65242442"/>
    <w:rsid w:val="6525440C"/>
    <w:rsid w:val="652561BA"/>
    <w:rsid w:val="652A37D1"/>
    <w:rsid w:val="652B5157"/>
    <w:rsid w:val="652D5D38"/>
    <w:rsid w:val="652F0DE7"/>
    <w:rsid w:val="6532111A"/>
    <w:rsid w:val="653603C7"/>
    <w:rsid w:val="65364D76"/>
    <w:rsid w:val="653D3504"/>
    <w:rsid w:val="653F727C"/>
    <w:rsid w:val="65436640"/>
    <w:rsid w:val="654C3747"/>
    <w:rsid w:val="65516FAF"/>
    <w:rsid w:val="655645C6"/>
    <w:rsid w:val="65570602"/>
    <w:rsid w:val="655F347A"/>
    <w:rsid w:val="65667394"/>
    <w:rsid w:val="656942F9"/>
    <w:rsid w:val="656E190F"/>
    <w:rsid w:val="657044E0"/>
    <w:rsid w:val="657333CA"/>
    <w:rsid w:val="65735178"/>
    <w:rsid w:val="6578278E"/>
    <w:rsid w:val="657A6506"/>
    <w:rsid w:val="657B402C"/>
    <w:rsid w:val="65801643"/>
    <w:rsid w:val="65896749"/>
    <w:rsid w:val="658A1B36"/>
    <w:rsid w:val="658E6328"/>
    <w:rsid w:val="659A0956"/>
    <w:rsid w:val="659A2704"/>
    <w:rsid w:val="659A6BA8"/>
    <w:rsid w:val="659D3FA3"/>
    <w:rsid w:val="65A05841"/>
    <w:rsid w:val="65A55E8B"/>
    <w:rsid w:val="65A74E21"/>
    <w:rsid w:val="65AC2438"/>
    <w:rsid w:val="65B35574"/>
    <w:rsid w:val="65B45481"/>
    <w:rsid w:val="65BA6903"/>
    <w:rsid w:val="65C6174B"/>
    <w:rsid w:val="65CE0600"/>
    <w:rsid w:val="65CE23AE"/>
    <w:rsid w:val="65D1387D"/>
    <w:rsid w:val="65D200F0"/>
    <w:rsid w:val="65DC0F6F"/>
    <w:rsid w:val="65DC4ACB"/>
    <w:rsid w:val="65DD14E3"/>
    <w:rsid w:val="65DF6369"/>
    <w:rsid w:val="65E9368C"/>
    <w:rsid w:val="65ED4F2A"/>
    <w:rsid w:val="65F04A1A"/>
    <w:rsid w:val="65F30067"/>
    <w:rsid w:val="65F52031"/>
    <w:rsid w:val="65FA31A3"/>
    <w:rsid w:val="65FC33BF"/>
    <w:rsid w:val="65FC6F1B"/>
    <w:rsid w:val="66017D8B"/>
    <w:rsid w:val="66033B3B"/>
    <w:rsid w:val="66042274"/>
    <w:rsid w:val="660D1128"/>
    <w:rsid w:val="660E6C4E"/>
    <w:rsid w:val="66196C4D"/>
    <w:rsid w:val="661E3335"/>
    <w:rsid w:val="661E50E3"/>
    <w:rsid w:val="661F0E5C"/>
    <w:rsid w:val="662326FA"/>
    <w:rsid w:val="66236B9E"/>
    <w:rsid w:val="6626043C"/>
    <w:rsid w:val="66295020"/>
    <w:rsid w:val="662B7800"/>
    <w:rsid w:val="662E109F"/>
    <w:rsid w:val="662E49E1"/>
    <w:rsid w:val="66304E17"/>
    <w:rsid w:val="663366B5"/>
    <w:rsid w:val="66345C4B"/>
    <w:rsid w:val="6635067F"/>
    <w:rsid w:val="66384BE6"/>
    <w:rsid w:val="663F32AC"/>
    <w:rsid w:val="664045EC"/>
    <w:rsid w:val="66410DD2"/>
    <w:rsid w:val="66417BE5"/>
    <w:rsid w:val="66442670"/>
    <w:rsid w:val="664B39FF"/>
    <w:rsid w:val="664E16A3"/>
    <w:rsid w:val="664E251A"/>
    <w:rsid w:val="664E34EF"/>
    <w:rsid w:val="664F1BCD"/>
    <w:rsid w:val="66522FDF"/>
    <w:rsid w:val="66544FA9"/>
    <w:rsid w:val="665556CC"/>
    <w:rsid w:val="6659436D"/>
    <w:rsid w:val="665E3005"/>
    <w:rsid w:val="665E4D94"/>
    <w:rsid w:val="66644AC0"/>
    <w:rsid w:val="66652D12"/>
    <w:rsid w:val="666845B1"/>
    <w:rsid w:val="666D606B"/>
    <w:rsid w:val="667016B7"/>
    <w:rsid w:val="66756CCD"/>
    <w:rsid w:val="667C005C"/>
    <w:rsid w:val="667C1E0A"/>
    <w:rsid w:val="6683763C"/>
    <w:rsid w:val="66860EDB"/>
    <w:rsid w:val="6686712D"/>
    <w:rsid w:val="668A2779"/>
    <w:rsid w:val="66903B07"/>
    <w:rsid w:val="66920823"/>
    <w:rsid w:val="669929BC"/>
    <w:rsid w:val="66A17AC3"/>
    <w:rsid w:val="66A202A8"/>
    <w:rsid w:val="66A23F66"/>
    <w:rsid w:val="66A355E9"/>
    <w:rsid w:val="66AA2E1B"/>
    <w:rsid w:val="66AB26EF"/>
    <w:rsid w:val="66AC6B93"/>
    <w:rsid w:val="66AD46B9"/>
    <w:rsid w:val="66AD6467"/>
    <w:rsid w:val="66BA652F"/>
    <w:rsid w:val="66BE77A5"/>
    <w:rsid w:val="66C2786C"/>
    <w:rsid w:val="66C31E31"/>
    <w:rsid w:val="66C33EDD"/>
    <w:rsid w:val="66C51A03"/>
    <w:rsid w:val="66C67529"/>
    <w:rsid w:val="66C739CD"/>
    <w:rsid w:val="66CC2D91"/>
    <w:rsid w:val="66CF4630"/>
    <w:rsid w:val="66D9725C"/>
    <w:rsid w:val="66DE0D17"/>
    <w:rsid w:val="66E159EC"/>
    <w:rsid w:val="66E53E53"/>
    <w:rsid w:val="66E7011D"/>
    <w:rsid w:val="66E83943"/>
    <w:rsid w:val="66ED2D08"/>
    <w:rsid w:val="66ED4AB6"/>
    <w:rsid w:val="66F26570"/>
    <w:rsid w:val="66F45400"/>
    <w:rsid w:val="66F45E44"/>
    <w:rsid w:val="66F50B75"/>
    <w:rsid w:val="66F53BB1"/>
    <w:rsid w:val="66F66060"/>
    <w:rsid w:val="66F7488E"/>
    <w:rsid w:val="66F81DD8"/>
    <w:rsid w:val="66F83B86"/>
    <w:rsid w:val="66F916AD"/>
    <w:rsid w:val="66F978FF"/>
    <w:rsid w:val="66FB0832"/>
    <w:rsid w:val="66FB71D3"/>
    <w:rsid w:val="66FC0EB3"/>
    <w:rsid w:val="66FE3167"/>
    <w:rsid w:val="66FE4F15"/>
    <w:rsid w:val="66FE720E"/>
    <w:rsid w:val="67006EDF"/>
    <w:rsid w:val="67010561"/>
    <w:rsid w:val="6703077D"/>
    <w:rsid w:val="67050051"/>
    <w:rsid w:val="67073DC9"/>
    <w:rsid w:val="670A1B0C"/>
    <w:rsid w:val="67185FD7"/>
    <w:rsid w:val="671B5AC7"/>
    <w:rsid w:val="671E1113"/>
    <w:rsid w:val="67236729"/>
    <w:rsid w:val="67263ECD"/>
    <w:rsid w:val="67272C9D"/>
    <w:rsid w:val="672A7AB8"/>
    <w:rsid w:val="672C55DE"/>
    <w:rsid w:val="672C7CD4"/>
    <w:rsid w:val="672F6E88"/>
    <w:rsid w:val="67310E46"/>
    <w:rsid w:val="673934AF"/>
    <w:rsid w:val="673D4B92"/>
    <w:rsid w:val="673D77EB"/>
    <w:rsid w:val="67401089"/>
    <w:rsid w:val="6740552D"/>
    <w:rsid w:val="67424E02"/>
    <w:rsid w:val="67430B7A"/>
    <w:rsid w:val="674566A0"/>
    <w:rsid w:val="67492634"/>
    <w:rsid w:val="674A790D"/>
    <w:rsid w:val="674C135A"/>
    <w:rsid w:val="674C3ED2"/>
    <w:rsid w:val="674C7A59"/>
    <w:rsid w:val="674F5770"/>
    <w:rsid w:val="67515045"/>
    <w:rsid w:val="67544B35"/>
    <w:rsid w:val="676572B1"/>
    <w:rsid w:val="676A25AA"/>
    <w:rsid w:val="676C0BAF"/>
    <w:rsid w:val="676C5B4E"/>
    <w:rsid w:val="676E15EE"/>
    <w:rsid w:val="676E209B"/>
    <w:rsid w:val="67702502"/>
    <w:rsid w:val="67730FE6"/>
    <w:rsid w:val="677376B1"/>
    <w:rsid w:val="677671A1"/>
    <w:rsid w:val="67786A75"/>
    <w:rsid w:val="677C2596"/>
    <w:rsid w:val="67851285"/>
    <w:rsid w:val="67851845"/>
    <w:rsid w:val="6787315C"/>
    <w:rsid w:val="67892A30"/>
    <w:rsid w:val="678A1758"/>
    <w:rsid w:val="678E44EB"/>
    <w:rsid w:val="678F2F90"/>
    <w:rsid w:val="679413D5"/>
    <w:rsid w:val="6796339F"/>
    <w:rsid w:val="679A69EC"/>
    <w:rsid w:val="67A23AF2"/>
    <w:rsid w:val="67A32261"/>
    <w:rsid w:val="67A535E2"/>
    <w:rsid w:val="67A94E81"/>
    <w:rsid w:val="67AA29A7"/>
    <w:rsid w:val="67AE06E9"/>
    <w:rsid w:val="67AE693B"/>
    <w:rsid w:val="67B0620F"/>
    <w:rsid w:val="67B13D35"/>
    <w:rsid w:val="67B33F51"/>
    <w:rsid w:val="67B47451"/>
    <w:rsid w:val="67BB4BB4"/>
    <w:rsid w:val="67D143D7"/>
    <w:rsid w:val="67D22629"/>
    <w:rsid w:val="67DE437E"/>
    <w:rsid w:val="67E20393"/>
    <w:rsid w:val="67EB36EB"/>
    <w:rsid w:val="67EC1211"/>
    <w:rsid w:val="67F26828"/>
    <w:rsid w:val="67F307F2"/>
    <w:rsid w:val="67FA392E"/>
    <w:rsid w:val="67FD51CC"/>
    <w:rsid w:val="67FE483B"/>
    <w:rsid w:val="67FF2CF3"/>
    <w:rsid w:val="67FF7197"/>
    <w:rsid w:val="680447AD"/>
    <w:rsid w:val="68060525"/>
    <w:rsid w:val="680D18B3"/>
    <w:rsid w:val="680E1188"/>
    <w:rsid w:val="68103152"/>
    <w:rsid w:val="68190258"/>
    <w:rsid w:val="681A6AB6"/>
    <w:rsid w:val="681C38A5"/>
    <w:rsid w:val="681D761D"/>
    <w:rsid w:val="681E586F"/>
    <w:rsid w:val="681F3395"/>
    <w:rsid w:val="68210EBB"/>
    <w:rsid w:val="68273FF7"/>
    <w:rsid w:val="68297D70"/>
    <w:rsid w:val="682D7860"/>
    <w:rsid w:val="68324E76"/>
    <w:rsid w:val="68330BEE"/>
    <w:rsid w:val="68354966"/>
    <w:rsid w:val="68376930"/>
    <w:rsid w:val="683A1F7D"/>
    <w:rsid w:val="683E1A6D"/>
    <w:rsid w:val="683E7CBF"/>
    <w:rsid w:val="68404B21"/>
    <w:rsid w:val="68433E6A"/>
    <w:rsid w:val="68442DFB"/>
    <w:rsid w:val="68466B73"/>
    <w:rsid w:val="68476448"/>
    <w:rsid w:val="684F3C7A"/>
    <w:rsid w:val="685179D9"/>
    <w:rsid w:val="68570D81"/>
    <w:rsid w:val="685748DD"/>
    <w:rsid w:val="685F7C35"/>
    <w:rsid w:val="6864306F"/>
    <w:rsid w:val="68655068"/>
    <w:rsid w:val="68686AEA"/>
    <w:rsid w:val="686976BE"/>
    <w:rsid w:val="68790CF7"/>
    <w:rsid w:val="68792AA5"/>
    <w:rsid w:val="68866F70"/>
    <w:rsid w:val="6891722A"/>
    <w:rsid w:val="68921DB9"/>
    <w:rsid w:val="6894168D"/>
    <w:rsid w:val="68951C23"/>
    <w:rsid w:val="689773CF"/>
    <w:rsid w:val="68AA0ED1"/>
    <w:rsid w:val="68AD274F"/>
    <w:rsid w:val="68AF296B"/>
    <w:rsid w:val="68B44124"/>
    <w:rsid w:val="68BB130F"/>
    <w:rsid w:val="68BE670A"/>
    <w:rsid w:val="68BF2482"/>
    <w:rsid w:val="68C006D4"/>
    <w:rsid w:val="68C1269E"/>
    <w:rsid w:val="68C301C4"/>
    <w:rsid w:val="68C63810"/>
    <w:rsid w:val="68C87588"/>
    <w:rsid w:val="68C877C7"/>
    <w:rsid w:val="68CA50AF"/>
    <w:rsid w:val="68CF073B"/>
    <w:rsid w:val="68D51CA5"/>
    <w:rsid w:val="68D5329E"/>
    <w:rsid w:val="68D73C6F"/>
    <w:rsid w:val="68DC3034"/>
    <w:rsid w:val="68DD3D60"/>
    <w:rsid w:val="68E32614"/>
    <w:rsid w:val="68EA39A3"/>
    <w:rsid w:val="68EB3277"/>
    <w:rsid w:val="68EB77F4"/>
    <w:rsid w:val="68F4037D"/>
    <w:rsid w:val="68FB170C"/>
    <w:rsid w:val="68FE11FC"/>
    <w:rsid w:val="69054339"/>
    <w:rsid w:val="690E3315"/>
    <w:rsid w:val="690F3409"/>
    <w:rsid w:val="691602F4"/>
    <w:rsid w:val="69164798"/>
    <w:rsid w:val="691E53FA"/>
    <w:rsid w:val="69216C99"/>
    <w:rsid w:val="69286279"/>
    <w:rsid w:val="692A1FF1"/>
    <w:rsid w:val="692C5D69"/>
    <w:rsid w:val="6930042C"/>
    <w:rsid w:val="6931512E"/>
    <w:rsid w:val="69344C1E"/>
    <w:rsid w:val="693B41FE"/>
    <w:rsid w:val="693D1D24"/>
    <w:rsid w:val="693E3CEF"/>
    <w:rsid w:val="694806C9"/>
    <w:rsid w:val="695232F6"/>
    <w:rsid w:val="6954706E"/>
    <w:rsid w:val="695D4175"/>
    <w:rsid w:val="695F0FA6"/>
    <w:rsid w:val="695F613F"/>
    <w:rsid w:val="69605A13"/>
    <w:rsid w:val="696279DD"/>
    <w:rsid w:val="69653029"/>
    <w:rsid w:val="696A6892"/>
    <w:rsid w:val="696E6382"/>
    <w:rsid w:val="696F5C56"/>
    <w:rsid w:val="697119CE"/>
    <w:rsid w:val="69787200"/>
    <w:rsid w:val="69794D27"/>
    <w:rsid w:val="697C3968"/>
    <w:rsid w:val="697D52BF"/>
    <w:rsid w:val="697E40EB"/>
    <w:rsid w:val="69821E2D"/>
    <w:rsid w:val="69831701"/>
    <w:rsid w:val="6985191D"/>
    <w:rsid w:val="698626C1"/>
    <w:rsid w:val="698A0CE2"/>
    <w:rsid w:val="698E2580"/>
    <w:rsid w:val="69913E1E"/>
    <w:rsid w:val="69935DE8"/>
    <w:rsid w:val="699A7177"/>
    <w:rsid w:val="699D6C67"/>
    <w:rsid w:val="699E02E9"/>
    <w:rsid w:val="699F478D"/>
    <w:rsid w:val="69A04061"/>
    <w:rsid w:val="69A106E7"/>
    <w:rsid w:val="69A51678"/>
    <w:rsid w:val="69A71894"/>
    <w:rsid w:val="69A9560C"/>
    <w:rsid w:val="69AA4EE0"/>
    <w:rsid w:val="69AB1384"/>
    <w:rsid w:val="69AC0C58"/>
    <w:rsid w:val="69AC6EAA"/>
    <w:rsid w:val="69B100FE"/>
    <w:rsid w:val="69BD2E65"/>
    <w:rsid w:val="69BD4C13"/>
    <w:rsid w:val="69C16403"/>
    <w:rsid w:val="69C41894"/>
    <w:rsid w:val="69C46CC3"/>
    <w:rsid w:val="69C51D1A"/>
    <w:rsid w:val="69C75A92"/>
    <w:rsid w:val="69C97A5C"/>
    <w:rsid w:val="69CA7330"/>
    <w:rsid w:val="69D00DEB"/>
    <w:rsid w:val="69D32689"/>
    <w:rsid w:val="69D4010F"/>
    <w:rsid w:val="69DA7573"/>
    <w:rsid w:val="69DD7064"/>
    <w:rsid w:val="69E020D3"/>
    <w:rsid w:val="69E14DA6"/>
    <w:rsid w:val="69E20B1E"/>
    <w:rsid w:val="69E623BC"/>
    <w:rsid w:val="69E77EE2"/>
    <w:rsid w:val="69E91EAC"/>
    <w:rsid w:val="69F35FE9"/>
    <w:rsid w:val="69F36887"/>
    <w:rsid w:val="69F5536A"/>
    <w:rsid w:val="69F718F5"/>
    <w:rsid w:val="6A022F6E"/>
    <w:rsid w:val="6A040A94"/>
    <w:rsid w:val="6A0960AB"/>
    <w:rsid w:val="6A0B1E23"/>
    <w:rsid w:val="6A0B399C"/>
    <w:rsid w:val="6A0B3BD1"/>
    <w:rsid w:val="6A1011E7"/>
    <w:rsid w:val="6A132A85"/>
    <w:rsid w:val="6A154A4F"/>
    <w:rsid w:val="6A1D1B56"/>
    <w:rsid w:val="6A2133F4"/>
    <w:rsid w:val="6A266C5C"/>
    <w:rsid w:val="6A2904FB"/>
    <w:rsid w:val="6A294057"/>
    <w:rsid w:val="6A2949E1"/>
    <w:rsid w:val="6A296595"/>
    <w:rsid w:val="6A2D7FEB"/>
    <w:rsid w:val="6A2E5B11"/>
    <w:rsid w:val="6A325601"/>
    <w:rsid w:val="6A331379"/>
    <w:rsid w:val="6A376495"/>
    <w:rsid w:val="6A3C1FDC"/>
    <w:rsid w:val="6A3F1ACC"/>
    <w:rsid w:val="6A415844"/>
    <w:rsid w:val="6A486BD3"/>
    <w:rsid w:val="6A4B221F"/>
    <w:rsid w:val="6A4E07D7"/>
    <w:rsid w:val="6A4E7F61"/>
    <w:rsid w:val="6A507835"/>
    <w:rsid w:val="6A5135AE"/>
    <w:rsid w:val="6A566B26"/>
    <w:rsid w:val="6A582B8E"/>
    <w:rsid w:val="6A5B4BFF"/>
    <w:rsid w:val="6A5F5CCB"/>
    <w:rsid w:val="6A641533"/>
    <w:rsid w:val="6A6652AB"/>
    <w:rsid w:val="6A6D488B"/>
    <w:rsid w:val="6A6E5F0E"/>
    <w:rsid w:val="6A7E25F5"/>
    <w:rsid w:val="6A8219B9"/>
    <w:rsid w:val="6A837C0B"/>
    <w:rsid w:val="6A845731"/>
    <w:rsid w:val="6A8614A9"/>
    <w:rsid w:val="6A8676FB"/>
    <w:rsid w:val="6A8B2F63"/>
    <w:rsid w:val="6A8B6AC0"/>
    <w:rsid w:val="6A8C11A0"/>
    <w:rsid w:val="6A8D2838"/>
    <w:rsid w:val="6A8E035E"/>
    <w:rsid w:val="6A9242F2"/>
    <w:rsid w:val="6A9702A1"/>
    <w:rsid w:val="6A97162F"/>
    <w:rsid w:val="6A9A31A7"/>
    <w:rsid w:val="6AAB0F10"/>
    <w:rsid w:val="6AAE27AE"/>
    <w:rsid w:val="6AB97AD1"/>
    <w:rsid w:val="6ABC4ECB"/>
    <w:rsid w:val="6ABE6E95"/>
    <w:rsid w:val="6AC16985"/>
    <w:rsid w:val="6ACE4BFE"/>
    <w:rsid w:val="6AD00976"/>
    <w:rsid w:val="6AD62431"/>
    <w:rsid w:val="6AD850A6"/>
    <w:rsid w:val="6ADA35A3"/>
    <w:rsid w:val="6ADA77F8"/>
    <w:rsid w:val="6ADE3093"/>
    <w:rsid w:val="6ADF57EE"/>
    <w:rsid w:val="6AE6019A"/>
    <w:rsid w:val="6AE61F48"/>
    <w:rsid w:val="6AED32D6"/>
    <w:rsid w:val="6AF02DC7"/>
    <w:rsid w:val="6AF1726A"/>
    <w:rsid w:val="6AF64881"/>
    <w:rsid w:val="6AFC176B"/>
    <w:rsid w:val="6AFE1987"/>
    <w:rsid w:val="6B014FD4"/>
    <w:rsid w:val="6B046C8C"/>
    <w:rsid w:val="6B085754"/>
    <w:rsid w:val="6B0F5943"/>
    <w:rsid w:val="6B120F8F"/>
    <w:rsid w:val="6B122D3D"/>
    <w:rsid w:val="6B1271E1"/>
    <w:rsid w:val="6B160A7F"/>
    <w:rsid w:val="6B165B65"/>
    <w:rsid w:val="6B166CD1"/>
    <w:rsid w:val="6B1940CB"/>
    <w:rsid w:val="6B1C1E0E"/>
    <w:rsid w:val="6B1E16E2"/>
    <w:rsid w:val="6B2111D2"/>
    <w:rsid w:val="6B2313EE"/>
    <w:rsid w:val="6B252A70"/>
    <w:rsid w:val="6B272FFA"/>
    <w:rsid w:val="6B2807B2"/>
    <w:rsid w:val="6B2A452A"/>
    <w:rsid w:val="6B2C2051"/>
    <w:rsid w:val="6B2C212A"/>
    <w:rsid w:val="6B2D4D2E"/>
    <w:rsid w:val="6B32518D"/>
    <w:rsid w:val="6B3727A3"/>
    <w:rsid w:val="6B39651C"/>
    <w:rsid w:val="6B4A0729"/>
    <w:rsid w:val="6B511AB7"/>
    <w:rsid w:val="6B516267"/>
    <w:rsid w:val="6B5204B0"/>
    <w:rsid w:val="6B581098"/>
    <w:rsid w:val="6B5B0B88"/>
    <w:rsid w:val="6B621F16"/>
    <w:rsid w:val="6B657311"/>
    <w:rsid w:val="6B6932A5"/>
    <w:rsid w:val="6B6A4927"/>
    <w:rsid w:val="6B702C80"/>
    <w:rsid w:val="6B735ED1"/>
    <w:rsid w:val="6B7457A6"/>
    <w:rsid w:val="6B777044"/>
    <w:rsid w:val="6B7D28AC"/>
    <w:rsid w:val="6B80239C"/>
    <w:rsid w:val="6B80414A"/>
    <w:rsid w:val="6B827EC3"/>
    <w:rsid w:val="6B8579B3"/>
    <w:rsid w:val="6B8A321B"/>
    <w:rsid w:val="6B8F0831"/>
    <w:rsid w:val="6B9000A1"/>
    <w:rsid w:val="6B9320D0"/>
    <w:rsid w:val="6B9438C9"/>
    <w:rsid w:val="6B96396E"/>
    <w:rsid w:val="6B99520C"/>
    <w:rsid w:val="6B9B2D32"/>
    <w:rsid w:val="6B9C50AA"/>
    <w:rsid w:val="6BA3608B"/>
    <w:rsid w:val="6BA64490"/>
    <w:rsid w:val="6BA75920"/>
    <w:rsid w:val="6BAC13E3"/>
    <w:rsid w:val="6BB65DBE"/>
    <w:rsid w:val="6BBD539F"/>
    <w:rsid w:val="6BC24763"/>
    <w:rsid w:val="6BC26511"/>
    <w:rsid w:val="6BCD1731"/>
    <w:rsid w:val="6BCF4654"/>
    <w:rsid w:val="6BD10E4A"/>
    <w:rsid w:val="6BD3071E"/>
    <w:rsid w:val="6BD55A96"/>
    <w:rsid w:val="6BD61FBC"/>
    <w:rsid w:val="6BE02E3B"/>
    <w:rsid w:val="6BEC17E0"/>
    <w:rsid w:val="6BEC5C84"/>
    <w:rsid w:val="6BF15048"/>
    <w:rsid w:val="6BF568E6"/>
    <w:rsid w:val="6BF84629"/>
    <w:rsid w:val="6BFB1A23"/>
    <w:rsid w:val="6BFB7C75"/>
    <w:rsid w:val="6C0134DD"/>
    <w:rsid w:val="6C0905E4"/>
    <w:rsid w:val="6C1060EB"/>
    <w:rsid w:val="6C1115B5"/>
    <w:rsid w:val="6C133210"/>
    <w:rsid w:val="6C172D01"/>
    <w:rsid w:val="6C1B20C5"/>
    <w:rsid w:val="6C1F3963"/>
    <w:rsid w:val="6C272818"/>
    <w:rsid w:val="6C2B67AC"/>
    <w:rsid w:val="6C2E3BA6"/>
    <w:rsid w:val="6C315445"/>
    <w:rsid w:val="6C375151"/>
    <w:rsid w:val="6C3A079D"/>
    <w:rsid w:val="6C3D203B"/>
    <w:rsid w:val="6C3D64DF"/>
    <w:rsid w:val="6C3F4629"/>
    <w:rsid w:val="6C423AF6"/>
    <w:rsid w:val="6C472EBA"/>
    <w:rsid w:val="6C482A6E"/>
    <w:rsid w:val="6C4B4758"/>
    <w:rsid w:val="6C4B6506"/>
    <w:rsid w:val="6C4C227F"/>
    <w:rsid w:val="6C501D6F"/>
    <w:rsid w:val="6C506213"/>
    <w:rsid w:val="6C515AE7"/>
    <w:rsid w:val="6C553829"/>
    <w:rsid w:val="6C584769"/>
    <w:rsid w:val="6C5E0930"/>
    <w:rsid w:val="6C627CF4"/>
    <w:rsid w:val="6C64581A"/>
    <w:rsid w:val="6C663340"/>
    <w:rsid w:val="6C691082"/>
    <w:rsid w:val="6C6B6BA9"/>
    <w:rsid w:val="6C6D0B73"/>
    <w:rsid w:val="6C7672FB"/>
    <w:rsid w:val="6C7A6DEC"/>
    <w:rsid w:val="6C7D4B2E"/>
    <w:rsid w:val="6C7F4402"/>
    <w:rsid w:val="6C841A18"/>
    <w:rsid w:val="6C8859AD"/>
    <w:rsid w:val="6C891725"/>
    <w:rsid w:val="6C891FB9"/>
    <w:rsid w:val="6C8C6B1F"/>
    <w:rsid w:val="6C904861"/>
    <w:rsid w:val="6C9A123C"/>
    <w:rsid w:val="6C9E1CD6"/>
    <w:rsid w:val="6C9E6F7E"/>
    <w:rsid w:val="6C9E7F96"/>
    <w:rsid w:val="6CA200F0"/>
    <w:rsid w:val="6CA64085"/>
    <w:rsid w:val="6CA65E33"/>
    <w:rsid w:val="6CA67BE1"/>
    <w:rsid w:val="6CA87DFD"/>
    <w:rsid w:val="6CA9147F"/>
    <w:rsid w:val="6CAE4CE7"/>
    <w:rsid w:val="6CB06CB1"/>
    <w:rsid w:val="6CB30C91"/>
    <w:rsid w:val="6CB57E24"/>
    <w:rsid w:val="6CBA7B30"/>
    <w:rsid w:val="6CBD4F2A"/>
    <w:rsid w:val="6CBE13CE"/>
    <w:rsid w:val="6CBF0CA2"/>
    <w:rsid w:val="6CC12C6C"/>
    <w:rsid w:val="6CC16BFF"/>
    <w:rsid w:val="6CD504C6"/>
    <w:rsid w:val="6CD56718"/>
    <w:rsid w:val="6CDA3D2E"/>
    <w:rsid w:val="6CDC3602"/>
    <w:rsid w:val="6CE63F9D"/>
    <w:rsid w:val="6CE93724"/>
    <w:rsid w:val="6CEB1A97"/>
    <w:rsid w:val="6CED1CB3"/>
    <w:rsid w:val="6CED3A62"/>
    <w:rsid w:val="6CEE3336"/>
    <w:rsid w:val="6CEF77DA"/>
    <w:rsid w:val="6CF21078"/>
    <w:rsid w:val="6CF748E0"/>
    <w:rsid w:val="6CFB0F36"/>
    <w:rsid w:val="6CFE1756"/>
    <w:rsid w:val="6D01750D"/>
    <w:rsid w:val="6D056FFD"/>
    <w:rsid w:val="6D061E46"/>
    <w:rsid w:val="6D064B23"/>
    <w:rsid w:val="6D0843F7"/>
    <w:rsid w:val="6D0B213A"/>
    <w:rsid w:val="6D0E5786"/>
    <w:rsid w:val="6D0F39D8"/>
    <w:rsid w:val="6D140FEE"/>
    <w:rsid w:val="6D181E04"/>
    <w:rsid w:val="6D1E1826"/>
    <w:rsid w:val="6D205BE5"/>
    <w:rsid w:val="6D255607"/>
    <w:rsid w:val="6D2A6A64"/>
    <w:rsid w:val="6D2B6338"/>
    <w:rsid w:val="6D2F407A"/>
    <w:rsid w:val="6D2F5E28"/>
    <w:rsid w:val="6D3276C6"/>
    <w:rsid w:val="6D350F65"/>
    <w:rsid w:val="6D3671B7"/>
    <w:rsid w:val="6D372F2F"/>
    <w:rsid w:val="6D396CA7"/>
    <w:rsid w:val="6D415B5B"/>
    <w:rsid w:val="6D437B25"/>
    <w:rsid w:val="6D4573FA"/>
    <w:rsid w:val="6D4F2026"/>
    <w:rsid w:val="6D527D69"/>
    <w:rsid w:val="6D57712D"/>
    <w:rsid w:val="6D5910F7"/>
    <w:rsid w:val="6D5E04BB"/>
    <w:rsid w:val="6D5E495F"/>
    <w:rsid w:val="6D5E577A"/>
    <w:rsid w:val="6D602485"/>
    <w:rsid w:val="6D604233"/>
    <w:rsid w:val="6D673814"/>
    <w:rsid w:val="6D6806FD"/>
    <w:rsid w:val="6D686A3C"/>
    <w:rsid w:val="6D6D59F9"/>
    <w:rsid w:val="6D6D6950"/>
    <w:rsid w:val="6D716441"/>
    <w:rsid w:val="6D737819"/>
    <w:rsid w:val="6D752318"/>
    <w:rsid w:val="6D77332B"/>
    <w:rsid w:val="6D7970A3"/>
    <w:rsid w:val="6D7E290C"/>
    <w:rsid w:val="6D7E46BA"/>
    <w:rsid w:val="6D8343C6"/>
    <w:rsid w:val="6D8C327A"/>
    <w:rsid w:val="6D8C5028"/>
    <w:rsid w:val="6D997745"/>
    <w:rsid w:val="6D9C0FE4"/>
    <w:rsid w:val="6DA11000"/>
    <w:rsid w:val="6DA265FA"/>
    <w:rsid w:val="6DA41993"/>
    <w:rsid w:val="6DA46816"/>
    <w:rsid w:val="6DA560EA"/>
    <w:rsid w:val="6DA93AF5"/>
    <w:rsid w:val="6DB427D1"/>
    <w:rsid w:val="6DB4632D"/>
    <w:rsid w:val="6DBB3B60"/>
    <w:rsid w:val="6DBE0F5A"/>
    <w:rsid w:val="6DBE71AC"/>
    <w:rsid w:val="6DBF7D15"/>
    <w:rsid w:val="6DC01176"/>
    <w:rsid w:val="6DC76061"/>
    <w:rsid w:val="6DC9057F"/>
    <w:rsid w:val="6DCA78FF"/>
    <w:rsid w:val="6DCC7B1B"/>
    <w:rsid w:val="6DCF3167"/>
    <w:rsid w:val="6DD15131"/>
    <w:rsid w:val="6DD72B83"/>
    <w:rsid w:val="6DD8201C"/>
    <w:rsid w:val="6DDB1B0C"/>
    <w:rsid w:val="6DDD5884"/>
    <w:rsid w:val="6DE704B1"/>
    <w:rsid w:val="6DEA3B62"/>
    <w:rsid w:val="6DEF3809"/>
    <w:rsid w:val="6DF57072"/>
    <w:rsid w:val="6DFD5F26"/>
    <w:rsid w:val="6DFF1C9E"/>
    <w:rsid w:val="6DFF3A4C"/>
    <w:rsid w:val="6E05302D"/>
    <w:rsid w:val="6E0648FB"/>
    <w:rsid w:val="6E1F40EF"/>
    <w:rsid w:val="6E26701C"/>
    <w:rsid w:val="6E31378E"/>
    <w:rsid w:val="6E34121C"/>
    <w:rsid w:val="6E364F94"/>
    <w:rsid w:val="6E396833"/>
    <w:rsid w:val="6E407BC1"/>
    <w:rsid w:val="6E4678CD"/>
    <w:rsid w:val="6E49116B"/>
    <w:rsid w:val="6E494CC8"/>
    <w:rsid w:val="6E4A0A40"/>
    <w:rsid w:val="6E4D55D1"/>
    <w:rsid w:val="6E5024FA"/>
    <w:rsid w:val="6E531FEA"/>
    <w:rsid w:val="6E547D6C"/>
    <w:rsid w:val="6E5813AF"/>
    <w:rsid w:val="6E58315D"/>
    <w:rsid w:val="6E600263"/>
    <w:rsid w:val="6E641B01"/>
    <w:rsid w:val="6E645FA5"/>
    <w:rsid w:val="6E6617FD"/>
    <w:rsid w:val="6E661D1D"/>
    <w:rsid w:val="6E6715F2"/>
    <w:rsid w:val="6E68649F"/>
    <w:rsid w:val="6E6A722C"/>
    <w:rsid w:val="6E6C4E5A"/>
    <w:rsid w:val="6E751F61"/>
    <w:rsid w:val="6E7A690E"/>
    <w:rsid w:val="6E7C32EF"/>
    <w:rsid w:val="6E7D2BC3"/>
    <w:rsid w:val="6E881C94"/>
    <w:rsid w:val="6E921756"/>
    <w:rsid w:val="6E9F6FDD"/>
    <w:rsid w:val="6EA021A4"/>
    <w:rsid w:val="6EA32620"/>
    <w:rsid w:val="6EA3282E"/>
    <w:rsid w:val="6EA4236F"/>
    <w:rsid w:val="6EA75E92"/>
    <w:rsid w:val="6EAB3BD4"/>
    <w:rsid w:val="6EB05EBC"/>
    <w:rsid w:val="6EB20ABF"/>
    <w:rsid w:val="6EB72579"/>
    <w:rsid w:val="6EBC36EB"/>
    <w:rsid w:val="6EBF31DC"/>
    <w:rsid w:val="6EC06EAB"/>
    <w:rsid w:val="6EC16F54"/>
    <w:rsid w:val="6ECB1B80"/>
    <w:rsid w:val="6ED07197"/>
    <w:rsid w:val="6EDD3662"/>
    <w:rsid w:val="6EE13152"/>
    <w:rsid w:val="6EE3511C"/>
    <w:rsid w:val="6EE92007"/>
    <w:rsid w:val="6EEB2223"/>
    <w:rsid w:val="6EEE4BC6"/>
    <w:rsid w:val="6EEE586F"/>
    <w:rsid w:val="6EF32E85"/>
    <w:rsid w:val="6EF92794"/>
    <w:rsid w:val="6EF94940"/>
    <w:rsid w:val="6EF966EE"/>
    <w:rsid w:val="6EFB3A80"/>
    <w:rsid w:val="6EFC61DE"/>
    <w:rsid w:val="6EFC7F8C"/>
    <w:rsid w:val="6F086931"/>
    <w:rsid w:val="6F0A08FB"/>
    <w:rsid w:val="6F0A40EE"/>
    <w:rsid w:val="6F141779"/>
    <w:rsid w:val="6F1928EC"/>
    <w:rsid w:val="6F197B82"/>
    <w:rsid w:val="6F1A48B6"/>
    <w:rsid w:val="6F1C062E"/>
    <w:rsid w:val="6F1D10D4"/>
    <w:rsid w:val="6F1D3EF5"/>
    <w:rsid w:val="6F1E7F02"/>
    <w:rsid w:val="6F2179F2"/>
    <w:rsid w:val="6F227F66"/>
    <w:rsid w:val="6F2463D6"/>
    <w:rsid w:val="6F265009"/>
    <w:rsid w:val="6F282B2F"/>
    <w:rsid w:val="6F2B261F"/>
    <w:rsid w:val="6F2D283B"/>
    <w:rsid w:val="6F2D45E9"/>
    <w:rsid w:val="6F305E87"/>
    <w:rsid w:val="6F307C36"/>
    <w:rsid w:val="6F3239C9"/>
    <w:rsid w:val="6F327E52"/>
    <w:rsid w:val="6F345978"/>
    <w:rsid w:val="6F37310B"/>
    <w:rsid w:val="6F3E2352"/>
    <w:rsid w:val="6F412738"/>
    <w:rsid w:val="6F4B1E85"/>
    <w:rsid w:val="6F4D6A39"/>
    <w:rsid w:val="6F51652A"/>
    <w:rsid w:val="6F547DC8"/>
    <w:rsid w:val="6F59718C"/>
    <w:rsid w:val="6F6113B4"/>
    <w:rsid w:val="6F63000B"/>
    <w:rsid w:val="6F6627FF"/>
    <w:rsid w:val="6F6D2C38"/>
    <w:rsid w:val="6F7264A0"/>
    <w:rsid w:val="6F765F90"/>
    <w:rsid w:val="6F7B5355"/>
    <w:rsid w:val="6F7C731F"/>
    <w:rsid w:val="6F7E4E45"/>
    <w:rsid w:val="6F810491"/>
    <w:rsid w:val="6F8166E3"/>
    <w:rsid w:val="6F8306AD"/>
    <w:rsid w:val="6F8A1A3C"/>
    <w:rsid w:val="6F8A37EA"/>
    <w:rsid w:val="6F8F0E00"/>
    <w:rsid w:val="6F914B78"/>
    <w:rsid w:val="6F946416"/>
    <w:rsid w:val="6F9857C1"/>
    <w:rsid w:val="6F9B3AFB"/>
    <w:rsid w:val="6F9B77A5"/>
    <w:rsid w:val="6F9C52CB"/>
    <w:rsid w:val="6FA36659"/>
    <w:rsid w:val="6FAD74D8"/>
    <w:rsid w:val="6FB471A2"/>
    <w:rsid w:val="6FB62831"/>
    <w:rsid w:val="6FB7179E"/>
    <w:rsid w:val="6FB72105"/>
    <w:rsid w:val="6FCA008A"/>
    <w:rsid w:val="6FCC795E"/>
    <w:rsid w:val="6FD35191"/>
    <w:rsid w:val="6FDE231C"/>
    <w:rsid w:val="6FE078AE"/>
    <w:rsid w:val="6FEC6252"/>
    <w:rsid w:val="6FED3D79"/>
    <w:rsid w:val="6FF13869"/>
    <w:rsid w:val="6FF83074"/>
    <w:rsid w:val="6FF84F4E"/>
    <w:rsid w:val="6FF944CB"/>
    <w:rsid w:val="70003AAC"/>
    <w:rsid w:val="7004359C"/>
    <w:rsid w:val="700510C2"/>
    <w:rsid w:val="7007308C"/>
    <w:rsid w:val="70074E3A"/>
    <w:rsid w:val="700A57C0"/>
    <w:rsid w:val="700C41FF"/>
    <w:rsid w:val="70115CB9"/>
    <w:rsid w:val="701337EF"/>
    <w:rsid w:val="70147557"/>
    <w:rsid w:val="701557A9"/>
    <w:rsid w:val="701632CF"/>
    <w:rsid w:val="701A05FA"/>
    <w:rsid w:val="701A2DBF"/>
    <w:rsid w:val="701E3307"/>
    <w:rsid w:val="70202B07"/>
    <w:rsid w:val="7020414E"/>
    <w:rsid w:val="702E0619"/>
    <w:rsid w:val="702E23C7"/>
    <w:rsid w:val="702F7EED"/>
    <w:rsid w:val="70335C2F"/>
    <w:rsid w:val="70343755"/>
    <w:rsid w:val="7038520D"/>
    <w:rsid w:val="703B2D36"/>
    <w:rsid w:val="703D6AAE"/>
    <w:rsid w:val="703E6382"/>
    <w:rsid w:val="70416A5E"/>
    <w:rsid w:val="70422316"/>
    <w:rsid w:val="70433998"/>
    <w:rsid w:val="70457711"/>
    <w:rsid w:val="704A4C6B"/>
    <w:rsid w:val="704B11CB"/>
    <w:rsid w:val="704E4817"/>
    <w:rsid w:val="70512559"/>
    <w:rsid w:val="70514307"/>
    <w:rsid w:val="705931BC"/>
    <w:rsid w:val="705D2CAC"/>
    <w:rsid w:val="706109EE"/>
    <w:rsid w:val="7062682A"/>
    <w:rsid w:val="7064403B"/>
    <w:rsid w:val="706978A3"/>
    <w:rsid w:val="7073427E"/>
    <w:rsid w:val="707D6EAA"/>
    <w:rsid w:val="707E74FD"/>
    <w:rsid w:val="707F2C23"/>
    <w:rsid w:val="707F70C6"/>
    <w:rsid w:val="70814BED"/>
    <w:rsid w:val="70845CCF"/>
    <w:rsid w:val="708F6BDE"/>
    <w:rsid w:val="70912956"/>
    <w:rsid w:val="70926DFA"/>
    <w:rsid w:val="70934920"/>
    <w:rsid w:val="70974410"/>
    <w:rsid w:val="70983CE4"/>
    <w:rsid w:val="709A3F00"/>
    <w:rsid w:val="709A5CAE"/>
    <w:rsid w:val="70A46B2D"/>
    <w:rsid w:val="70A61D4E"/>
    <w:rsid w:val="70AE3508"/>
    <w:rsid w:val="70B07280"/>
    <w:rsid w:val="70B12FF8"/>
    <w:rsid w:val="70B34FC2"/>
    <w:rsid w:val="70B61D11"/>
    <w:rsid w:val="70B84386"/>
    <w:rsid w:val="70BA3C5B"/>
    <w:rsid w:val="70BB79D3"/>
    <w:rsid w:val="70BC5C25"/>
    <w:rsid w:val="70C1323B"/>
    <w:rsid w:val="70C40F7D"/>
    <w:rsid w:val="70C44AD9"/>
    <w:rsid w:val="70C525FF"/>
    <w:rsid w:val="70C53969"/>
    <w:rsid w:val="70C745CA"/>
    <w:rsid w:val="70C918FA"/>
    <w:rsid w:val="70D54F38"/>
    <w:rsid w:val="70D70CB1"/>
    <w:rsid w:val="70DB1E5C"/>
    <w:rsid w:val="70DE203F"/>
    <w:rsid w:val="70E433CD"/>
    <w:rsid w:val="70EB2FC6"/>
    <w:rsid w:val="70EC44C4"/>
    <w:rsid w:val="70EE1B56"/>
    <w:rsid w:val="70F01D72"/>
    <w:rsid w:val="70F51137"/>
    <w:rsid w:val="70F57389"/>
    <w:rsid w:val="70FB534E"/>
    <w:rsid w:val="71031AA6"/>
    <w:rsid w:val="71061247"/>
    <w:rsid w:val="710650F2"/>
    <w:rsid w:val="71066EA0"/>
    <w:rsid w:val="71072C18"/>
    <w:rsid w:val="71092E34"/>
    <w:rsid w:val="710B2708"/>
    <w:rsid w:val="710F5DF3"/>
    <w:rsid w:val="711041C2"/>
    <w:rsid w:val="711315BD"/>
    <w:rsid w:val="7113780F"/>
    <w:rsid w:val="711517D9"/>
    <w:rsid w:val="71186BD3"/>
    <w:rsid w:val="711D243B"/>
    <w:rsid w:val="7121017E"/>
    <w:rsid w:val="71237A52"/>
    <w:rsid w:val="712437CA"/>
    <w:rsid w:val="71251DF0"/>
    <w:rsid w:val="71267542"/>
    <w:rsid w:val="712D267F"/>
    <w:rsid w:val="712E63F7"/>
    <w:rsid w:val="71347EB1"/>
    <w:rsid w:val="713752AB"/>
    <w:rsid w:val="713A123F"/>
    <w:rsid w:val="713E488C"/>
    <w:rsid w:val="7141437C"/>
    <w:rsid w:val="714874B8"/>
    <w:rsid w:val="714B51FB"/>
    <w:rsid w:val="714D4ACF"/>
    <w:rsid w:val="71526589"/>
    <w:rsid w:val="71573B9F"/>
    <w:rsid w:val="715776FB"/>
    <w:rsid w:val="715862D9"/>
    <w:rsid w:val="715943BE"/>
    <w:rsid w:val="71594B6E"/>
    <w:rsid w:val="715A543E"/>
    <w:rsid w:val="715C325B"/>
    <w:rsid w:val="71600CA6"/>
    <w:rsid w:val="71641E18"/>
    <w:rsid w:val="716A5681"/>
    <w:rsid w:val="716B13F9"/>
    <w:rsid w:val="7170773B"/>
    <w:rsid w:val="71722787"/>
    <w:rsid w:val="71752277"/>
    <w:rsid w:val="71777D9E"/>
    <w:rsid w:val="717C1858"/>
    <w:rsid w:val="717D2594"/>
    <w:rsid w:val="717F6C52"/>
    <w:rsid w:val="71810C1C"/>
    <w:rsid w:val="718D136F"/>
    <w:rsid w:val="71924BD7"/>
    <w:rsid w:val="71946BA2"/>
    <w:rsid w:val="71995F66"/>
    <w:rsid w:val="71996AC6"/>
    <w:rsid w:val="719A320A"/>
    <w:rsid w:val="719B7F30"/>
    <w:rsid w:val="71A010A2"/>
    <w:rsid w:val="71A5189D"/>
    <w:rsid w:val="71A52B5D"/>
    <w:rsid w:val="71A768D5"/>
    <w:rsid w:val="71A843FB"/>
    <w:rsid w:val="71AC5D09"/>
    <w:rsid w:val="71B132B0"/>
    <w:rsid w:val="71B15DE8"/>
    <w:rsid w:val="71B27028"/>
    <w:rsid w:val="71B40050"/>
    <w:rsid w:val="71BD4DF4"/>
    <w:rsid w:val="71BE36C8"/>
    <w:rsid w:val="71C07997"/>
    <w:rsid w:val="71C31235"/>
    <w:rsid w:val="71C32FE3"/>
    <w:rsid w:val="71C94B24"/>
    <w:rsid w:val="71CC00E9"/>
    <w:rsid w:val="71D024B3"/>
    <w:rsid w:val="71D13952"/>
    <w:rsid w:val="71D23226"/>
    <w:rsid w:val="71DE1BCB"/>
    <w:rsid w:val="71E01DE7"/>
    <w:rsid w:val="71E03B95"/>
    <w:rsid w:val="71E05943"/>
    <w:rsid w:val="71E2790D"/>
    <w:rsid w:val="71E511AB"/>
    <w:rsid w:val="71E60A7F"/>
    <w:rsid w:val="71E73175"/>
    <w:rsid w:val="71EC078C"/>
    <w:rsid w:val="71ED1E0E"/>
    <w:rsid w:val="71F04E95"/>
    <w:rsid w:val="71F118FE"/>
    <w:rsid w:val="71F47640"/>
    <w:rsid w:val="71F66F14"/>
    <w:rsid w:val="71F900C1"/>
    <w:rsid w:val="71FE1A3D"/>
    <w:rsid w:val="72035AD5"/>
    <w:rsid w:val="720553A9"/>
    <w:rsid w:val="720930EC"/>
    <w:rsid w:val="721101F2"/>
    <w:rsid w:val="7218332F"/>
    <w:rsid w:val="721B293E"/>
    <w:rsid w:val="72231F53"/>
    <w:rsid w:val="72275320"/>
    <w:rsid w:val="722C2936"/>
    <w:rsid w:val="722E5BB6"/>
    <w:rsid w:val="723B701D"/>
    <w:rsid w:val="723F6B0D"/>
    <w:rsid w:val="724063E2"/>
    <w:rsid w:val="72473C14"/>
    <w:rsid w:val="724C4D86"/>
    <w:rsid w:val="72541E8D"/>
    <w:rsid w:val="72565C05"/>
    <w:rsid w:val="72577EC3"/>
    <w:rsid w:val="725A3947"/>
    <w:rsid w:val="725B1ECA"/>
    <w:rsid w:val="725D3437"/>
    <w:rsid w:val="72677E12"/>
    <w:rsid w:val="72767779"/>
    <w:rsid w:val="727D13E4"/>
    <w:rsid w:val="72834E90"/>
    <w:rsid w:val="72874010"/>
    <w:rsid w:val="72895D82"/>
    <w:rsid w:val="72897D89"/>
    <w:rsid w:val="728E35F1"/>
    <w:rsid w:val="72914E8F"/>
    <w:rsid w:val="729329B5"/>
    <w:rsid w:val="72966949"/>
    <w:rsid w:val="729A6DC9"/>
    <w:rsid w:val="729D3834"/>
    <w:rsid w:val="72A5093A"/>
    <w:rsid w:val="72A72905"/>
    <w:rsid w:val="72AC1CC9"/>
    <w:rsid w:val="72AF262E"/>
    <w:rsid w:val="72B56DCF"/>
    <w:rsid w:val="72B64C0E"/>
    <w:rsid w:val="72BC2244"/>
    <w:rsid w:val="72C214EC"/>
    <w:rsid w:val="72C2329A"/>
    <w:rsid w:val="72C45265"/>
    <w:rsid w:val="72C75957"/>
    <w:rsid w:val="72D03C09"/>
    <w:rsid w:val="72D134DE"/>
    <w:rsid w:val="72D80D10"/>
    <w:rsid w:val="72D8486C"/>
    <w:rsid w:val="72DB562A"/>
    <w:rsid w:val="72DD1E82"/>
    <w:rsid w:val="72DF209E"/>
    <w:rsid w:val="72E66F89"/>
    <w:rsid w:val="72E74AAF"/>
    <w:rsid w:val="72ED2FB3"/>
    <w:rsid w:val="72ED47BB"/>
    <w:rsid w:val="72F1592E"/>
    <w:rsid w:val="72F338B1"/>
    <w:rsid w:val="72F5541E"/>
    <w:rsid w:val="72FB055A"/>
    <w:rsid w:val="72FD2105"/>
    <w:rsid w:val="73027B3B"/>
    <w:rsid w:val="73052C83"/>
    <w:rsid w:val="7306587D"/>
    <w:rsid w:val="730833A3"/>
    <w:rsid w:val="73090EC9"/>
    <w:rsid w:val="730C2768"/>
    <w:rsid w:val="730D09BA"/>
    <w:rsid w:val="73104006"/>
    <w:rsid w:val="73125FD0"/>
    <w:rsid w:val="73135A6C"/>
    <w:rsid w:val="7315786E"/>
    <w:rsid w:val="7318735E"/>
    <w:rsid w:val="731A1328"/>
    <w:rsid w:val="731A4E85"/>
    <w:rsid w:val="731C6E4F"/>
    <w:rsid w:val="732113D9"/>
    <w:rsid w:val="73214328"/>
    <w:rsid w:val="73217FC1"/>
    <w:rsid w:val="732D105C"/>
    <w:rsid w:val="73337CF4"/>
    <w:rsid w:val="73353A6C"/>
    <w:rsid w:val="73357F10"/>
    <w:rsid w:val="7343262D"/>
    <w:rsid w:val="73497518"/>
    <w:rsid w:val="734D4A1B"/>
    <w:rsid w:val="734D7008"/>
    <w:rsid w:val="7352461E"/>
    <w:rsid w:val="73552361"/>
    <w:rsid w:val="73565C82"/>
    <w:rsid w:val="73634A7D"/>
    <w:rsid w:val="73642743"/>
    <w:rsid w:val="736600CA"/>
    <w:rsid w:val="7366631C"/>
    <w:rsid w:val="736F3422"/>
    <w:rsid w:val="737940A3"/>
    <w:rsid w:val="737F2F3A"/>
    <w:rsid w:val="73816CB2"/>
    <w:rsid w:val="738A200A"/>
    <w:rsid w:val="738D4520"/>
    <w:rsid w:val="73903399"/>
    <w:rsid w:val="73922C6D"/>
    <w:rsid w:val="73963CEA"/>
    <w:rsid w:val="73974727"/>
    <w:rsid w:val="739764D5"/>
    <w:rsid w:val="73986A62"/>
    <w:rsid w:val="7399049F"/>
    <w:rsid w:val="739C1D3D"/>
    <w:rsid w:val="739E1612"/>
    <w:rsid w:val="739E7864"/>
    <w:rsid w:val="73A3131E"/>
    <w:rsid w:val="73A82490"/>
    <w:rsid w:val="73AB31E3"/>
    <w:rsid w:val="73AB3D2F"/>
    <w:rsid w:val="73AC3233"/>
    <w:rsid w:val="73B01345"/>
    <w:rsid w:val="73B40E35"/>
    <w:rsid w:val="73B70925"/>
    <w:rsid w:val="73BF003D"/>
    <w:rsid w:val="73C117A4"/>
    <w:rsid w:val="73C3376E"/>
    <w:rsid w:val="73C345FE"/>
    <w:rsid w:val="73C51294"/>
    <w:rsid w:val="73C82B32"/>
    <w:rsid w:val="73CA68AB"/>
    <w:rsid w:val="73CD0149"/>
    <w:rsid w:val="73CD779A"/>
    <w:rsid w:val="73D06ECC"/>
    <w:rsid w:val="73D2750D"/>
    <w:rsid w:val="73D72D76"/>
    <w:rsid w:val="73D74B24"/>
    <w:rsid w:val="73DF273C"/>
    <w:rsid w:val="73E01C2A"/>
    <w:rsid w:val="73E07E7C"/>
    <w:rsid w:val="73E334C8"/>
    <w:rsid w:val="73E536E4"/>
    <w:rsid w:val="73ED07EB"/>
    <w:rsid w:val="73EF1E6D"/>
    <w:rsid w:val="73F676A0"/>
    <w:rsid w:val="73F751C6"/>
    <w:rsid w:val="73FC27DC"/>
    <w:rsid w:val="74024296"/>
    <w:rsid w:val="74033B6B"/>
    <w:rsid w:val="74065409"/>
    <w:rsid w:val="7407365B"/>
    <w:rsid w:val="740873D3"/>
    <w:rsid w:val="740C1080"/>
    <w:rsid w:val="74123DAE"/>
    <w:rsid w:val="741C28D9"/>
    <w:rsid w:val="741C4C2C"/>
    <w:rsid w:val="741E09A4"/>
    <w:rsid w:val="7420471D"/>
    <w:rsid w:val="74220495"/>
    <w:rsid w:val="742808AF"/>
    <w:rsid w:val="742A2712"/>
    <w:rsid w:val="742C30BE"/>
    <w:rsid w:val="742F314F"/>
    <w:rsid w:val="74362323"/>
    <w:rsid w:val="74375DA0"/>
    <w:rsid w:val="74381A66"/>
    <w:rsid w:val="74387CB8"/>
    <w:rsid w:val="7439758C"/>
    <w:rsid w:val="74424693"/>
    <w:rsid w:val="744321B9"/>
    <w:rsid w:val="74471CA9"/>
    <w:rsid w:val="744A79EB"/>
    <w:rsid w:val="744B0984"/>
    <w:rsid w:val="744C5512"/>
    <w:rsid w:val="744F4A89"/>
    <w:rsid w:val="74512B28"/>
    <w:rsid w:val="74546174"/>
    <w:rsid w:val="74551BC1"/>
    <w:rsid w:val="74570C2E"/>
    <w:rsid w:val="74582108"/>
    <w:rsid w:val="74604B19"/>
    <w:rsid w:val="746740F9"/>
    <w:rsid w:val="74675EA7"/>
    <w:rsid w:val="746D7236"/>
    <w:rsid w:val="746E16F0"/>
    <w:rsid w:val="746E5488"/>
    <w:rsid w:val="74744A68"/>
    <w:rsid w:val="747607E0"/>
    <w:rsid w:val="747F5545"/>
    <w:rsid w:val="747F58E7"/>
    <w:rsid w:val="74820F33"/>
    <w:rsid w:val="74844CAB"/>
    <w:rsid w:val="748527D2"/>
    <w:rsid w:val="74855BAB"/>
    <w:rsid w:val="748702F8"/>
    <w:rsid w:val="749173C8"/>
    <w:rsid w:val="7493369C"/>
    <w:rsid w:val="74956EB9"/>
    <w:rsid w:val="74962C31"/>
    <w:rsid w:val="74982505"/>
    <w:rsid w:val="749869A9"/>
    <w:rsid w:val="749B0247"/>
    <w:rsid w:val="749B3DA3"/>
    <w:rsid w:val="749B53EC"/>
    <w:rsid w:val="74A013B9"/>
    <w:rsid w:val="74A215D5"/>
    <w:rsid w:val="74A40EAA"/>
    <w:rsid w:val="74A72748"/>
    <w:rsid w:val="74AC3447"/>
    <w:rsid w:val="74B0459B"/>
    <w:rsid w:val="74B308B5"/>
    <w:rsid w:val="74B530B7"/>
    <w:rsid w:val="74B83591"/>
    <w:rsid w:val="74C0380A"/>
    <w:rsid w:val="74C0557B"/>
    <w:rsid w:val="74C432FA"/>
    <w:rsid w:val="74CC6652"/>
    <w:rsid w:val="74CF1C9F"/>
    <w:rsid w:val="74CF694D"/>
    <w:rsid w:val="74D13C69"/>
    <w:rsid w:val="74D229E9"/>
    <w:rsid w:val="74D6302D"/>
    <w:rsid w:val="74D63C4F"/>
    <w:rsid w:val="74DB5909"/>
    <w:rsid w:val="74DD43BC"/>
    <w:rsid w:val="74E120FE"/>
    <w:rsid w:val="74E160FD"/>
    <w:rsid w:val="74EB6AD9"/>
    <w:rsid w:val="74F00593"/>
    <w:rsid w:val="74F02341"/>
    <w:rsid w:val="74F17E67"/>
    <w:rsid w:val="74F31E31"/>
    <w:rsid w:val="74F6543C"/>
    <w:rsid w:val="74FC6F38"/>
    <w:rsid w:val="7500476F"/>
    <w:rsid w:val="750202C6"/>
    <w:rsid w:val="75047B9A"/>
    <w:rsid w:val="75061B64"/>
    <w:rsid w:val="75086ADE"/>
    <w:rsid w:val="750B3FCF"/>
    <w:rsid w:val="750C6AE2"/>
    <w:rsid w:val="75114065"/>
    <w:rsid w:val="751678CE"/>
    <w:rsid w:val="75187E50"/>
    <w:rsid w:val="751B2383"/>
    <w:rsid w:val="751B4EE4"/>
    <w:rsid w:val="751D0C5C"/>
    <w:rsid w:val="751F49D4"/>
    <w:rsid w:val="751F6782"/>
    <w:rsid w:val="752124FA"/>
    <w:rsid w:val="75306BE1"/>
    <w:rsid w:val="7533222E"/>
    <w:rsid w:val="75363ACC"/>
    <w:rsid w:val="75371D1E"/>
    <w:rsid w:val="753C5483"/>
    <w:rsid w:val="753E6BEE"/>
    <w:rsid w:val="7544268D"/>
    <w:rsid w:val="754461E9"/>
    <w:rsid w:val="75461F61"/>
    <w:rsid w:val="754A05A4"/>
    <w:rsid w:val="754B3A1B"/>
    <w:rsid w:val="754B57C9"/>
    <w:rsid w:val="754C32EF"/>
    <w:rsid w:val="754E350B"/>
    <w:rsid w:val="75513F7D"/>
    <w:rsid w:val="75526B58"/>
    <w:rsid w:val="7553467E"/>
    <w:rsid w:val="75556648"/>
    <w:rsid w:val="75596138"/>
    <w:rsid w:val="755C3532"/>
    <w:rsid w:val="755E374E"/>
    <w:rsid w:val="75640639"/>
    <w:rsid w:val="75662603"/>
    <w:rsid w:val="756A714B"/>
    <w:rsid w:val="756D3991"/>
    <w:rsid w:val="756D573F"/>
    <w:rsid w:val="75706FDE"/>
    <w:rsid w:val="7572460C"/>
    <w:rsid w:val="75752A87"/>
    <w:rsid w:val="757545F4"/>
    <w:rsid w:val="757651BB"/>
    <w:rsid w:val="757840E4"/>
    <w:rsid w:val="758111EB"/>
    <w:rsid w:val="75862CA5"/>
    <w:rsid w:val="758633C2"/>
    <w:rsid w:val="75894543"/>
    <w:rsid w:val="758953F8"/>
    <w:rsid w:val="758E56B6"/>
    <w:rsid w:val="7592164A"/>
    <w:rsid w:val="75932CCC"/>
    <w:rsid w:val="75945AE9"/>
    <w:rsid w:val="75952EE8"/>
    <w:rsid w:val="75976C60"/>
    <w:rsid w:val="75993F0F"/>
    <w:rsid w:val="759A405B"/>
    <w:rsid w:val="759F78C3"/>
    <w:rsid w:val="75A90742"/>
    <w:rsid w:val="75AB270C"/>
    <w:rsid w:val="75AE5A32"/>
    <w:rsid w:val="75AF3FAA"/>
    <w:rsid w:val="75B25848"/>
    <w:rsid w:val="75B94E29"/>
    <w:rsid w:val="75BA294F"/>
    <w:rsid w:val="75C14543"/>
    <w:rsid w:val="75C80BC8"/>
    <w:rsid w:val="75CD4430"/>
    <w:rsid w:val="75CE3F28"/>
    <w:rsid w:val="75D25EEA"/>
    <w:rsid w:val="75D94B83"/>
    <w:rsid w:val="75DE03EB"/>
    <w:rsid w:val="75E57877"/>
    <w:rsid w:val="75E63744"/>
    <w:rsid w:val="75E654F2"/>
    <w:rsid w:val="75EA6D90"/>
    <w:rsid w:val="75F93477"/>
    <w:rsid w:val="75FB0C75"/>
    <w:rsid w:val="75FC2F67"/>
    <w:rsid w:val="75FE45EA"/>
    <w:rsid w:val="760360A4"/>
    <w:rsid w:val="760B4F58"/>
    <w:rsid w:val="76157B85"/>
    <w:rsid w:val="76191423"/>
    <w:rsid w:val="761A4FFB"/>
    <w:rsid w:val="761B300D"/>
    <w:rsid w:val="761B3B60"/>
    <w:rsid w:val="762027B2"/>
    <w:rsid w:val="7621652A"/>
    <w:rsid w:val="76263B40"/>
    <w:rsid w:val="762A1882"/>
    <w:rsid w:val="762A53DF"/>
    <w:rsid w:val="76342701"/>
    <w:rsid w:val="7634625D"/>
    <w:rsid w:val="76397D18"/>
    <w:rsid w:val="764010A6"/>
    <w:rsid w:val="76447CCF"/>
    <w:rsid w:val="7645046A"/>
    <w:rsid w:val="76485AF2"/>
    <w:rsid w:val="764B12CC"/>
    <w:rsid w:val="764B35A7"/>
    <w:rsid w:val="764D37C3"/>
    <w:rsid w:val="765125EC"/>
    <w:rsid w:val="765661D4"/>
    <w:rsid w:val="765863F0"/>
    <w:rsid w:val="765B1A3C"/>
    <w:rsid w:val="765D7381"/>
    <w:rsid w:val="766034F6"/>
    <w:rsid w:val="7662726E"/>
    <w:rsid w:val="76630B44"/>
    <w:rsid w:val="7665364D"/>
    <w:rsid w:val="766679D9"/>
    <w:rsid w:val="766703E1"/>
    <w:rsid w:val="76696024"/>
    <w:rsid w:val="766A7ED1"/>
    <w:rsid w:val="766D79C1"/>
    <w:rsid w:val="766F7295"/>
    <w:rsid w:val="7673683F"/>
    <w:rsid w:val="76760624"/>
    <w:rsid w:val="76790114"/>
    <w:rsid w:val="768A0F6F"/>
    <w:rsid w:val="768C42EB"/>
    <w:rsid w:val="7691545E"/>
    <w:rsid w:val="769361BC"/>
    <w:rsid w:val="769907B6"/>
    <w:rsid w:val="76A258BD"/>
    <w:rsid w:val="76A3281D"/>
    <w:rsid w:val="76AA5813"/>
    <w:rsid w:val="76AC673B"/>
    <w:rsid w:val="76B4739E"/>
    <w:rsid w:val="76B61368"/>
    <w:rsid w:val="76C375E1"/>
    <w:rsid w:val="76C415FC"/>
    <w:rsid w:val="76C63CAF"/>
    <w:rsid w:val="76C770D1"/>
    <w:rsid w:val="76C9109B"/>
    <w:rsid w:val="76CA0970"/>
    <w:rsid w:val="76D11CFE"/>
    <w:rsid w:val="76D161A2"/>
    <w:rsid w:val="76D35A76"/>
    <w:rsid w:val="76DD68F5"/>
    <w:rsid w:val="76E063E5"/>
    <w:rsid w:val="76E2215D"/>
    <w:rsid w:val="76E732D0"/>
    <w:rsid w:val="76EE0B02"/>
    <w:rsid w:val="76F3560D"/>
    <w:rsid w:val="76FA74A7"/>
    <w:rsid w:val="77043E82"/>
    <w:rsid w:val="77057BFA"/>
    <w:rsid w:val="770B3462"/>
    <w:rsid w:val="770E4D00"/>
    <w:rsid w:val="77170059"/>
    <w:rsid w:val="772362FE"/>
    <w:rsid w:val="772462D2"/>
    <w:rsid w:val="7726029C"/>
    <w:rsid w:val="77277B70"/>
    <w:rsid w:val="772E0EFE"/>
    <w:rsid w:val="77304C77"/>
    <w:rsid w:val="77316C41"/>
    <w:rsid w:val="77324E93"/>
    <w:rsid w:val="773427EF"/>
    <w:rsid w:val="773A5AF5"/>
    <w:rsid w:val="773A78A3"/>
    <w:rsid w:val="773A7DA2"/>
    <w:rsid w:val="77400C32"/>
    <w:rsid w:val="77470C65"/>
    <w:rsid w:val="774B75E6"/>
    <w:rsid w:val="774C5829"/>
    <w:rsid w:val="774D3A7A"/>
    <w:rsid w:val="774E15A1"/>
    <w:rsid w:val="77521091"/>
    <w:rsid w:val="77550B81"/>
    <w:rsid w:val="775748F9"/>
    <w:rsid w:val="776C1A27"/>
    <w:rsid w:val="777A05E8"/>
    <w:rsid w:val="777C610E"/>
    <w:rsid w:val="777C7EBC"/>
    <w:rsid w:val="777F7E73"/>
    <w:rsid w:val="77813724"/>
    <w:rsid w:val="77852B13"/>
    <w:rsid w:val="778925D9"/>
    <w:rsid w:val="778E33FA"/>
    <w:rsid w:val="77925931"/>
    <w:rsid w:val="77950F86"/>
    <w:rsid w:val="77980A6E"/>
    <w:rsid w:val="779A47E6"/>
    <w:rsid w:val="779B456E"/>
    <w:rsid w:val="779C1118"/>
    <w:rsid w:val="77A45665"/>
    <w:rsid w:val="77A967D7"/>
    <w:rsid w:val="77AF64E3"/>
    <w:rsid w:val="77B238DE"/>
    <w:rsid w:val="77B51620"/>
    <w:rsid w:val="77B75398"/>
    <w:rsid w:val="77B91110"/>
    <w:rsid w:val="77B92EBE"/>
    <w:rsid w:val="77BC475C"/>
    <w:rsid w:val="77C6382D"/>
    <w:rsid w:val="77C67389"/>
    <w:rsid w:val="77D221D2"/>
    <w:rsid w:val="77D47CF8"/>
    <w:rsid w:val="77D71596"/>
    <w:rsid w:val="77DA2E34"/>
    <w:rsid w:val="77DA4BE2"/>
    <w:rsid w:val="77E048EF"/>
    <w:rsid w:val="77EC2986"/>
    <w:rsid w:val="77EE411B"/>
    <w:rsid w:val="77EE708C"/>
    <w:rsid w:val="77F93619"/>
    <w:rsid w:val="77FC724F"/>
    <w:rsid w:val="77FD390B"/>
    <w:rsid w:val="780103C1"/>
    <w:rsid w:val="78016613"/>
    <w:rsid w:val="7808174F"/>
    <w:rsid w:val="78085BF3"/>
    <w:rsid w:val="780A371A"/>
    <w:rsid w:val="780D5D95"/>
    <w:rsid w:val="78104AA8"/>
    <w:rsid w:val="781225CE"/>
    <w:rsid w:val="78146346"/>
    <w:rsid w:val="781520BE"/>
    <w:rsid w:val="78174088"/>
    <w:rsid w:val="7819395D"/>
    <w:rsid w:val="78197E01"/>
    <w:rsid w:val="781A1483"/>
    <w:rsid w:val="781B5927"/>
    <w:rsid w:val="781C169F"/>
    <w:rsid w:val="781C344D"/>
    <w:rsid w:val="781F6A99"/>
    <w:rsid w:val="7826607A"/>
    <w:rsid w:val="78267E28"/>
    <w:rsid w:val="78281DF2"/>
    <w:rsid w:val="782F13D2"/>
    <w:rsid w:val="78362761"/>
    <w:rsid w:val="7836450F"/>
    <w:rsid w:val="783E33C3"/>
    <w:rsid w:val="7840713B"/>
    <w:rsid w:val="78462278"/>
    <w:rsid w:val="784A1D68"/>
    <w:rsid w:val="784C1F84"/>
    <w:rsid w:val="784F55D0"/>
    <w:rsid w:val="78544995"/>
    <w:rsid w:val="78564BB1"/>
    <w:rsid w:val="785C1A9B"/>
    <w:rsid w:val="785E1CB7"/>
    <w:rsid w:val="785E75C1"/>
    <w:rsid w:val="786077DD"/>
    <w:rsid w:val="786170B2"/>
    <w:rsid w:val="7865036D"/>
    <w:rsid w:val="78654DF4"/>
    <w:rsid w:val="78681623"/>
    <w:rsid w:val="786A41B8"/>
    <w:rsid w:val="78782D79"/>
    <w:rsid w:val="7879264D"/>
    <w:rsid w:val="787943FB"/>
    <w:rsid w:val="787B63C5"/>
    <w:rsid w:val="787E1A12"/>
    <w:rsid w:val="787E5EB6"/>
    <w:rsid w:val="788214B7"/>
    <w:rsid w:val="7883527A"/>
    <w:rsid w:val="78874D6A"/>
    <w:rsid w:val="78885A8B"/>
    <w:rsid w:val="78961451"/>
    <w:rsid w:val="78970D25"/>
    <w:rsid w:val="789B6A68"/>
    <w:rsid w:val="789E0306"/>
    <w:rsid w:val="78A27DF6"/>
    <w:rsid w:val="78A47BCB"/>
    <w:rsid w:val="78AB17FC"/>
    <w:rsid w:val="78AC47D1"/>
    <w:rsid w:val="78B418D7"/>
    <w:rsid w:val="78B638A1"/>
    <w:rsid w:val="78BE62B2"/>
    <w:rsid w:val="78C338C8"/>
    <w:rsid w:val="78C355DC"/>
    <w:rsid w:val="78CA10FB"/>
    <w:rsid w:val="78CC4E73"/>
    <w:rsid w:val="78CC6C21"/>
    <w:rsid w:val="78CF226D"/>
    <w:rsid w:val="78CF6711"/>
    <w:rsid w:val="78D15DD7"/>
    <w:rsid w:val="78D41F79"/>
    <w:rsid w:val="78D6184E"/>
    <w:rsid w:val="78D855C6"/>
    <w:rsid w:val="78DE0702"/>
    <w:rsid w:val="78E0447A"/>
    <w:rsid w:val="78E20C1E"/>
    <w:rsid w:val="78E33F6B"/>
    <w:rsid w:val="78E35D19"/>
    <w:rsid w:val="78E73A5B"/>
    <w:rsid w:val="78E81581"/>
    <w:rsid w:val="78E87851"/>
    <w:rsid w:val="78ED46BA"/>
    <w:rsid w:val="78F33792"/>
    <w:rsid w:val="78FF0DA4"/>
    <w:rsid w:val="79004B1D"/>
    <w:rsid w:val="79034494"/>
    <w:rsid w:val="790A14F7"/>
    <w:rsid w:val="790C34C1"/>
    <w:rsid w:val="790F2DBA"/>
    <w:rsid w:val="790F4D60"/>
    <w:rsid w:val="7914420C"/>
    <w:rsid w:val="791E4FA3"/>
    <w:rsid w:val="7924080B"/>
    <w:rsid w:val="79246A5D"/>
    <w:rsid w:val="792627D5"/>
    <w:rsid w:val="7927654D"/>
    <w:rsid w:val="79312F28"/>
    <w:rsid w:val="793622EC"/>
    <w:rsid w:val="793B4AE5"/>
    <w:rsid w:val="793D367B"/>
    <w:rsid w:val="79444A09"/>
    <w:rsid w:val="79464C25"/>
    <w:rsid w:val="79492020"/>
    <w:rsid w:val="794E79D3"/>
    <w:rsid w:val="79515378"/>
    <w:rsid w:val="79532E9E"/>
    <w:rsid w:val="79584959"/>
    <w:rsid w:val="79621333"/>
    <w:rsid w:val="79654980"/>
    <w:rsid w:val="7967694A"/>
    <w:rsid w:val="79692435"/>
    <w:rsid w:val="796B643A"/>
    <w:rsid w:val="797352EE"/>
    <w:rsid w:val="797840E6"/>
    <w:rsid w:val="797C23F5"/>
    <w:rsid w:val="79817A0B"/>
    <w:rsid w:val="79870D9A"/>
    <w:rsid w:val="79872B48"/>
    <w:rsid w:val="798C015E"/>
    <w:rsid w:val="798C63B0"/>
    <w:rsid w:val="798D6A00"/>
    <w:rsid w:val="798F5A3E"/>
    <w:rsid w:val="79907C4E"/>
    <w:rsid w:val="79947DA1"/>
    <w:rsid w:val="799A287B"/>
    <w:rsid w:val="79A138D2"/>
    <w:rsid w:val="79A92498"/>
    <w:rsid w:val="79B0209F"/>
    <w:rsid w:val="79BC4EE7"/>
    <w:rsid w:val="79C30024"/>
    <w:rsid w:val="79C8388C"/>
    <w:rsid w:val="79C8563A"/>
    <w:rsid w:val="79CA058B"/>
    <w:rsid w:val="79CB6ED9"/>
    <w:rsid w:val="79CD2C51"/>
    <w:rsid w:val="79CE0C1F"/>
    <w:rsid w:val="79CE4C1B"/>
    <w:rsid w:val="79D25462"/>
    <w:rsid w:val="79D35D8D"/>
    <w:rsid w:val="79D57D57"/>
    <w:rsid w:val="79D7762B"/>
    <w:rsid w:val="79D833A4"/>
    <w:rsid w:val="79E0058E"/>
    <w:rsid w:val="79E1494E"/>
    <w:rsid w:val="79E16557"/>
    <w:rsid w:val="79E32474"/>
    <w:rsid w:val="79E47F9A"/>
    <w:rsid w:val="79E85CDC"/>
    <w:rsid w:val="79EB1329"/>
    <w:rsid w:val="79ED4B6B"/>
    <w:rsid w:val="79F226B7"/>
    <w:rsid w:val="79F301DD"/>
    <w:rsid w:val="79F857F4"/>
    <w:rsid w:val="79F91C98"/>
    <w:rsid w:val="79FC3536"/>
    <w:rsid w:val="7A0A4AD2"/>
    <w:rsid w:val="7A0E2EA5"/>
    <w:rsid w:val="7A150154"/>
    <w:rsid w:val="7A164643"/>
    <w:rsid w:val="7A17211E"/>
    <w:rsid w:val="7A1940E8"/>
    <w:rsid w:val="7A1A39BC"/>
    <w:rsid w:val="7A1C7734"/>
    <w:rsid w:val="7A1E74C1"/>
    <w:rsid w:val="7A1F7224"/>
    <w:rsid w:val="7A272C63"/>
    <w:rsid w:val="7A28212F"/>
    <w:rsid w:val="7A291E51"/>
    <w:rsid w:val="7A2A00A3"/>
    <w:rsid w:val="7A2B76DE"/>
    <w:rsid w:val="7A2F56B9"/>
    <w:rsid w:val="7A3031E0"/>
    <w:rsid w:val="7A304F8E"/>
    <w:rsid w:val="7A305A3A"/>
    <w:rsid w:val="7A396538"/>
    <w:rsid w:val="7A3E76AA"/>
    <w:rsid w:val="7A4153ED"/>
    <w:rsid w:val="7A431165"/>
    <w:rsid w:val="7A4D1FE3"/>
    <w:rsid w:val="7A506DD9"/>
    <w:rsid w:val="7A5275FA"/>
    <w:rsid w:val="7A5375F6"/>
    <w:rsid w:val="7A543372"/>
    <w:rsid w:val="7A546ECE"/>
    <w:rsid w:val="7A5606D0"/>
    <w:rsid w:val="7A560E98"/>
    <w:rsid w:val="7A5B18E7"/>
    <w:rsid w:val="7A601D17"/>
    <w:rsid w:val="7A635363"/>
    <w:rsid w:val="7A6415AC"/>
    <w:rsid w:val="7A644143"/>
    <w:rsid w:val="7A666C01"/>
    <w:rsid w:val="7A6C06BC"/>
    <w:rsid w:val="7A6D61E2"/>
    <w:rsid w:val="7A6F5AB6"/>
    <w:rsid w:val="7A7B08FF"/>
    <w:rsid w:val="7A7C6425"/>
    <w:rsid w:val="7A861051"/>
    <w:rsid w:val="7A88301C"/>
    <w:rsid w:val="7A8B6668"/>
    <w:rsid w:val="7A8D418E"/>
    <w:rsid w:val="7A992B33"/>
    <w:rsid w:val="7A995229"/>
    <w:rsid w:val="7A9E0E71"/>
    <w:rsid w:val="7AA16381"/>
    <w:rsid w:val="7AAC0129"/>
    <w:rsid w:val="7AAC0AB8"/>
    <w:rsid w:val="7AB12572"/>
    <w:rsid w:val="7AB160CE"/>
    <w:rsid w:val="7AB517E9"/>
    <w:rsid w:val="7AB75342"/>
    <w:rsid w:val="7ABD7C1B"/>
    <w:rsid w:val="7ABE2599"/>
    <w:rsid w:val="7AC04563"/>
    <w:rsid w:val="7AC97DEB"/>
    <w:rsid w:val="7AD112EE"/>
    <w:rsid w:val="7ADC6EC3"/>
    <w:rsid w:val="7ADF1477"/>
    <w:rsid w:val="7AE75F94"/>
    <w:rsid w:val="7AEA338E"/>
    <w:rsid w:val="7AEA5A84"/>
    <w:rsid w:val="7AEA7832"/>
    <w:rsid w:val="7AEC7106"/>
    <w:rsid w:val="7AED2E7F"/>
    <w:rsid w:val="7AEF309B"/>
    <w:rsid w:val="7AF00726"/>
    <w:rsid w:val="7AF1471D"/>
    <w:rsid w:val="7AF21BC8"/>
    <w:rsid w:val="7AF4245F"/>
    <w:rsid w:val="7AFB4D96"/>
    <w:rsid w:val="7AFD57B8"/>
    <w:rsid w:val="7AFE6E3A"/>
    <w:rsid w:val="7B014A54"/>
    <w:rsid w:val="7B022DCE"/>
    <w:rsid w:val="7B02692A"/>
    <w:rsid w:val="7B073F40"/>
    <w:rsid w:val="7B0A1C83"/>
    <w:rsid w:val="7B0F54EB"/>
    <w:rsid w:val="7B187EFC"/>
    <w:rsid w:val="7B191EC6"/>
    <w:rsid w:val="7B1E74DC"/>
    <w:rsid w:val="7B1F2074"/>
    <w:rsid w:val="7B271F47"/>
    <w:rsid w:val="7B29035B"/>
    <w:rsid w:val="7B2A40D3"/>
    <w:rsid w:val="7B2E3BC3"/>
    <w:rsid w:val="7B346CFF"/>
    <w:rsid w:val="7B3B5BF9"/>
    <w:rsid w:val="7B454A69"/>
    <w:rsid w:val="7B466FE2"/>
    <w:rsid w:val="7B4B6523"/>
    <w:rsid w:val="7B4F58E7"/>
    <w:rsid w:val="7B503B39"/>
    <w:rsid w:val="7B5573A2"/>
    <w:rsid w:val="7B590514"/>
    <w:rsid w:val="7B5B603A"/>
    <w:rsid w:val="7B5C13FA"/>
    <w:rsid w:val="7B5F1FCE"/>
    <w:rsid w:val="7B5F5B2A"/>
    <w:rsid w:val="7B615D46"/>
    <w:rsid w:val="7B643141"/>
    <w:rsid w:val="7B6773DA"/>
    <w:rsid w:val="7B690757"/>
    <w:rsid w:val="7B7A0BB6"/>
    <w:rsid w:val="7B7B492E"/>
    <w:rsid w:val="7B7D06A6"/>
    <w:rsid w:val="7B7F7F7B"/>
    <w:rsid w:val="7B803CF3"/>
    <w:rsid w:val="7B8053B0"/>
    <w:rsid w:val="7B810197"/>
    <w:rsid w:val="7B86755B"/>
    <w:rsid w:val="7B871525"/>
    <w:rsid w:val="7B877519"/>
    <w:rsid w:val="7B8D52AB"/>
    <w:rsid w:val="7B8E4662"/>
    <w:rsid w:val="7B95154C"/>
    <w:rsid w:val="7B9A0B28"/>
    <w:rsid w:val="7B9C6D7F"/>
    <w:rsid w:val="7B9D6653"/>
    <w:rsid w:val="7BA07EF1"/>
    <w:rsid w:val="7BA21EBB"/>
    <w:rsid w:val="7BA27BB7"/>
    <w:rsid w:val="7BA479E1"/>
    <w:rsid w:val="7BA75723"/>
    <w:rsid w:val="7BA94FF8"/>
    <w:rsid w:val="7BAA7A07"/>
    <w:rsid w:val="7BAD0F8C"/>
    <w:rsid w:val="7BAE6AB2"/>
    <w:rsid w:val="7BB265A2"/>
    <w:rsid w:val="7BB5399C"/>
    <w:rsid w:val="7BB54052"/>
    <w:rsid w:val="7BB6222A"/>
    <w:rsid w:val="7BB75A6B"/>
    <w:rsid w:val="7BB8348D"/>
    <w:rsid w:val="7BBC2F7D"/>
    <w:rsid w:val="7BBE11A4"/>
    <w:rsid w:val="7BBE73CE"/>
    <w:rsid w:val="7BBF481B"/>
    <w:rsid w:val="7BC462D5"/>
    <w:rsid w:val="7BCA758F"/>
    <w:rsid w:val="7BCE0F02"/>
    <w:rsid w:val="7BD1454E"/>
    <w:rsid w:val="7BD209F2"/>
    <w:rsid w:val="7BD52290"/>
    <w:rsid w:val="7BE129E3"/>
    <w:rsid w:val="7BE2675B"/>
    <w:rsid w:val="7BEB3A70"/>
    <w:rsid w:val="7BEB5A3B"/>
    <w:rsid w:val="7BED75DA"/>
    <w:rsid w:val="7BF00E78"/>
    <w:rsid w:val="7BF85F7F"/>
    <w:rsid w:val="7BFA1CF7"/>
    <w:rsid w:val="7BFC15CB"/>
    <w:rsid w:val="7BFC5A6F"/>
    <w:rsid w:val="7BFE5EA5"/>
    <w:rsid w:val="7BFF730D"/>
    <w:rsid w:val="7C044924"/>
    <w:rsid w:val="7C06526D"/>
    <w:rsid w:val="7C066719"/>
    <w:rsid w:val="7C081B32"/>
    <w:rsid w:val="7C0E57A2"/>
    <w:rsid w:val="7C0E7550"/>
    <w:rsid w:val="7C1032C9"/>
    <w:rsid w:val="7C134B67"/>
    <w:rsid w:val="7C142DB9"/>
    <w:rsid w:val="7C1505A4"/>
    <w:rsid w:val="7C183F2B"/>
    <w:rsid w:val="7C1D1542"/>
    <w:rsid w:val="7C23124E"/>
    <w:rsid w:val="7C262AEC"/>
    <w:rsid w:val="7C2823C0"/>
    <w:rsid w:val="7C286864"/>
    <w:rsid w:val="7C29147F"/>
    <w:rsid w:val="7C31139B"/>
    <w:rsid w:val="7C324FED"/>
    <w:rsid w:val="7C3C40BE"/>
    <w:rsid w:val="7C3E1BE4"/>
    <w:rsid w:val="7C3E2849"/>
    <w:rsid w:val="7C434667"/>
    <w:rsid w:val="7C4371FA"/>
    <w:rsid w:val="7C444D20"/>
    <w:rsid w:val="7C4457BA"/>
    <w:rsid w:val="7C480CB4"/>
    <w:rsid w:val="7C4B60AF"/>
    <w:rsid w:val="7C4D62CB"/>
    <w:rsid w:val="7C4F3DF1"/>
    <w:rsid w:val="7C5733F0"/>
    <w:rsid w:val="7C596A1E"/>
    <w:rsid w:val="7C5B09E8"/>
    <w:rsid w:val="7C5C02BC"/>
    <w:rsid w:val="7C6025F2"/>
    <w:rsid w:val="7C611D76"/>
    <w:rsid w:val="7C6158D2"/>
    <w:rsid w:val="7C635AEE"/>
    <w:rsid w:val="7C66738C"/>
    <w:rsid w:val="7C6C022F"/>
    <w:rsid w:val="7C6D071B"/>
    <w:rsid w:val="7C725D31"/>
    <w:rsid w:val="7C741AA9"/>
    <w:rsid w:val="7C7750F6"/>
    <w:rsid w:val="7C776EA4"/>
    <w:rsid w:val="7C7A6994"/>
    <w:rsid w:val="7C7B7C1A"/>
    <w:rsid w:val="7C7C095E"/>
    <w:rsid w:val="7C7E6484"/>
    <w:rsid w:val="7C7F3FAA"/>
    <w:rsid w:val="7C813A8B"/>
    <w:rsid w:val="7C8141C6"/>
    <w:rsid w:val="7C857813"/>
    <w:rsid w:val="7C873370"/>
    <w:rsid w:val="7C885555"/>
    <w:rsid w:val="7C8E41ED"/>
    <w:rsid w:val="7C923CDE"/>
    <w:rsid w:val="7C9C4B5C"/>
    <w:rsid w:val="7C9E2682"/>
    <w:rsid w:val="7CA13F21"/>
    <w:rsid w:val="7CA35EEB"/>
    <w:rsid w:val="7CA56867"/>
    <w:rsid w:val="7CA83501"/>
    <w:rsid w:val="7CA852AF"/>
    <w:rsid w:val="7CAD0B17"/>
    <w:rsid w:val="7CAF2AE1"/>
    <w:rsid w:val="7CB023B6"/>
    <w:rsid w:val="7CB03D66"/>
    <w:rsid w:val="7CB13FFA"/>
    <w:rsid w:val="7CB73744"/>
    <w:rsid w:val="7CBB1486"/>
    <w:rsid w:val="7CBB3234"/>
    <w:rsid w:val="7CBE7EF2"/>
    <w:rsid w:val="7CBF65FE"/>
    <w:rsid w:val="7CC12815"/>
    <w:rsid w:val="7CC320E9"/>
    <w:rsid w:val="7CC7142E"/>
    <w:rsid w:val="7CC876FF"/>
    <w:rsid w:val="7CC9770C"/>
    <w:rsid w:val="7CCD740C"/>
    <w:rsid w:val="7CCF0A8E"/>
    <w:rsid w:val="7CCF4F32"/>
    <w:rsid w:val="7CD2057E"/>
    <w:rsid w:val="7CD53B7D"/>
    <w:rsid w:val="7CD9190C"/>
    <w:rsid w:val="7CD97B5E"/>
    <w:rsid w:val="7CDC13FD"/>
    <w:rsid w:val="7CE107C1"/>
    <w:rsid w:val="7CE81B50"/>
    <w:rsid w:val="7CE82085"/>
    <w:rsid w:val="7CEC1640"/>
    <w:rsid w:val="7CED360A"/>
    <w:rsid w:val="7CF624BE"/>
    <w:rsid w:val="7CF70E7F"/>
    <w:rsid w:val="7CF90201"/>
    <w:rsid w:val="7CF9261D"/>
    <w:rsid w:val="7CFD1A9F"/>
    <w:rsid w:val="7D00333D"/>
    <w:rsid w:val="7D034BDB"/>
    <w:rsid w:val="7D0746CC"/>
    <w:rsid w:val="7D0968A3"/>
    <w:rsid w:val="7D097714"/>
    <w:rsid w:val="7D0F6E4B"/>
    <w:rsid w:val="7D10599C"/>
    <w:rsid w:val="7D1666BD"/>
    <w:rsid w:val="7D1868D9"/>
    <w:rsid w:val="7D187A42"/>
    <w:rsid w:val="7D1B3CD3"/>
    <w:rsid w:val="7D1D3EEF"/>
    <w:rsid w:val="7D2012E9"/>
    <w:rsid w:val="7D20753B"/>
    <w:rsid w:val="7D2325B2"/>
    <w:rsid w:val="7D256900"/>
    <w:rsid w:val="7D2C5EE0"/>
    <w:rsid w:val="7D2F777E"/>
    <w:rsid w:val="7D3354C1"/>
    <w:rsid w:val="7D366D5F"/>
    <w:rsid w:val="7D376633"/>
    <w:rsid w:val="7D380D29"/>
    <w:rsid w:val="7D384885"/>
    <w:rsid w:val="7D385E84"/>
    <w:rsid w:val="7D3C78EA"/>
    <w:rsid w:val="7D3D1E9B"/>
    <w:rsid w:val="7D3E3E65"/>
    <w:rsid w:val="7D4274B2"/>
    <w:rsid w:val="7D450D50"/>
    <w:rsid w:val="7D474AC8"/>
    <w:rsid w:val="7D4962DC"/>
    <w:rsid w:val="7D4A45B8"/>
    <w:rsid w:val="7D4E5E48"/>
    <w:rsid w:val="7D5B4A17"/>
    <w:rsid w:val="7D5D44CB"/>
    <w:rsid w:val="7D5E2D6C"/>
    <w:rsid w:val="7D5E6F26"/>
    <w:rsid w:val="7D627B54"/>
    <w:rsid w:val="7D6B6AB1"/>
    <w:rsid w:val="7D6E474B"/>
    <w:rsid w:val="7D717D97"/>
    <w:rsid w:val="7D747887"/>
    <w:rsid w:val="7D7A4E9D"/>
    <w:rsid w:val="7D8201F6"/>
    <w:rsid w:val="7D831878"/>
    <w:rsid w:val="7D891584"/>
    <w:rsid w:val="7D893333"/>
    <w:rsid w:val="7D8A0E59"/>
    <w:rsid w:val="7D8F646F"/>
    <w:rsid w:val="7D902913"/>
    <w:rsid w:val="7D940E62"/>
    <w:rsid w:val="7D98438D"/>
    <w:rsid w:val="7D9B71D0"/>
    <w:rsid w:val="7D9C12B8"/>
    <w:rsid w:val="7DA41F1A"/>
    <w:rsid w:val="7DA500D2"/>
    <w:rsid w:val="7DB55ED6"/>
    <w:rsid w:val="7DBB1012"/>
    <w:rsid w:val="7DBC47F0"/>
    <w:rsid w:val="7DC46119"/>
    <w:rsid w:val="7DCB56F9"/>
    <w:rsid w:val="7DD6409E"/>
    <w:rsid w:val="7DD87E16"/>
    <w:rsid w:val="7DDC7906"/>
    <w:rsid w:val="7DDD71DA"/>
    <w:rsid w:val="7DDF11A4"/>
    <w:rsid w:val="7DDF47F5"/>
    <w:rsid w:val="7DE14013"/>
    <w:rsid w:val="7DE41504"/>
    <w:rsid w:val="7DE4538C"/>
    <w:rsid w:val="7DE57188"/>
    <w:rsid w:val="7DE85389"/>
    <w:rsid w:val="7DE94DC5"/>
    <w:rsid w:val="7DE95B7F"/>
    <w:rsid w:val="7DEE3196"/>
    <w:rsid w:val="7DF16C74"/>
    <w:rsid w:val="7DF509C8"/>
    <w:rsid w:val="7DFB58B2"/>
    <w:rsid w:val="7E073B4F"/>
    <w:rsid w:val="7E0A321E"/>
    <w:rsid w:val="7E0D3AAB"/>
    <w:rsid w:val="7E14077C"/>
    <w:rsid w:val="7E1846B6"/>
    <w:rsid w:val="7E1A02DA"/>
    <w:rsid w:val="7E256C9B"/>
    <w:rsid w:val="7E2748F9"/>
    <w:rsid w:val="7E282B4B"/>
    <w:rsid w:val="7E292420"/>
    <w:rsid w:val="7E292808"/>
    <w:rsid w:val="7E2968C4"/>
    <w:rsid w:val="7E2B471A"/>
    <w:rsid w:val="7E2C3CBE"/>
    <w:rsid w:val="7E2E7A36"/>
    <w:rsid w:val="7E2F7CB7"/>
    <w:rsid w:val="7E322B2A"/>
    <w:rsid w:val="7E327526"/>
    <w:rsid w:val="7E3C65F7"/>
    <w:rsid w:val="7E492AC2"/>
    <w:rsid w:val="7E4B683A"/>
    <w:rsid w:val="7E5020A2"/>
    <w:rsid w:val="7E5356EF"/>
    <w:rsid w:val="7E5576B9"/>
    <w:rsid w:val="7E584AB3"/>
    <w:rsid w:val="7E5C27F5"/>
    <w:rsid w:val="7E5E0ABF"/>
    <w:rsid w:val="7E5E2F22"/>
    <w:rsid w:val="7E5E47BF"/>
    <w:rsid w:val="7E6034D3"/>
    <w:rsid w:val="7E6416AA"/>
    <w:rsid w:val="7E644F0B"/>
    <w:rsid w:val="7E6B2A38"/>
    <w:rsid w:val="7E7062A0"/>
    <w:rsid w:val="7E723DC7"/>
    <w:rsid w:val="7E725B75"/>
    <w:rsid w:val="7E7572D1"/>
    <w:rsid w:val="7E775881"/>
    <w:rsid w:val="7E7A711F"/>
    <w:rsid w:val="7E7C1296"/>
    <w:rsid w:val="7E7C2E97"/>
    <w:rsid w:val="7E7C69F3"/>
    <w:rsid w:val="7E7E09BD"/>
    <w:rsid w:val="7E7F4735"/>
    <w:rsid w:val="7E837D82"/>
    <w:rsid w:val="7E861620"/>
    <w:rsid w:val="7E88183C"/>
    <w:rsid w:val="7E8A55B4"/>
    <w:rsid w:val="7E9006F1"/>
    <w:rsid w:val="7E927FC5"/>
    <w:rsid w:val="7E9975A5"/>
    <w:rsid w:val="7E9A50CB"/>
    <w:rsid w:val="7E9B156F"/>
    <w:rsid w:val="7E9E696A"/>
    <w:rsid w:val="7EA4511D"/>
    <w:rsid w:val="7EA45F4A"/>
    <w:rsid w:val="7EAB552B"/>
    <w:rsid w:val="7EAC04BF"/>
    <w:rsid w:val="7EAF6DC9"/>
    <w:rsid w:val="7EB42631"/>
    <w:rsid w:val="7EB50157"/>
    <w:rsid w:val="7EB77A2B"/>
    <w:rsid w:val="7EB97C47"/>
    <w:rsid w:val="7EBA751C"/>
    <w:rsid w:val="7EBC3294"/>
    <w:rsid w:val="7ECB34D7"/>
    <w:rsid w:val="7ECD54A1"/>
    <w:rsid w:val="7ED74B5B"/>
    <w:rsid w:val="7EDC56E4"/>
    <w:rsid w:val="7EDE76AE"/>
    <w:rsid w:val="7EE019E3"/>
    <w:rsid w:val="7EE10F4C"/>
    <w:rsid w:val="7EE22358"/>
    <w:rsid w:val="7EE54599"/>
    <w:rsid w:val="7EEA6053"/>
    <w:rsid w:val="7EED5B43"/>
    <w:rsid w:val="7EF50554"/>
    <w:rsid w:val="7EF649F8"/>
    <w:rsid w:val="7EFB3DBC"/>
    <w:rsid w:val="7EFC7B34"/>
    <w:rsid w:val="7F037115"/>
    <w:rsid w:val="7F066537"/>
    <w:rsid w:val="7F085ADB"/>
    <w:rsid w:val="7F0A2251"/>
    <w:rsid w:val="7F0C5FC9"/>
    <w:rsid w:val="7F0D7F93"/>
    <w:rsid w:val="7F0F5AB9"/>
    <w:rsid w:val="7F182BC0"/>
    <w:rsid w:val="7F231565"/>
    <w:rsid w:val="7F233313"/>
    <w:rsid w:val="7F2350C1"/>
    <w:rsid w:val="7F2751BF"/>
    <w:rsid w:val="7F2C21C7"/>
    <w:rsid w:val="7F2D4191"/>
    <w:rsid w:val="7F2F3A66"/>
    <w:rsid w:val="7F2F7DCA"/>
    <w:rsid w:val="7F345520"/>
    <w:rsid w:val="7F385010"/>
    <w:rsid w:val="7F3948E4"/>
    <w:rsid w:val="7F4219EB"/>
    <w:rsid w:val="7F484B27"/>
    <w:rsid w:val="7F485EDA"/>
    <w:rsid w:val="7F4A08A0"/>
    <w:rsid w:val="7F4A6AF1"/>
    <w:rsid w:val="7F4D213E"/>
    <w:rsid w:val="7F5F07EF"/>
    <w:rsid w:val="7F634D9D"/>
    <w:rsid w:val="7F65392B"/>
    <w:rsid w:val="7F6776A3"/>
    <w:rsid w:val="7F6A0F42"/>
    <w:rsid w:val="7F6F47AA"/>
    <w:rsid w:val="7F703C5B"/>
    <w:rsid w:val="7F7511B7"/>
    <w:rsid w:val="7F795DF9"/>
    <w:rsid w:val="7F7E679B"/>
    <w:rsid w:val="7F871AF4"/>
    <w:rsid w:val="7F8813C8"/>
    <w:rsid w:val="7F8A15E4"/>
    <w:rsid w:val="7F8A5140"/>
    <w:rsid w:val="7F8B6528"/>
    <w:rsid w:val="7F8E4C30"/>
    <w:rsid w:val="7F8F4030"/>
    <w:rsid w:val="7F914720"/>
    <w:rsid w:val="7F9164CE"/>
    <w:rsid w:val="7F945FBF"/>
    <w:rsid w:val="7F9A3E4E"/>
    <w:rsid w:val="7FA36202"/>
    <w:rsid w:val="7FAA7590"/>
    <w:rsid w:val="7FB0104A"/>
    <w:rsid w:val="7FB126CD"/>
    <w:rsid w:val="7FB54F70"/>
    <w:rsid w:val="7FB64187"/>
    <w:rsid w:val="7FB81CAD"/>
    <w:rsid w:val="7FB83A5B"/>
    <w:rsid w:val="7FBA3C77"/>
    <w:rsid w:val="7FBB79EF"/>
    <w:rsid w:val="7FBD3767"/>
    <w:rsid w:val="7FC150A6"/>
    <w:rsid w:val="7FC40652"/>
    <w:rsid w:val="7FC44AF6"/>
    <w:rsid w:val="7FC95C68"/>
    <w:rsid w:val="7FCA378E"/>
    <w:rsid w:val="7FCC39AA"/>
    <w:rsid w:val="7FCE327F"/>
    <w:rsid w:val="7FD30895"/>
    <w:rsid w:val="7FD312D4"/>
    <w:rsid w:val="7FD85280"/>
    <w:rsid w:val="7FE01204"/>
    <w:rsid w:val="7FE705A7"/>
    <w:rsid w:val="7FEC1957"/>
    <w:rsid w:val="7FF01447"/>
    <w:rsid w:val="7FF12D53"/>
    <w:rsid w:val="7FF13411"/>
    <w:rsid w:val="7FF32CE5"/>
    <w:rsid w:val="7FF54479"/>
    <w:rsid w:val="7FF627D5"/>
    <w:rsid w:val="7FF76C79"/>
    <w:rsid w:val="7FF8654D"/>
    <w:rsid w:val="7FFA22C6"/>
    <w:rsid w:val="7FFD1DB6"/>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uiPriority="0" w:name="Body Text 2"/>
    <w:lsdException w:uiPriority="0" w:name="Body Text 3"/>
    <w:lsdException w:qFormat="1"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122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Lines/>
      <w:pageBreakBefore/>
      <w:spacing w:beforeLines="50" w:line="240" w:lineRule="auto"/>
      <w:ind w:firstLine="0" w:firstLineChars="0"/>
      <w:jc w:val="center"/>
      <w:outlineLvl w:val="0"/>
    </w:pPr>
    <w:rPr>
      <w:b/>
      <w:kern w:val="44"/>
      <w:sz w:val="32"/>
    </w:rPr>
  </w:style>
  <w:style w:type="paragraph" w:styleId="4">
    <w:name w:val="heading 2"/>
    <w:basedOn w:val="1"/>
    <w:next w:val="1"/>
    <w:unhideWhenUsed/>
    <w:qFormat/>
    <w:uiPriority w:val="0"/>
    <w:pPr>
      <w:keepLines/>
      <w:spacing w:beforeLines="50" w:afterLines="50" w:line="240" w:lineRule="auto"/>
      <w:ind w:firstLine="0" w:firstLineChars="0"/>
      <w:jc w:val="center"/>
      <w:outlineLvl w:val="1"/>
    </w:pPr>
    <w:rPr>
      <w:b/>
      <w:snapToGrid w:val="0"/>
      <w:spacing w:val="20"/>
      <w:kern w:val="0"/>
      <w:sz w:val="28"/>
    </w:rPr>
  </w:style>
  <w:style w:type="paragraph" w:styleId="5">
    <w:name w:val="heading 3"/>
    <w:basedOn w:val="1"/>
    <w:next w:val="1"/>
    <w:link w:val="30"/>
    <w:unhideWhenUsed/>
    <w:qFormat/>
    <w:uiPriority w:val="0"/>
    <w:pPr>
      <w:keepLines/>
      <w:spacing w:beforeLines="50" w:afterLines="50" w:line="240" w:lineRule="auto"/>
      <w:ind w:firstLine="0" w:firstLineChars="0"/>
      <w:outlineLvl w:val="2"/>
    </w:pPr>
    <w:rPr>
      <w:b/>
    </w:rPr>
  </w:style>
  <w:style w:type="paragraph" w:styleId="6">
    <w:name w:val="heading 4"/>
    <w:basedOn w:val="1"/>
    <w:next w:val="1"/>
    <w:unhideWhenUsed/>
    <w:qFormat/>
    <w:uiPriority w:val="0"/>
    <w:pPr>
      <w:keepNext/>
      <w:keepLines/>
      <w:spacing w:beforeLines="50" w:afterLines="50" w:line="240" w:lineRule="auto"/>
      <w:outlineLvl w:val="3"/>
    </w:pPr>
    <w:rPr>
      <w:b/>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51"/>
    <w:semiHidden/>
    <w:unhideWhenUsed/>
    <w:qFormat/>
    <w:uiPriority w:val="0"/>
    <w:pPr>
      <w:spacing w:after="120" w:line="480" w:lineRule="auto"/>
      <w:ind w:left="420" w:leftChars="200"/>
    </w:pPr>
  </w:style>
  <w:style w:type="paragraph" w:styleId="7">
    <w:name w:val="Note Heading"/>
    <w:basedOn w:val="1"/>
    <w:next w:val="1"/>
    <w:qFormat/>
    <w:uiPriority w:val="0"/>
    <w:pPr>
      <w:jc w:val="center"/>
    </w:pPr>
    <w:rPr>
      <w:szCs w:val="20"/>
    </w:rPr>
  </w:style>
  <w:style w:type="paragraph" w:styleId="8">
    <w:name w:val="Normal Indent"/>
    <w:basedOn w:val="1"/>
    <w:next w:val="1"/>
    <w:qFormat/>
    <w:uiPriority w:val="0"/>
    <w:pPr>
      <w:ind w:firstLine="420"/>
    </w:pPr>
  </w:style>
  <w:style w:type="paragraph" w:styleId="9">
    <w:name w:val="Document Map"/>
    <w:basedOn w:val="1"/>
    <w:link w:val="54"/>
    <w:semiHidden/>
    <w:unhideWhenUsed/>
    <w:qFormat/>
    <w:uiPriority w:val="0"/>
    <w:rPr>
      <w:rFonts w:ascii="宋体"/>
      <w:sz w:val="18"/>
      <w:szCs w:val="18"/>
    </w:rPr>
  </w:style>
  <w:style w:type="paragraph" w:styleId="10">
    <w:name w:val="annotation text"/>
    <w:basedOn w:val="1"/>
    <w:link w:val="40"/>
    <w:qFormat/>
    <w:uiPriority w:val="0"/>
    <w:pPr>
      <w:jc w:val="left"/>
    </w:pPr>
  </w:style>
  <w:style w:type="paragraph" w:styleId="11">
    <w:name w:val="Body Text"/>
    <w:basedOn w:val="1"/>
    <w:next w:val="12"/>
    <w:qFormat/>
    <w:uiPriority w:val="1"/>
    <w:rPr>
      <w:rFonts w:ascii="宋体" w:hAnsi="宋体" w:cs="宋体"/>
      <w:lang w:val="zh-CN" w:bidi="zh-CN"/>
    </w:rPr>
  </w:style>
  <w:style w:type="paragraph" w:customStyle="1" w:styleId="12">
    <w:name w:val="Default"/>
    <w:next w:val="13"/>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styleId="13">
    <w:name w:val="Body Text First Indent 2"/>
    <w:basedOn w:val="14"/>
    <w:qFormat/>
    <w:uiPriority w:val="0"/>
    <w:pPr>
      <w:tabs>
        <w:tab w:val="left" w:pos="7500"/>
      </w:tabs>
      <w:ind w:firstLine="420"/>
    </w:pPr>
  </w:style>
  <w:style w:type="paragraph" w:styleId="14">
    <w:name w:val="Body Text Indent"/>
    <w:basedOn w:val="1"/>
    <w:next w:val="15"/>
    <w:link w:val="50"/>
    <w:qFormat/>
    <w:uiPriority w:val="0"/>
    <w:pPr>
      <w:ind w:firstLine="540"/>
    </w:pPr>
    <w:rPr>
      <w:sz w:val="28"/>
    </w:rPr>
  </w:style>
  <w:style w:type="paragraph" w:styleId="15">
    <w:name w:val="header"/>
    <w:basedOn w:val="1"/>
    <w:next w:val="1"/>
    <w:link w:val="49"/>
    <w:qFormat/>
    <w:uiPriority w:val="0"/>
    <w:pPr>
      <w:pBdr>
        <w:bottom w:val="single" w:color="auto" w:sz="6" w:space="1"/>
      </w:pBdr>
      <w:tabs>
        <w:tab w:val="center" w:pos="4153"/>
        <w:tab w:val="right" w:pos="8306"/>
      </w:tabs>
      <w:spacing w:line="240" w:lineRule="auto"/>
      <w:jc w:val="center"/>
    </w:pPr>
    <w:rPr>
      <w:sz w:val="18"/>
      <w:szCs w:val="18"/>
    </w:rPr>
  </w:style>
  <w:style w:type="paragraph" w:styleId="16">
    <w:name w:val="Block Text"/>
    <w:basedOn w:val="1"/>
    <w:qFormat/>
    <w:uiPriority w:val="0"/>
    <w:pPr>
      <w:spacing w:line="500" w:lineRule="exact"/>
      <w:ind w:left="-105" w:leftChars="-50" w:right="-105" w:rightChars="-50"/>
      <w:jc w:val="center"/>
    </w:pPr>
    <w:rPr>
      <w:rFonts w:eastAsia="仿宋_GB2312"/>
      <w:sz w:val="28"/>
    </w:rPr>
  </w:style>
  <w:style w:type="paragraph" w:styleId="17">
    <w:name w:val="Balloon Text"/>
    <w:basedOn w:val="1"/>
    <w:link w:val="39"/>
    <w:qFormat/>
    <w:uiPriority w:val="0"/>
    <w:pPr>
      <w:spacing w:line="240" w:lineRule="auto"/>
    </w:pPr>
    <w:rPr>
      <w:sz w:val="18"/>
      <w:szCs w:val="18"/>
    </w:rPr>
  </w:style>
  <w:style w:type="paragraph" w:styleId="18">
    <w:name w:val="footer"/>
    <w:basedOn w:val="1"/>
    <w:next w:val="1"/>
    <w:qFormat/>
    <w:uiPriority w:val="99"/>
    <w:pPr>
      <w:tabs>
        <w:tab w:val="center" w:pos="4153"/>
        <w:tab w:val="right" w:pos="8306"/>
      </w:tabs>
      <w:jc w:val="left"/>
    </w:pPr>
    <w:rPr>
      <w:kern w:val="0"/>
      <w:sz w:val="18"/>
      <w:szCs w:val="20"/>
    </w:rPr>
  </w:style>
  <w:style w:type="paragraph" w:styleId="19">
    <w:name w:val="toc 1"/>
    <w:basedOn w:val="1"/>
    <w:next w:val="1"/>
    <w:qFormat/>
    <w:uiPriority w:val="0"/>
    <w:pPr>
      <w:spacing w:before="120" w:after="120"/>
      <w:jc w:val="left"/>
    </w:pPr>
    <w:rPr>
      <w:b/>
      <w:bCs/>
      <w:caps/>
    </w:rPr>
  </w:style>
  <w:style w:type="paragraph" w:styleId="20">
    <w:name w:val="Normal (Web)"/>
    <w:basedOn w:val="1"/>
    <w:qFormat/>
    <w:uiPriority w:val="99"/>
    <w:pPr>
      <w:widowControl/>
      <w:spacing w:before="100" w:beforeAutospacing="1" w:after="100" w:afterAutospacing="1"/>
      <w:jc w:val="left"/>
    </w:pPr>
    <w:rPr>
      <w:rFonts w:ascii="宋体" w:hAnsi="宋体"/>
      <w:kern w:val="0"/>
      <w:szCs w:val="20"/>
    </w:rPr>
  </w:style>
  <w:style w:type="paragraph" w:styleId="21">
    <w:name w:val="annotation subject"/>
    <w:basedOn w:val="10"/>
    <w:next w:val="10"/>
    <w:link w:val="41"/>
    <w:qFormat/>
    <w:uiPriority w:val="0"/>
    <w:rPr>
      <w:b/>
      <w:bCs/>
    </w:rPr>
  </w:style>
  <w:style w:type="paragraph" w:styleId="22">
    <w:name w:val="Body Text First Indent"/>
    <w:basedOn w:val="11"/>
    <w:next w:val="23"/>
    <w:qFormat/>
    <w:uiPriority w:val="99"/>
    <w:pPr>
      <w:spacing w:after="120"/>
      <w:ind w:firstLine="420" w:firstLineChars="100"/>
    </w:pPr>
    <w:rPr>
      <w:rFonts w:ascii="Times New Roman"/>
      <w:szCs w:val="20"/>
    </w:rPr>
  </w:style>
  <w:style w:type="paragraph" w:customStyle="1" w:styleId="23">
    <w:name w:val="样式 正文首行缩进 + 首行缩进:  2 字符1"/>
    <w:basedOn w:val="22"/>
    <w:qFormat/>
    <w:uiPriority w:val="0"/>
    <w:pPr>
      <w:spacing w:after="0"/>
      <w:ind w:firstLine="48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annotation reference"/>
    <w:basedOn w:val="26"/>
    <w:qFormat/>
    <w:uiPriority w:val="0"/>
    <w:rPr>
      <w:sz w:val="21"/>
    </w:rPr>
  </w:style>
  <w:style w:type="paragraph" w:customStyle="1" w:styleId="28">
    <w:name w:val="0正文"/>
    <w:basedOn w:val="14"/>
    <w:next w:val="15"/>
    <w:link w:val="42"/>
    <w:unhideWhenUsed/>
    <w:qFormat/>
    <w:uiPriority w:val="0"/>
    <w:pPr>
      <w:ind w:firstLine="720"/>
    </w:pPr>
    <w:rPr>
      <w:sz w:val="24"/>
      <w:szCs w:val="22"/>
    </w:rPr>
  </w:style>
  <w:style w:type="paragraph" w:customStyle="1" w:styleId="29">
    <w:name w:val="样式5"/>
    <w:basedOn w:val="8"/>
    <w:qFormat/>
    <w:uiPriority w:val="0"/>
    <w:pPr>
      <w:ind w:firstLine="480"/>
    </w:pPr>
    <w:rPr>
      <w:rFonts w:eastAsia="仿宋_GB2312"/>
    </w:rPr>
  </w:style>
  <w:style w:type="character" w:customStyle="1" w:styleId="30">
    <w:name w:val="标题 3 Char"/>
    <w:basedOn w:val="26"/>
    <w:link w:val="5"/>
    <w:qFormat/>
    <w:uiPriority w:val="0"/>
    <w:rPr>
      <w:b/>
      <w:kern w:val="2"/>
      <w:sz w:val="24"/>
      <w:szCs w:val="24"/>
    </w:rPr>
  </w:style>
  <w:style w:type="character" w:customStyle="1" w:styleId="31">
    <w:name w:val="标题 1 Char"/>
    <w:link w:val="3"/>
    <w:qFormat/>
    <w:uiPriority w:val="0"/>
    <w:rPr>
      <w:rFonts w:ascii="Times New Roman" w:hAnsi="Times New Roman" w:eastAsia="宋体"/>
      <w:b/>
      <w:kern w:val="44"/>
      <w:sz w:val="32"/>
    </w:rPr>
  </w:style>
  <w:style w:type="paragraph" w:customStyle="1" w:styleId="32">
    <w:name w:val="表文字"/>
    <w:qFormat/>
    <w:uiPriority w:val="0"/>
    <w:pPr>
      <w:spacing w:beforeLines="20" w:afterLines="20"/>
      <w:jc w:val="center"/>
    </w:pPr>
    <w:rPr>
      <w:rFonts w:ascii="Times New Roman" w:hAnsi="Times New Roman" w:eastAsia="宋体" w:cs="Times New Roman"/>
      <w:sz w:val="21"/>
      <w:szCs w:val="22"/>
      <w:lang w:val="en-US" w:eastAsia="zh-CN" w:bidi="ar-SA"/>
    </w:rPr>
  </w:style>
  <w:style w:type="paragraph" w:customStyle="1" w:styleId="33">
    <w:name w:val="图表标题用字体"/>
    <w:basedOn w:val="1"/>
    <w:next w:val="1"/>
    <w:link w:val="36"/>
    <w:qFormat/>
    <w:uiPriority w:val="0"/>
    <w:pPr>
      <w:spacing w:beforeLines="50" w:line="240" w:lineRule="auto"/>
      <w:ind w:firstLine="0" w:firstLineChars="0"/>
      <w:jc w:val="center"/>
    </w:pPr>
    <w:rPr>
      <w:rFonts w:hint="eastAsia"/>
      <w:b/>
      <w:kern w:val="0"/>
    </w:rPr>
  </w:style>
  <w:style w:type="paragraph" w:customStyle="1" w:styleId="34">
    <w:name w:val="特殊的表字"/>
    <w:basedOn w:val="32"/>
    <w:qFormat/>
    <w:uiPriority w:val="0"/>
    <w:rPr>
      <w:sz w:val="24"/>
    </w:rPr>
  </w:style>
  <w:style w:type="paragraph" w:customStyle="1" w:styleId="35">
    <w:name w:val="图图图图图头"/>
    <w:basedOn w:val="33"/>
    <w:qFormat/>
    <w:uiPriority w:val="0"/>
    <w:pPr>
      <w:spacing w:afterLines="50"/>
    </w:pPr>
  </w:style>
  <w:style w:type="character" w:customStyle="1" w:styleId="36">
    <w:name w:val="图表标题用字体 Char"/>
    <w:link w:val="33"/>
    <w:qFormat/>
    <w:uiPriority w:val="0"/>
    <w:rPr>
      <w:rFonts w:hint="eastAsia" w:ascii="Times New Roman" w:hAnsi="Times New Roman"/>
      <w:b/>
      <w:kern w:val="0"/>
    </w:rPr>
  </w:style>
  <w:style w:type="paragraph" w:customStyle="1" w:styleId="37">
    <w:name w:val="表头"/>
    <w:basedOn w:val="1"/>
    <w:next w:val="1"/>
    <w:qFormat/>
    <w:uiPriority w:val="0"/>
    <w:pPr>
      <w:spacing w:beforeLines="50" w:line="240" w:lineRule="auto"/>
      <w:ind w:firstLine="0" w:firstLineChars="0"/>
      <w:jc w:val="center"/>
    </w:pPr>
    <w:rPr>
      <w:rFonts w:hint="eastAsia"/>
      <w:b/>
      <w:kern w:val="0"/>
    </w:rPr>
  </w:style>
  <w:style w:type="paragraph" w:customStyle="1" w:styleId="38">
    <w:name w:val="表格头"/>
    <w:qFormat/>
    <w:uiPriority w:val="0"/>
    <w:rPr>
      <w:rFonts w:ascii="Calibri" w:hAnsi="Calibri" w:eastAsia="宋体" w:cs="Times New Roman"/>
      <w:b/>
      <w:kern w:val="2"/>
      <w:sz w:val="21"/>
      <w:szCs w:val="21"/>
      <w:lang w:val="en-US" w:eastAsia="zh-CN" w:bidi="ar-SA"/>
    </w:rPr>
  </w:style>
  <w:style w:type="character" w:customStyle="1" w:styleId="39">
    <w:name w:val="批注框文本 Char"/>
    <w:basedOn w:val="26"/>
    <w:link w:val="17"/>
    <w:qFormat/>
    <w:uiPriority w:val="0"/>
    <w:rPr>
      <w:kern w:val="2"/>
      <w:sz w:val="18"/>
      <w:szCs w:val="18"/>
    </w:rPr>
  </w:style>
  <w:style w:type="character" w:customStyle="1" w:styleId="40">
    <w:name w:val="批注文字 Char"/>
    <w:basedOn w:val="26"/>
    <w:link w:val="10"/>
    <w:qFormat/>
    <w:uiPriority w:val="0"/>
    <w:rPr>
      <w:kern w:val="2"/>
      <w:sz w:val="24"/>
      <w:szCs w:val="24"/>
    </w:rPr>
  </w:style>
  <w:style w:type="character" w:customStyle="1" w:styleId="41">
    <w:name w:val="批注主题 Char"/>
    <w:basedOn w:val="40"/>
    <w:link w:val="21"/>
    <w:qFormat/>
    <w:uiPriority w:val="0"/>
    <w:rPr>
      <w:b/>
      <w:bCs/>
      <w:kern w:val="2"/>
      <w:sz w:val="24"/>
      <w:szCs w:val="24"/>
    </w:rPr>
  </w:style>
  <w:style w:type="character" w:customStyle="1" w:styleId="42">
    <w:name w:val="0正文 Char"/>
    <w:link w:val="28"/>
    <w:qFormat/>
    <w:uiPriority w:val="0"/>
    <w:rPr>
      <w:kern w:val="2"/>
      <w:sz w:val="24"/>
      <w:szCs w:val="22"/>
    </w:rPr>
  </w:style>
  <w:style w:type="character" w:customStyle="1" w:styleId="43">
    <w:name w:val="页眉 Char"/>
    <w:basedOn w:val="26"/>
    <w:qFormat/>
    <w:uiPriority w:val="0"/>
    <w:rPr>
      <w:kern w:val="2"/>
      <w:sz w:val="18"/>
      <w:szCs w:val="18"/>
    </w:rPr>
  </w:style>
  <w:style w:type="character" w:customStyle="1" w:styleId="44">
    <w:name w:val="fontstyle01"/>
    <w:basedOn w:val="26"/>
    <w:qFormat/>
    <w:uiPriority w:val="0"/>
    <w:rPr>
      <w:rFonts w:ascii="宋体" w:hAnsi="宋体" w:eastAsia="宋体" w:cs="宋体"/>
      <w:color w:val="000000"/>
      <w:sz w:val="24"/>
      <w:szCs w:val="24"/>
    </w:rPr>
  </w:style>
  <w:style w:type="paragraph" w:styleId="45">
    <w:name w:val="List Paragraph"/>
    <w:basedOn w:val="1"/>
    <w:qFormat/>
    <w:uiPriority w:val="34"/>
    <w:pPr>
      <w:adjustRightInd/>
      <w:snapToGrid/>
      <w:spacing w:line="240" w:lineRule="auto"/>
      <w:ind w:firstLine="420"/>
    </w:pPr>
    <w:rPr>
      <w:rFonts w:asciiTheme="minorHAnsi" w:hAnsiTheme="minorHAnsi" w:eastAsiaTheme="minorEastAsia" w:cstheme="minorBidi"/>
      <w:sz w:val="21"/>
      <w:szCs w:val="22"/>
    </w:rPr>
  </w:style>
  <w:style w:type="paragraph" w:customStyle="1" w:styleId="46">
    <w:name w:val="xl27"/>
    <w:basedOn w:val="1"/>
    <w:qFormat/>
    <w:uiPriority w:val="0"/>
    <w:pPr>
      <w:widowControl/>
      <w:pBdr>
        <w:bottom w:val="single" w:color="auto" w:sz="4" w:space="0"/>
        <w:right w:val="single" w:color="auto" w:sz="4" w:space="0"/>
      </w:pBdr>
      <w:spacing w:before="100" w:after="100"/>
      <w:jc w:val="center"/>
      <w:textAlignment w:val="center"/>
    </w:pPr>
    <w:rPr>
      <w:rFonts w:ascii="Arial" w:hAnsi="Arial"/>
      <w:kern w:val="0"/>
      <w:szCs w:val="20"/>
    </w:rPr>
  </w:style>
  <w:style w:type="paragraph" w:customStyle="1" w:styleId="47">
    <w:name w:val="表内容"/>
    <w:basedOn w:val="1"/>
    <w:qFormat/>
    <w:uiPriority w:val="0"/>
    <w:pPr>
      <w:spacing w:line="240" w:lineRule="exact"/>
      <w:jc w:val="center"/>
    </w:pPr>
    <w:rPr>
      <w:rFonts w:ascii="宋体"/>
    </w:rPr>
  </w:style>
  <w:style w:type="paragraph" w:customStyle="1" w:styleId="48">
    <w:name w:val="表格文本"/>
    <w:basedOn w:val="1"/>
    <w:qFormat/>
    <w:uiPriority w:val="0"/>
    <w:pPr>
      <w:jc w:val="center"/>
    </w:pPr>
    <w:rPr>
      <w:szCs w:val="22"/>
    </w:rPr>
  </w:style>
  <w:style w:type="character" w:customStyle="1" w:styleId="49">
    <w:name w:val="页眉 Char1"/>
    <w:basedOn w:val="26"/>
    <w:link w:val="15"/>
    <w:qFormat/>
    <w:uiPriority w:val="0"/>
    <w:rPr>
      <w:kern w:val="2"/>
      <w:sz w:val="18"/>
      <w:szCs w:val="18"/>
    </w:rPr>
  </w:style>
  <w:style w:type="character" w:customStyle="1" w:styleId="50">
    <w:name w:val="正文文本缩进 Char"/>
    <w:basedOn w:val="26"/>
    <w:link w:val="14"/>
    <w:qFormat/>
    <w:uiPriority w:val="0"/>
    <w:rPr>
      <w:kern w:val="2"/>
      <w:sz w:val="24"/>
      <w:szCs w:val="24"/>
    </w:rPr>
  </w:style>
  <w:style w:type="character" w:customStyle="1" w:styleId="51">
    <w:name w:val="正文文本缩进 2 Char"/>
    <w:basedOn w:val="26"/>
    <w:link w:val="2"/>
    <w:qFormat/>
    <w:uiPriority w:val="0"/>
    <w:rPr>
      <w:kern w:val="2"/>
      <w:sz w:val="24"/>
      <w:szCs w:val="24"/>
    </w:rPr>
  </w:style>
  <w:style w:type="paragraph" w:customStyle="1" w:styleId="52">
    <w:name w:val="报告正文"/>
    <w:basedOn w:val="1"/>
    <w:next w:val="1"/>
    <w:qFormat/>
    <w:uiPriority w:val="0"/>
    <w:pPr>
      <w:widowControl/>
      <w:adjustRightInd/>
      <w:ind w:firstLine="200"/>
    </w:pPr>
    <w:rPr>
      <w:rFonts w:ascii="Cambria Math" w:hAnsi="宋体" w:eastAsia="Cambria Math" w:cs="宋体"/>
      <w:sz w:val="28"/>
    </w:rPr>
  </w:style>
  <w:style w:type="paragraph" w:customStyle="1" w:styleId="53">
    <w:name w:val="表格文字"/>
    <w:basedOn w:val="11"/>
    <w:qFormat/>
    <w:uiPriority w:val="0"/>
    <w:pPr>
      <w:snapToGrid/>
      <w:spacing w:line="240" w:lineRule="auto"/>
      <w:jc w:val="center"/>
    </w:pPr>
  </w:style>
  <w:style w:type="character" w:customStyle="1" w:styleId="54">
    <w:name w:val="文档结构图 Char"/>
    <w:basedOn w:val="26"/>
    <w:link w:val="9"/>
    <w:semiHidden/>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wmf"/><Relationship Id="rId21" Type="http://schemas.openxmlformats.org/officeDocument/2006/relationships/oleObject" Target="embeddings/oleObject3.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4.wmf"/><Relationship Id="rId17" Type="http://schemas.openxmlformats.org/officeDocument/2006/relationships/oleObject" Target="embeddings/oleObject1.bin"/><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442</Words>
  <Characters>525</Characters>
  <Lines>247</Lines>
  <Paragraphs>69</Paragraphs>
  <TotalTime>2</TotalTime>
  <ScaleCrop>false</ScaleCrop>
  <LinksUpToDate>false</LinksUpToDate>
  <CharactersWithSpaces>590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2022-04-20T11:25:00Z</dcterms:created>
  <dc:creator>fall in love</dc:creator>
  <cp:lastModifiedBy>木子董</cp:lastModifiedBy>
  <cp:lastPrinted>2021-07-28T16:58:00Z</cp:lastPrinted>
  <dcterms:modified xsi:type="dcterms:W3CDTF">2024-11-20T06:06:33Z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63CE6C93405443B9875D09F3BAB40812</vt:lpwstr>
  </property>
  <property fmtid="{D5CDD505-2E9C-101B-9397-08002B2CF9AE}" pid="4" name="commondata">
    <vt:lpwstr>eyJoZGlkIjoiZjJiMGRkODhlOWNlNTQ3NGMzNTdmMDE0ZGIyYmRiM2UifQ==</vt:lpwstr>
  </property>
</Properties>
</file>