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附</w:t>
      </w:r>
      <w:r>
        <w:rPr>
          <w:rFonts w:hint="eastAsia" w:ascii="黑体" w:hAnsi="黑体" w:eastAsia="黑体" w:cs="黑体"/>
          <w:bCs/>
          <w:sz w:val="32"/>
          <w:szCs w:val="32"/>
          <w:highlight w:val="none"/>
        </w:rPr>
        <w:t>件</w:t>
      </w:r>
      <w:r>
        <w:rPr>
          <w:rFonts w:hint="eastAsia" w:ascii="黑体" w:hAnsi="黑体" w:eastAsia="黑体" w:cs="黑体"/>
          <w:bCs/>
          <w:color w:val="000000"/>
          <w:sz w:val="32"/>
          <w:szCs w:val="32"/>
          <w:highlight w:val="none"/>
          <w:lang w:eastAsia="zh-CN"/>
        </w:rPr>
        <w:t>3</w:t>
      </w:r>
    </w:p>
    <w:p>
      <w:pPr>
        <w:spacing w:line="600" w:lineRule="exact"/>
        <w:rPr>
          <w:rFonts w:ascii="黑体" w:hAnsi="黑体" w:eastAsia="黑体" w:cs="黑体"/>
          <w:bCs/>
          <w:color w:val="000000"/>
          <w:sz w:val="32"/>
          <w:szCs w:val="32"/>
          <w:highlight w:val="none"/>
        </w:rPr>
      </w:pPr>
    </w:p>
    <w:tbl>
      <w:tblPr>
        <w:tblStyle w:val="5"/>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8"/>
        <w:gridCol w:w="567"/>
        <w:gridCol w:w="733"/>
        <w:gridCol w:w="717"/>
        <w:gridCol w:w="683"/>
        <w:gridCol w:w="575"/>
        <w:gridCol w:w="575"/>
        <w:gridCol w:w="505"/>
        <w:gridCol w:w="571"/>
        <w:gridCol w:w="782"/>
        <w:gridCol w:w="343"/>
        <w:gridCol w:w="857"/>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8820" w:type="dxa"/>
            <w:gridSpan w:val="13"/>
            <w:tcBorders>
              <w:bottom w:val="single" w:color="auto" w:sz="4" w:space="0"/>
            </w:tcBorders>
            <w:tcMar>
              <w:top w:w="15" w:type="dxa"/>
              <w:left w:w="15" w:type="dxa"/>
              <w:bottom w:w="0" w:type="dxa"/>
              <w:right w:w="15" w:type="dxa"/>
            </w:tcMar>
            <w:vAlign w:val="center"/>
          </w:tcPr>
          <w:p>
            <w:pPr>
              <w:jc w:val="center"/>
              <w:rPr>
                <w:sz w:val="40"/>
                <w:szCs w:val="40"/>
                <w:highlight w:val="none"/>
              </w:rPr>
            </w:pPr>
            <w:r>
              <w:rPr>
                <w:rFonts w:hint="eastAsia" w:ascii="宋体" w:hAnsi="宋体" w:cs="宋体"/>
                <w:b/>
                <w:bCs/>
                <w:sz w:val="44"/>
                <w:szCs w:val="44"/>
                <w:highlight w:val="none"/>
                <w:lang w:eastAsia="zh-CN"/>
              </w:rPr>
              <w:t>县</w:t>
            </w:r>
            <w:r>
              <w:rPr>
                <w:rFonts w:hint="eastAsia" w:ascii="宋体" w:hAnsi="宋体" w:cs="宋体"/>
                <w:b/>
                <w:bCs/>
                <w:sz w:val="44"/>
                <w:szCs w:val="44"/>
                <w:highlight w:val="none"/>
              </w:rPr>
              <w:t>本级预算项目（政策）重点绩效评价表</w:t>
            </w:r>
            <w:r>
              <w:rPr>
                <w:rFonts w:hint="eastAsia" w:ascii="宋体" w:hAnsi="宋体" w:cs="宋体"/>
                <w:sz w:val="32"/>
                <w:szCs w:val="32"/>
                <w:highlight w:val="none"/>
              </w:rPr>
              <w:t xml:space="preserve"> </w:t>
            </w:r>
            <w:r>
              <w:rPr>
                <w:rFonts w:hint="eastAsia" w:ascii="宋体" w:hAnsi="宋体" w:cs="宋体"/>
                <w:sz w:val="32"/>
                <w:szCs w:val="32"/>
                <w:highlight w:val="none"/>
              </w:rPr>
              <w:br w:type="textWrapping"/>
            </w:r>
            <w:r>
              <w:rPr>
                <w:rFonts w:hint="eastAsia" w:ascii="宋体" w:hAnsi="宋体" w:cs="宋体"/>
                <w:color w:val="000000"/>
                <w:sz w:val="32"/>
                <w:szCs w:val="32"/>
                <w:highlight w:val="none"/>
              </w:rPr>
              <w:t>（</w:t>
            </w:r>
            <w:r>
              <w:rPr>
                <w:rFonts w:hint="eastAsia" w:ascii="宋体" w:hAnsi="宋体" w:cs="宋体"/>
                <w:color w:val="000000"/>
                <w:sz w:val="32"/>
                <w:szCs w:val="32"/>
                <w:highlight w:val="none"/>
                <w:lang w:eastAsia="zh-CN"/>
              </w:rPr>
              <w:t>2</w:t>
            </w:r>
            <w:r>
              <w:rPr>
                <w:rFonts w:hint="eastAsia" w:ascii="宋体" w:hAnsi="宋体" w:cs="宋体"/>
                <w:color w:val="000000"/>
                <w:sz w:val="32"/>
                <w:szCs w:val="32"/>
                <w:highlight w:val="none"/>
                <w:lang w:val="en-US" w:eastAsia="zh-CN"/>
              </w:rPr>
              <w:t>020</w:t>
            </w:r>
            <w:r>
              <w:rPr>
                <w:rFonts w:hint="eastAsia" w:ascii="宋体" w:hAnsi="宋体" w:cs="宋体"/>
                <w:color w:val="000000"/>
                <w:sz w:val="32"/>
                <w:szCs w:val="32"/>
                <w:highlight w:val="none"/>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highlight w:val="none"/>
              </w:rPr>
            </w:pPr>
            <w:r>
              <w:rPr>
                <w:rFonts w:hint="eastAsia" w:ascii="宋体" w:hAnsi="宋体" w:cs="宋体"/>
                <w:color w:val="000000"/>
                <w:kern w:val="0"/>
                <w:szCs w:val="21"/>
                <w:highlight w:val="none"/>
              </w:rPr>
              <w:t>项目（政策）名称</w:t>
            </w:r>
          </w:p>
        </w:tc>
        <w:tc>
          <w:tcPr>
            <w:tcW w:w="7052"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cs="宋体"/>
                <w:color w:val="000000"/>
                <w:szCs w:val="21"/>
                <w:highlight w:val="none"/>
                <w:lang w:val="en-US" w:eastAsia="zh-CN"/>
              </w:rPr>
              <w:t>疫情防控物资资金</w:t>
            </w:r>
            <w:r>
              <w:rPr>
                <w:rFonts w:hint="eastAsia"/>
                <w:color w:val="00000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rPr>
            </w:pPr>
            <w:r>
              <w:rPr>
                <w:rFonts w:hint="eastAsia"/>
                <w:color w:val="000000"/>
                <w:highlight w:val="none"/>
              </w:rPr>
              <w:t>主管预算部门</w:t>
            </w:r>
          </w:p>
        </w:tc>
        <w:tc>
          <w:tcPr>
            <w:tcW w:w="7052"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盘山县卫生健康局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highlight w:val="none"/>
              </w:rPr>
            </w:pPr>
            <w:r>
              <w:rPr>
                <w:rFonts w:hint="eastAsia"/>
                <w:color w:val="000000"/>
                <w:highlight w:val="none"/>
              </w:rPr>
              <w:t>实施单位</w:t>
            </w: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highlight w:val="none"/>
              </w:rPr>
            </w:pPr>
            <w:r>
              <w:rPr>
                <w:rFonts w:hint="eastAsia"/>
                <w:color w:val="000000"/>
                <w:highlight w:val="none"/>
                <w:lang w:val="en-US" w:eastAsia="zh-CN"/>
              </w:rPr>
              <w:t>盘山县卫生健康局</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实施期</w:t>
            </w:r>
          </w:p>
        </w:tc>
        <w:tc>
          <w:tcPr>
            <w:tcW w:w="264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lang w:val="en-US" w:eastAsia="zh-CN"/>
              </w:rPr>
              <w:t>2020</w:t>
            </w:r>
            <w:r>
              <w:rPr>
                <w:rFonts w:hint="eastAsia" w:ascii="宋体" w:hAnsi="宋体" w:cs="宋体"/>
                <w:color w:val="000000"/>
                <w:kern w:val="0"/>
                <w:szCs w:val="21"/>
                <w:highlight w:val="none"/>
              </w:rPr>
              <w:t xml:space="preserve">年 </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月  -</w:t>
            </w:r>
            <w:r>
              <w:rPr>
                <w:rFonts w:hint="eastAsia" w:ascii="宋体" w:hAnsi="宋体" w:cs="宋体"/>
                <w:color w:val="000000"/>
                <w:kern w:val="0"/>
                <w:szCs w:val="21"/>
                <w:highlight w:val="none"/>
                <w:lang w:val="en-US" w:eastAsia="zh-CN"/>
              </w:rPr>
              <w:t>2020</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12</w:t>
            </w:r>
            <w:r>
              <w:rPr>
                <w:rFonts w:hint="eastAsia" w:ascii="宋体" w:hAnsi="宋体" w:cs="宋体"/>
                <w:color w:val="000000"/>
                <w:kern w:val="0"/>
                <w:szCs w:val="21"/>
                <w:highlight w:val="none"/>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2" w:hRule="atLeast"/>
          <w:jc w:val="center"/>
        </w:trPr>
        <w:tc>
          <w:tcPr>
            <w:tcW w:w="1768"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项目预算资金</w:t>
            </w: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　</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年初预算数</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全年预算数（A）</w:t>
            </w: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全年执行数（B）</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年度预算资金总额：</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highlight w:val="none"/>
              </w:rPr>
              <w:t>　</w:t>
            </w:r>
            <w:r>
              <w:rPr>
                <w:rFonts w:hint="eastAsia"/>
                <w:color w:val="000000"/>
                <w:highlight w:val="none"/>
                <w:lang w:val="en-US" w:eastAsia="zh-CN"/>
              </w:rPr>
              <w:t>180</w:t>
            </w: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highlight w:val="none"/>
                <w:lang w:val="en-US" w:eastAsia="zh-CN"/>
              </w:rPr>
              <w:t>180</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highlight w:val="none"/>
              </w:rPr>
              <w:t>　</w:t>
            </w:r>
            <w:r>
              <w:rPr>
                <w:rFonts w:hint="eastAsia"/>
                <w:color w:val="000000"/>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其中：财政拨款收入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rPr>
              <w:t>　</w:t>
            </w:r>
            <w:r>
              <w:rPr>
                <w:rFonts w:hint="eastAsia"/>
                <w:color w:val="000000"/>
                <w:highlight w:val="none"/>
                <w:lang w:val="en-US" w:eastAsia="zh-CN"/>
              </w:rPr>
              <w:t>180</w:t>
            </w: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180</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rPr>
              <w:t>　</w:t>
            </w:r>
            <w:r>
              <w:rPr>
                <w:rFonts w:hint="eastAsia"/>
                <w:color w:val="000000"/>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中央提前告知转移支付资金</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纳入预算管理的行政事业性收费等非税收入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纳入政府性基金预算管理收入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纳入专户管理的行政事业性收费等非税收入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上年结转</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其他收入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年度总体目标</w:t>
            </w: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年初设定目标</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目标1</w:t>
            </w:r>
            <w:r>
              <w:rPr>
                <w:rFonts w:hint="eastAsia" w:ascii="宋体" w:hAnsi="宋体" w:cs="宋体"/>
                <w:color w:val="000000"/>
                <w:kern w:val="0"/>
                <w:szCs w:val="21"/>
                <w:highlight w:val="none"/>
                <w:lang w:val="en-US" w:eastAsia="zh-CN" w:bidi="ar"/>
              </w:rPr>
              <w:t>完成疫情防控物资采购，</w:t>
            </w:r>
            <w:r>
              <w:rPr>
                <w:rFonts w:hint="eastAsia" w:ascii="宋体" w:hAnsi="宋体" w:cs="宋体"/>
                <w:color w:val="000000"/>
                <w:kern w:val="0"/>
                <w:szCs w:val="21"/>
                <w:highlight w:val="none"/>
                <w:lang w:val="en-US" w:eastAsia="zh-CN"/>
              </w:rPr>
              <w:t>积极有效</w:t>
            </w:r>
            <w:r>
              <w:rPr>
                <w:rFonts w:hint="eastAsia" w:ascii="宋体" w:hAnsi="宋体" w:cs="宋体"/>
                <w:kern w:val="0"/>
                <w:szCs w:val="21"/>
                <w:highlight w:val="none"/>
              </w:rPr>
              <w:t>预防为主</w:t>
            </w:r>
            <w:r>
              <w:rPr>
                <w:rFonts w:hint="eastAsia" w:ascii="宋体" w:hAnsi="宋体" w:cs="宋体"/>
                <w:kern w:val="0"/>
                <w:szCs w:val="21"/>
                <w:highlight w:val="none"/>
                <w:lang w:eastAsia="zh-CN"/>
              </w:rPr>
              <w:t>，</w:t>
            </w:r>
            <w:r>
              <w:rPr>
                <w:rFonts w:hint="eastAsia" w:ascii="宋体" w:hAnsi="宋体" w:cs="宋体"/>
                <w:kern w:val="0"/>
                <w:szCs w:val="21"/>
                <w:highlight w:val="none"/>
              </w:rPr>
              <w:t>加强预防控制重大疾病工作</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cs="宋体"/>
                <w:color w:val="000000"/>
                <w:kern w:val="0"/>
                <w:szCs w:val="21"/>
                <w:highlight w:val="none"/>
                <w:lang w:val="en-US" w:eastAsia="zh-CN" w:bidi="ar"/>
              </w:rPr>
              <w:t>全部完成疫情防控物资采购，并</w:t>
            </w:r>
            <w:r>
              <w:rPr>
                <w:rFonts w:hint="eastAsia" w:ascii="宋体" w:hAnsi="宋体" w:cs="宋体"/>
                <w:color w:val="000000"/>
                <w:kern w:val="0"/>
                <w:szCs w:val="21"/>
                <w:highlight w:val="none"/>
                <w:lang w:val="en-US" w:eastAsia="zh-CN"/>
              </w:rPr>
              <w:t>积极有效</w:t>
            </w:r>
            <w:r>
              <w:rPr>
                <w:rFonts w:hint="eastAsia" w:ascii="宋体" w:hAnsi="宋体" w:cs="宋体"/>
                <w:kern w:val="0"/>
                <w:szCs w:val="21"/>
                <w:highlight w:val="none"/>
              </w:rPr>
              <w:t>预防</w:t>
            </w:r>
            <w:r>
              <w:rPr>
                <w:rFonts w:hint="eastAsia" w:ascii="宋体" w:hAnsi="宋体" w:cs="宋体"/>
                <w:kern w:val="0"/>
                <w:szCs w:val="21"/>
                <w:highlight w:val="none"/>
                <w:lang w:eastAsia="zh-CN"/>
              </w:rPr>
              <w:t>、</w:t>
            </w:r>
            <w:r>
              <w:rPr>
                <w:rFonts w:hint="eastAsia" w:ascii="宋体" w:hAnsi="宋体" w:cs="宋体"/>
                <w:kern w:val="0"/>
                <w:szCs w:val="21"/>
                <w:highlight w:val="none"/>
              </w:rPr>
              <w:t>加强预防控制重大疾病工作</w:t>
            </w:r>
            <w:r>
              <w:rPr>
                <w:rFonts w:hint="eastAsia"/>
                <w:color w:val="00000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目标2</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jc w:val="center"/>
        </w:trPr>
        <w:tc>
          <w:tcPr>
            <w:tcW w:w="46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color w:val="000000"/>
                <w:highlight w:val="none"/>
              </w:rPr>
            </w:pPr>
            <w:r>
              <w:rPr>
                <w:rFonts w:hint="eastAsia"/>
                <w:color w:val="000000"/>
                <w:highlight w:val="none"/>
              </w:rPr>
              <w:t>绩效</w:t>
            </w:r>
          </w:p>
          <w:p>
            <w:pPr>
              <w:jc w:val="center"/>
              <w:rPr>
                <w:color w:val="000000"/>
                <w:highlight w:val="none"/>
              </w:rPr>
            </w:pPr>
            <w:r>
              <w:rPr>
                <w:rFonts w:hint="eastAsia"/>
                <w:color w:val="000000"/>
                <w:highlight w:val="none"/>
              </w:rPr>
              <w:t>指标</w:t>
            </w: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rFonts w:hint="eastAsia"/>
                <w:color w:val="000000"/>
                <w:highlight w:val="none"/>
              </w:rPr>
            </w:pPr>
          </w:p>
          <w:p>
            <w:pPr>
              <w:jc w:val="center"/>
              <w:rPr>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r>
              <w:rPr>
                <w:rFonts w:hint="eastAsia"/>
                <w:color w:val="000000"/>
                <w:highlight w:val="none"/>
              </w:rPr>
              <w:t>绩效指标</w:t>
            </w:r>
          </w:p>
          <w:p>
            <w:pPr>
              <w:jc w:val="center"/>
              <w:rPr>
                <w:color w:val="000000"/>
                <w:highlight w:val="none"/>
              </w:rPr>
            </w:pPr>
          </w:p>
          <w:p>
            <w:pPr>
              <w:jc w:val="center"/>
              <w:rPr>
                <w:color w:val="000000"/>
                <w:highlight w:val="none"/>
              </w:rPr>
            </w:pPr>
          </w:p>
          <w:p>
            <w:pPr>
              <w:jc w:val="center"/>
              <w:rPr>
                <w:rFonts w:hint="eastAsia"/>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一级</w:t>
            </w:r>
          </w:p>
          <w:p>
            <w:pPr>
              <w:jc w:val="center"/>
              <w:rPr>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二级</w:t>
            </w:r>
          </w:p>
          <w:p>
            <w:pPr>
              <w:jc w:val="center"/>
              <w:rPr>
                <w:color w:val="000000"/>
                <w:highlight w:val="none"/>
              </w:rPr>
            </w:pPr>
            <w:r>
              <w:rPr>
                <w:rFonts w:hint="eastAsia"/>
                <w:color w:val="000000"/>
                <w:highlight w:val="none"/>
              </w:rPr>
              <w:t>指标</w:t>
            </w:r>
          </w:p>
        </w:tc>
        <w:tc>
          <w:tcPr>
            <w:tcW w:w="71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三级</w:t>
            </w:r>
          </w:p>
          <w:p>
            <w:pPr>
              <w:jc w:val="center"/>
              <w:rPr>
                <w:color w:val="000000"/>
                <w:highlight w:val="none"/>
              </w:rPr>
            </w:pPr>
            <w:r>
              <w:rPr>
                <w:rFonts w:hint="eastAsia"/>
                <w:color w:val="000000"/>
                <w:highlight w:val="none"/>
              </w:rPr>
              <w:t>指标</w:t>
            </w:r>
          </w:p>
        </w:tc>
        <w:tc>
          <w:tcPr>
            <w:tcW w:w="183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年度指标值</w:t>
            </w:r>
          </w:p>
        </w:tc>
        <w:tc>
          <w:tcPr>
            <w:tcW w:w="50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w:t>
            </w:r>
          </w:p>
          <w:p>
            <w:pPr>
              <w:jc w:val="center"/>
              <w:rPr>
                <w:rFonts w:hint="eastAsia"/>
                <w:color w:val="000000"/>
                <w:highlight w:val="none"/>
              </w:rPr>
            </w:pPr>
            <w:r>
              <w:rPr>
                <w:rFonts w:hint="eastAsia"/>
                <w:color w:val="000000"/>
                <w:highlight w:val="none"/>
              </w:rPr>
              <w:t>完成值</w:t>
            </w:r>
          </w:p>
        </w:tc>
        <w:tc>
          <w:tcPr>
            <w:tcW w:w="5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权重</w:t>
            </w:r>
          </w:p>
        </w:tc>
        <w:tc>
          <w:tcPr>
            <w:tcW w:w="1125"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指标解释</w:t>
            </w:r>
          </w:p>
        </w:tc>
        <w:tc>
          <w:tcPr>
            <w:tcW w:w="85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评分</w:t>
            </w:r>
          </w:p>
          <w:p>
            <w:pPr>
              <w:widowControl/>
              <w:jc w:val="center"/>
              <w:textAlignment w:val="center"/>
              <w:rPr>
                <w:rFonts w:hint="eastAsia"/>
                <w:color w:val="000000"/>
                <w:highlight w:val="none"/>
              </w:rPr>
            </w:pPr>
            <w:r>
              <w:rPr>
                <w:rFonts w:hint="eastAsia"/>
                <w:color w:val="000000"/>
                <w:highlight w:val="none"/>
              </w:rPr>
              <w:t>标准</w:t>
            </w:r>
          </w:p>
        </w:tc>
        <w:tc>
          <w:tcPr>
            <w:tcW w:w="144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46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运算</w:t>
            </w:r>
          </w:p>
          <w:p>
            <w:pPr>
              <w:jc w:val="center"/>
              <w:rPr>
                <w:rFonts w:hint="eastAsia"/>
                <w:color w:val="000000"/>
                <w:highlight w:val="none"/>
              </w:rPr>
            </w:pPr>
            <w:r>
              <w:rPr>
                <w:rFonts w:hint="eastAsia"/>
                <w:color w:val="000000"/>
                <w:highlight w:val="none"/>
              </w:rPr>
              <w:t>符号</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内容</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度量单位</w:t>
            </w:r>
          </w:p>
        </w:tc>
        <w:tc>
          <w:tcPr>
            <w:tcW w:w="50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112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85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144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决策</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决策</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项目</w:t>
            </w:r>
          </w:p>
          <w:p>
            <w:pPr>
              <w:jc w:val="center"/>
              <w:rPr>
                <w:rFonts w:hint="eastAsia"/>
                <w:color w:val="000000"/>
                <w:highlight w:val="none"/>
              </w:rPr>
            </w:pPr>
            <w:r>
              <w:rPr>
                <w:rFonts w:hint="eastAsia"/>
                <w:color w:val="000000"/>
                <w:highlight w:val="none"/>
              </w:rPr>
              <w:t>立项</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2"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目标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r>
              <w:rPr>
                <w:rFonts w:hint="eastAsia"/>
                <w:color w:val="000000"/>
                <w:highlight w:val="none"/>
              </w:rPr>
              <w:t>资金</w:t>
            </w:r>
          </w:p>
          <w:p>
            <w:pPr>
              <w:jc w:val="center"/>
              <w:rPr>
                <w:rFonts w:hint="eastAsia"/>
                <w:color w:val="000000"/>
                <w:highlight w:val="none"/>
              </w:rPr>
            </w:pPr>
            <w:r>
              <w:rPr>
                <w:rFonts w:hint="eastAsia"/>
                <w:color w:val="000000"/>
                <w:highlight w:val="none"/>
              </w:rPr>
              <w:t>安排</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管理</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业务</w:t>
            </w:r>
          </w:p>
          <w:p>
            <w:pPr>
              <w:jc w:val="center"/>
              <w:rPr>
                <w:rFonts w:hint="eastAsia"/>
                <w:color w:val="000000"/>
                <w:highlight w:val="none"/>
              </w:rPr>
            </w:pPr>
            <w:r>
              <w:rPr>
                <w:rFonts w:hint="eastAsia"/>
                <w:color w:val="000000"/>
                <w:highlight w:val="none"/>
              </w:rPr>
              <w:t>管理</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预算</w:t>
            </w:r>
          </w:p>
          <w:p>
            <w:pPr>
              <w:jc w:val="center"/>
              <w:rPr>
                <w:rFonts w:hint="eastAsia"/>
                <w:color w:val="000000"/>
                <w:highlight w:val="none"/>
              </w:rPr>
            </w:pPr>
            <w:r>
              <w:rPr>
                <w:rFonts w:hint="eastAsia"/>
                <w:color w:val="000000"/>
                <w:highlight w:val="none"/>
              </w:rPr>
              <w:t>管理</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color w:val="000000"/>
                <w:highlight w:val="none"/>
              </w:rPr>
              <w:t>产出</w:t>
            </w:r>
          </w:p>
          <w:p>
            <w:pPr>
              <w:jc w:val="center"/>
              <w:rPr>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p>
          <w:p>
            <w:pPr>
              <w:jc w:val="center"/>
              <w:rPr>
                <w:color w:val="000000"/>
                <w:highlight w:val="none"/>
              </w:rPr>
            </w:pPr>
            <w:r>
              <w:rPr>
                <w:rFonts w:hint="eastAsia"/>
                <w:color w:val="000000"/>
                <w:highlight w:val="none"/>
              </w:rPr>
              <w:t>数量</w:t>
            </w:r>
          </w:p>
          <w:p>
            <w:pPr>
              <w:ind w:firstLine="0" w:firstLineChars="0"/>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r>
              <w:rPr>
                <w:rFonts w:hint="eastAsia" w:ascii="宋体" w:hAnsi="宋体" w:cs="宋体"/>
                <w:color w:val="000000"/>
                <w:szCs w:val="21"/>
                <w:highlight w:val="none"/>
                <w:lang w:val="en-US" w:eastAsia="zh-CN"/>
              </w:rPr>
              <w:t>防控物资采购</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ascii="宋体" w:hAnsi="宋体" w:cs="宋体"/>
                <w:color w:val="000000"/>
                <w:szCs w:val="21"/>
                <w:highlight w:val="none"/>
                <w:lang w:val="en-US" w:eastAsia="zh-CN"/>
              </w:rPr>
              <w:t>防护服、医用口罩、消毒液等防控物资</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件</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防控物资采购品种、单价、数量</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13</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质量</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r>
              <w:rPr>
                <w:rFonts w:hint="eastAsia" w:ascii="宋体" w:hAnsi="宋体" w:cs="宋体"/>
                <w:color w:val="000000"/>
                <w:szCs w:val="21"/>
                <w:highlight w:val="none"/>
                <w:lang w:val="en-US" w:eastAsia="zh-CN"/>
              </w:rPr>
              <w:t>工作质量</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达标</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程度</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工作完成程度</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13</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时效</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r>
              <w:rPr>
                <w:rFonts w:hint="eastAsia" w:ascii="宋体" w:hAnsi="宋体" w:cs="宋体"/>
                <w:color w:val="000000"/>
                <w:szCs w:val="21"/>
                <w:highlight w:val="none"/>
                <w:lang w:val="en-US" w:eastAsia="zh-CN"/>
              </w:rPr>
              <w:t>落实程度</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ascii="宋体" w:hAnsi="宋体" w:cs="宋体"/>
                <w:color w:val="000000"/>
                <w:szCs w:val="21"/>
                <w:highlight w:val="none"/>
                <w:lang w:val="en-US" w:eastAsia="zh-CN"/>
              </w:rPr>
              <w:t>全部及时落实</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工作落实效率</w:t>
            </w:r>
            <w:bookmarkStart w:id="0" w:name="_GoBack"/>
            <w:bookmarkEnd w:id="0"/>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12</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成本</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r>
              <w:rPr>
                <w:rFonts w:hint="eastAsia" w:ascii="宋体" w:hAnsi="宋体" w:cs="宋体"/>
                <w:color w:val="000000"/>
                <w:kern w:val="0"/>
                <w:szCs w:val="21"/>
                <w:highlight w:val="none"/>
                <w:lang w:val="en-US" w:eastAsia="zh-CN" w:bidi="ar"/>
              </w:rPr>
              <w:t>防控物资成本</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545"/>
              </w:tabs>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业务成本</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545"/>
              </w:tabs>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件</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防控物资采购成本</w:t>
            </w: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12</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效益</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效益</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color w:val="000000"/>
                <w:highlight w:val="none"/>
              </w:rPr>
            </w:pPr>
            <w:r>
              <w:rPr>
                <w:rFonts w:hint="eastAsia"/>
                <w:color w:val="000000"/>
                <w:highlight w:val="none"/>
              </w:rPr>
              <w:t>经济效益指标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r>
              <w:rPr>
                <w:rFonts w:hint="eastAsia" w:ascii="宋体" w:hAnsi="宋体" w:cs="宋体"/>
                <w:color w:val="000000"/>
                <w:kern w:val="0"/>
                <w:szCs w:val="21"/>
                <w:highlight w:val="none"/>
                <w:lang w:val="en-US" w:eastAsia="zh-CN" w:bidi="ar"/>
              </w:rPr>
              <w:t>疫情防控效益</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及时处理有效防控</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kern w:val="2"/>
                <w:sz w:val="21"/>
                <w:szCs w:val="21"/>
                <w:highlight w:val="none"/>
                <w:lang w:val="en-US" w:eastAsia="zh-CN" w:bidi="ar-SA"/>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lang w:val="en-US" w:eastAsia="zh-CN"/>
              </w:rPr>
              <w:t>疫情期间对县辖区人口服务疫情防控工作程度</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highlight w:val="none"/>
                <w:lang w:val="en-US" w:eastAsia="zh-CN"/>
              </w:rPr>
              <w:t>15</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社会效益指标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r>
              <w:rPr>
                <w:rFonts w:hint="eastAsia" w:ascii="宋体" w:hAnsi="宋体" w:cs="宋体"/>
                <w:color w:val="000000"/>
                <w:kern w:val="0"/>
                <w:szCs w:val="21"/>
                <w:highlight w:val="none"/>
                <w:lang w:val="en-US" w:eastAsia="zh-CN" w:bidi="ar"/>
              </w:rPr>
              <w:t>疫情防控效益</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及时处理有效防控</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kern w:val="2"/>
                <w:sz w:val="21"/>
                <w:szCs w:val="21"/>
                <w:highlight w:val="none"/>
                <w:lang w:val="en-US" w:eastAsia="zh-CN" w:bidi="ar-SA"/>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疫情期间对县辖区人口服务疫情防控工作程度</w:t>
            </w: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15</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生态效益指标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可持续影响指标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满意度指标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服务对象满意度指标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社会公众满意度指标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bidi="ar"/>
              </w:rPr>
              <w:t>指标1：</w:t>
            </w:r>
            <w:r>
              <w:rPr>
                <w:rFonts w:hint="eastAsia" w:ascii="宋体" w:hAnsi="宋体" w:cs="宋体"/>
                <w:color w:val="000000"/>
                <w:kern w:val="0"/>
                <w:szCs w:val="21"/>
                <w:highlight w:val="none"/>
                <w:lang w:val="en-US" w:eastAsia="zh-CN" w:bidi="ar"/>
              </w:rPr>
              <w:t>服务人口26.7万人</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545"/>
              </w:tabs>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26.7</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545"/>
              </w:tabs>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万人</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95%</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疫情期间对县辖区人口服务范围</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4823"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合计</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982"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评价得分</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2" w:hRule="atLeast"/>
          <w:jc w:val="center"/>
        </w:trPr>
        <w:tc>
          <w:tcPr>
            <w:tcW w:w="103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说明</w:t>
            </w:r>
          </w:p>
        </w:tc>
        <w:tc>
          <w:tcPr>
            <w:tcW w:w="7785"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eastAsia"/>
                <w:color w:val="000000"/>
                <w:highlight w:val="none"/>
              </w:rPr>
            </w:pPr>
            <w:r>
              <w:rPr>
                <w:rFonts w:hint="eastAsia"/>
                <w:color w:val="000000"/>
                <w:highlight w:val="none"/>
              </w:rPr>
              <w:t>无。</w:t>
            </w:r>
          </w:p>
        </w:tc>
      </w:tr>
    </w:tbl>
    <w:p>
      <w:pPr>
        <w:widowControl/>
        <w:jc w:val="left"/>
        <w:textAlignment w:val="center"/>
        <w:rPr>
          <w:rFonts w:hint="eastAsia" w:ascii="宋体" w:hAnsi="宋体" w:cs="宋体"/>
          <w:b/>
          <w:color w:val="000000"/>
          <w:kern w:val="0"/>
          <w:sz w:val="18"/>
          <w:szCs w:val="18"/>
          <w:highlight w:val="none"/>
        </w:rPr>
      </w:pPr>
      <w:r>
        <w:rPr>
          <w:rFonts w:hint="eastAsia" w:ascii="宋体" w:hAnsi="宋体" w:cs="宋体"/>
          <w:color w:val="000000"/>
          <w:kern w:val="0"/>
          <w:sz w:val="18"/>
          <w:szCs w:val="18"/>
          <w:highlight w:val="none"/>
        </w:rPr>
        <w:t xml:space="preserve">  注：预算金额以万元为单位,保留两位小数。</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 xml:space="preserve">   </w:t>
      </w:r>
      <w:r>
        <w:rPr>
          <w:rFonts w:hint="eastAsia" w:ascii="宋体" w:hAnsi="宋体" w:cs="宋体"/>
          <w:b/>
          <w:color w:val="000000"/>
          <w:kern w:val="0"/>
          <w:sz w:val="18"/>
          <w:szCs w:val="18"/>
          <w:highlight w:val="none"/>
        </w:rPr>
        <w:t xml:space="preserve"> </w:t>
      </w: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rPr>
          <w:rFonts w:hint="eastAsia" w:ascii="宋体" w:hAnsi="宋体" w:cs="宋体"/>
          <w:color w:val="000000"/>
          <w:kern w:val="0"/>
          <w:sz w:val="18"/>
          <w:szCs w:val="18"/>
          <w:highlight w:val="none"/>
        </w:rPr>
      </w:pPr>
    </w:p>
    <w:p>
      <w:pPr>
        <w:spacing w:line="584" w:lineRule="exact"/>
        <w:jc w:val="center"/>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填报说明</w:t>
      </w:r>
    </w:p>
    <w:p>
      <w:pPr>
        <w:spacing w:line="600" w:lineRule="exact"/>
        <w:jc w:val="center"/>
        <w:rPr>
          <w:rFonts w:hint="eastAsia" w:ascii="黑体" w:hAnsi="黑体" w:eastAsia="黑体" w:cs="黑体"/>
          <w:color w:val="000000"/>
          <w:sz w:val="32"/>
          <w:szCs w:val="32"/>
          <w:highlight w:val="none"/>
        </w:rPr>
      </w:pPr>
    </w:p>
    <w:p>
      <w:pPr>
        <w:spacing w:line="600" w:lineRule="exac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一、指标解释</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“年度绩效指标”将年度绩效目标细化、量化形成绩效指标，填列信息包含一级指标、二级指标、三级指标、年度指标值、全年完成值、权重、指标解释、评分标准及指标得分。其中，</w:t>
      </w:r>
      <w:r>
        <w:rPr>
          <w:rFonts w:hint="eastAsia" w:ascii="仿宋_GB2312" w:hAnsi="Arial" w:eastAsia="仿宋_GB2312" w:cs="Arial"/>
          <w:kern w:val="0"/>
          <w:sz w:val="32"/>
          <w:szCs w:val="32"/>
          <w:highlight w:val="none"/>
        </w:rPr>
        <w:t>量化“指标值”的填报用数值描述，</w:t>
      </w:r>
      <w:r>
        <w:rPr>
          <w:rFonts w:hint="eastAsia" w:ascii="仿宋_GB2312" w:hAnsi="仿宋_GB2312" w:eastAsia="仿宋_GB2312" w:cs="仿宋_GB2312"/>
          <w:sz w:val="32"/>
          <w:szCs w:val="32"/>
          <w:highlight w:val="none"/>
        </w:rPr>
        <w:t>在“运算符号”栏</w:t>
      </w:r>
      <w:r>
        <w:rPr>
          <w:rFonts w:hint="eastAsia" w:ascii="仿宋_GB2312" w:hAnsi="仿宋_GB2312" w:eastAsia="仿宋_GB2312" w:cs="仿宋_GB2312"/>
          <w:color w:val="000000"/>
          <w:sz w:val="32"/>
          <w:szCs w:val="32"/>
          <w:highlight w:val="none"/>
        </w:rPr>
        <w:t>可根据实际情况选取“=”“≤”“≥”“＜”“＞”等运算符号，</w:t>
      </w:r>
      <w:r>
        <w:rPr>
          <w:rFonts w:hint="eastAsia" w:ascii="仿宋_GB2312" w:hAnsi="Arial" w:eastAsia="仿宋_GB2312" w:cs="Arial"/>
          <w:kern w:val="0"/>
          <w:sz w:val="32"/>
          <w:szCs w:val="32"/>
          <w:highlight w:val="none"/>
        </w:rPr>
        <w:t>在</w:t>
      </w:r>
      <w:r>
        <w:rPr>
          <w:rFonts w:hint="eastAsia" w:ascii="仿宋_GB2312" w:hAnsi="仿宋_GB2312" w:eastAsia="仿宋_GB2312" w:cs="仿宋_GB2312"/>
          <w:sz w:val="32"/>
          <w:szCs w:val="32"/>
          <w:highlight w:val="none"/>
        </w:rPr>
        <w:t>“内容”栏填列量化数据，在“度量单位”栏填列数据单位</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highlight w:val="none"/>
        </w:rPr>
        <w:t>不可量化的</w:t>
      </w:r>
      <w:r>
        <w:rPr>
          <w:rFonts w:hint="eastAsia" w:ascii="仿宋_GB2312" w:hAnsi="仿宋_GB2312" w:eastAsia="仿宋_GB2312" w:cs="仿宋_GB2312"/>
          <w:color w:val="000000"/>
          <w:sz w:val="32"/>
          <w:szCs w:val="32"/>
          <w:highlight w:val="none"/>
        </w:rPr>
        <w:t>“指标值”在</w:t>
      </w:r>
      <w:r>
        <w:rPr>
          <w:rFonts w:hint="eastAsia" w:ascii="仿宋_GB2312" w:hAnsi="仿宋_GB2312" w:eastAsia="仿宋_GB2312" w:cs="仿宋_GB2312"/>
          <w:sz w:val="32"/>
          <w:szCs w:val="32"/>
          <w:highlight w:val="none"/>
        </w:rPr>
        <w:t>“内容”栏进行定性描述，不必选取运算符号。</w:t>
      </w:r>
      <w:r>
        <w:rPr>
          <w:rFonts w:hint="eastAsia" w:ascii="仿宋_GB2312" w:hAnsi="仿宋_GB2312" w:eastAsia="仿宋_GB2312" w:cs="仿宋_GB2312"/>
          <w:color w:val="000000"/>
          <w:sz w:val="32"/>
          <w:szCs w:val="32"/>
          <w:highlight w:val="none"/>
        </w:rPr>
        <w:t>具体指标内容主要包括</w:t>
      </w:r>
      <w:r>
        <w:rPr>
          <w:rFonts w:hint="eastAsia" w:ascii="仿宋_GB2312" w:hAnsi="仿宋_GB2312" w:eastAsia="仿宋_GB2312" w:cs="仿宋_GB2312"/>
          <w:sz w:val="32"/>
          <w:szCs w:val="32"/>
          <w:highlight w:val="none"/>
        </w:rPr>
        <w:t>决策指标、管理指标、产出指标、效益指标、满意度指标等一级指标</w:t>
      </w:r>
      <w:r>
        <w:rPr>
          <w:rFonts w:hint="eastAsia" w:ascii="仿宋_GB2312" w:hAnsi="仿宋_GB2312" w:eastAsia="仿宋_GB2312" w:cs="仿宋_GB2312"/>
          <w:color w:val="000000"/>
          <w:sz w:val="32"/>
          <w:szCs w:val="32"/>
          <w:highlight w:val="none"/>
        </w:rPr>
        <w:t>。</w:t>
      </w:r>
    </w:p>
    <w:p>
      <w:p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1.决策指标可细化为项目立项、绩效目标、资金安排等二级指标。</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（1）项目立项主要评价立项依据充分性、立项程序规范性等。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①立项依据充分性主要评价项目立项是否符合法律法规、相关政策、发展规划以及部门职责，用以反映和考核项目立项依据情况。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②立项程序规范性主要评价项目的申请、设立过程是否符合相关要求，用以反映和考核项目立项的规范情况。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（2）绩效目标主要评价绩效目标合理性、绩效指标明确性等。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①绩效目标合理性主要评价项目所设定的绩效目标是否符合实际、切实可行，用以反映和考核项目绩效目标与项目实施的相符情况。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②绩效指标明确性主要评价依据绩效目标设定的绩效指标是否清晰细化可衡量，用以反映和考核项目绩效目标的明细化情况。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（3）资金安排主要评价预算编制合理性、资金分配合理性等。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①预算编制合理性主要评价项目预算编制是否经过科学论证、是否有明确标准，资金额度与年度目标是否相适应等，用以反映和考核项目预算编制的科学性、合理性情况。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②资金分配合理性主要评价项目预算资金分配是否有测算依据，与补助单位或地方实际是否相适应等，用以反映和考核项目预算资金分配的科学性、合理性情况。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2.管理指标可细化为业务管理和预算管理等二级指标。</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（1）业务管理主要评价管理制度健全性、制度执行有效性、项目质量可控性等。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①管理制度健全性主要评价项目实施单位的业务管理制度是否健全，用以反映和考核业务管理制度对项目顺利实施的保障情况。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②制度执行有效性主要评价项目实施是否符合相关业务管理规定，用以反映和考核业务管理制度的有效执行情况。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③项目质量可控性主要评价项目实施单位是否为达到项目质量要求而采取了必需的措施,用以反映和考核项目实施单位对项目质量的控制情况。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（2）预算管理主要评价资金到位率、到位及时率、预算执行率等。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①资金到位率主要评价实际到位资金与计划投入资金的比率，用以反映和考核资金落实情况对项目实施的总体保障程度。</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②到位及时率主要评价及时到位资金与应到位资金的比率，用以反映和考核项目资金落实的及时性程度。</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③预算执行率主要评价项目预算资金是否按照计划执行，用以反映和考核项目预算执行情况。</w:t>
      </w:r>
    </w:p>
    <w:p>
      <w:pPr>
        <w:ind w:firstLine="640" w:firstLineChars="200"/>
        <w:rPr>
          <w:rFonts w:ascii="仿宋_GB2312" w:hAnsi="Arial" w:eastAsia="仿宋_GB2312" w:cs="Arial"/>
          <w:kern w:val="0"/>
          <w:sz w:val="32"/>
          <w:szCs w:val="32"/>
          <w:highlight w:val="none"/>
        </w:rPr>
      </w:pPr>
      <w:r>
        <w:rPr>
          <w:rFonts w:hint="eastAsia" w:ascii="仿宋_GB2312" w:hAnsi="仿宋_GB2312" w:eastAsia="仿宋_GB2312" w:cs="仿宋_GB2312"/>
          <w:color w:val="000000"/>
          <w:sz w:val="32"/>
          <w:szCs w:val="32"/>
          <w:highlight w:val="none"/>
        </w:rPr>
        <w:t>3．</w:t>
      </w:r>
      <w:r>
        <w:rPr>
          <w:rFonts w:hint="eastAsia" w:ascii="仿宋_GB2312" w:hAnsi="Arial" w:eastAsia="仿宋_GB2312" w:cs="Arial"/>
          <w:kern w:val="0"/>
          <w:sz w:val="32"/>
          <w:szCs w:val="32"/>
          <w:highlight w:val="none"/>
        </w:rPr>
        <w:t>产出指标可细化为数量指标、质量指标、时效指标、成本指标等二级指标。</w:t>
      </w:r>
    </w:p>
    <w:p>
      <w:pPr>
        <w:widowControl/>
        <w:ind w:firstLine="640" w:firstLineChars="200"/>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（1）数量指标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预期提供的公共产品和服务数量。</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（2）质量指标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预期提供的公共产品和服务达到的标准、水平和效果。</w:t>
      </w:r>
    </w:p>
    <w:p>
      <w:pPr>
        <w:widowControl/>
        <w:ind w:firstLine="640" w:firstLineChars="200"/>
        <w:jc w:val="left"/>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（3）时效指标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预期提供公共产品和服务的及时程度和效率情况。</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（4）成本指标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预期提供公共产品和服务所需成本的控制情况。</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4.效益指标可细化为经济效益指标、社会效益指标、生态效益指标、可持续影响指标等二级指标。</w:t>
      </w:r>
    </w:p>
    <w:p>
      <w:pPr>
        <w:widowControl/>
        <w:ind w:firstLine="640" w:firstLineChars="200"/>
        <w:jc w:val="left"/>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（1）经济效益指标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相关产出对经济发展带来的影响和效果。</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（2）社会效益指标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相关产出对社会发展带来的影响和效果。</w:t>
      </w:r>
    </w:p>
    <w:p>
      <w:pPr>
        <w:widowControl/>
        <w:ind w:firstLine="640" w:firstLineChars="200"/>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（3）生态效益指标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相关产出对生态环境带来的影响和效果。</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（4）可持续影响指标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相关产出带来影响的可持续期限。</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5.满意度指标可细化为服务对象满意度指标、社会公众满意度指标等二级指标。</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（1）服务对象满意度指标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服务对象或受益人对相关产出及其影响的认可程度。</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（2）社会公众满意度指标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社会公众对相关产出及其影响的认可程度。</w:t>
      </w:r>
    </w:p>
    <w:p>
      <w:pPr>
        <w:spacing w:line="600" w:lineRule="exac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二、分值设置</w:t>
      </w:r>
    </w:p>
    <w:p>
      <w:pPr>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重点绩效评价实行百分制。各评价方可依据国家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省</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相关文件要求，根据评价指标的重要程度自主确定各项指标的权重分值。</w:t>
      </w:r>
    </w:p>
    <w:p>
      <w:pPr>
        <w:rPr>
          <w:rFonts w:hint="eastAsia" w:ascii="仿宋_GB2312" w:hAnsi="仿宋_GB2312" w:eastAsia="仿宋_GB2312" w:cs="仿宋_GB2312"/>
          <w:color w:val="000000"/>
          <w:sz w:val="32"/>
          <w:szCs w:val="32"/>
          <w:highlight w:val="none"/>
        </w:rPr>
      </w:pPr>
    </w:p>
    <w:p>
      <w:pPr>
        <w:rPr>
          <w:rFonts w:hint="eastAsia" w:ascii="仿宋_GB2312" w:hAnsi="仿宋_GB2312" w:eastAsia="仿宋_GB2312" w:cs="仿宋_GB2312"/>
          <w:color w:val="000000"/>
          <w:sz w:val="32"/>
          <w:szCs w:val="32"/>
          <w:highlight w:val="none"/>
        </w:rPr>
      </w:pPr>
    </w:p>
    <w:p>
      <w:pPr>
        <w:ind w:firstLine="640" w:firstLineChars="200"/>
        <w:jc w:val="left"/>
        <w:rPr>
          <w:rFonts w:hint="eastAsia" w:ascii="仿宋_GB2312" w:hAnsi="仿宋_GB2312" w:eastAsia="仿宋_GB2312" w:cs="仿宋_GB2312"/>
          <w:color w:val="000000"/>
          <w:kern w:val="0"/>
          <w:sz w:val="32"/>
          <w:highlight w:val="none"/>
          <w:u w:val="none" w:color="000000"/>
        </w:rPr>
      </w:pPr>
    </w:p>
    <w:p/>
    <w:sectPr>
      <w:footerReference r:id="rId3" w:type="default"/>
      <w:footerReference r:id="rId4" w:type="even"/>
      <w:pgSz w:w="11906" w:h="16838"/>
      <w:pgMar w:top="1701" w:right="1417" w:bottom="1701" w:left="1417"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rFonts w:ascii="Times New Roman" w:hAnsi="Times New Roman" w:eastAsia="宋体" w:cs="Times New Roman"/>
        <w:kern w:val="2"/>
        <w:sz w:val="18"/>
        <w:szCs w:val="24"/>
        <w:lang w:val="en-US" w:eastAsia="zh-CN" w:bidi="ar-SA"/>
      </w:rPr>
      <w:pict>
        <v:rect id="文本框 1" o:spid="_x0000_s2049" o:spt="1" style="position:absolute;left:0pt;margin-top:0pt;height:20.7pt;width:2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仿宋_GB2312" w:eastAsia="仿宋_GB2312"/>
        <w:sz w:val="28"/>
        <w:szCs w:val="28"/>
      </w:rPr>
    </w:pPr>
    <w:r>
      <w:rPr>
        <w:rFonts w:hint="eastAsia" w:ascii="仿宋_GB2312" w:eastAsia="仿宋_GB2312"/>
        <w:sz w:val="28"/>
        <w:szCs w:val="28"/>
      </w:rPr>
      <w:fldChar w:fldCharType="begin"/>
    </w:r>
    <w:r>
      <w:rPr>
        <w:rStyle w:val="8"/>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8"/>
        <w:rFonts w:ascii="仿宋_GB2312" w:eastAsia="仿宋_GB2312"/>
        <w:sz w:val="28"/>
        <w:szCs w:val="28"/>
      </w:rPr>
      <w:t>- 2 -</w:t>
    </w:r>
    <w:r>
      <w:rPr>
        <w:rFonts w:hint="eastAsia" w:ascii="仿宋_GB2312" w:eastAsia="仿宋_GB2312"/>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1383213E"/>
    <w:rsid w:val="2D230982"/>
    <w:rsid w:val="36283996"/>
    <w:rsid w:val="37E474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ind w:firstLine="645"/>
    </w:pPr>
    <w:rPr>
      <w:rFonts w:ascii="仿宋_GB2312" w:eastAsia="仿宋_GB2312"/>
      <w:kern w:val="2"/>
      <w:sz w:val="32"/>
      <w:szCs w:val="32"/>
      <w:lang w:val="en-US" w:eastAsia="zh-CN" w:bidi="ar-SA"/>
    </w:rPr>
  </w:style>
  <w:style w:type="paragraph" w:styleId="3">
    <w:name w:val="footer"/>
    <w:basedOn w:val="1"/>
    <w:qFormat/>
    <w:uiPriority w:val="0"/>
    <w:pPr>
      <w:tabs>
        <w:tab w:val="center" w:pos="4153"/>
        <w:tab w:val="right" w:pos="8306"/>
      </w:tabs>
      <w:snapToGrid w:val="0"/>
      <w:jc w:val="left"/>
    </w:pPr>
    <w:rPr>
      <w:rFonts w:eastAsia="宋体"/>
      <w:kern w:val="2"/>
      <w:sz w:val="18"/>
      <w:lang w:val="en-US" w:eastAsia="zh-CN" w:bidi="ar-SA"/>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page number"/>
    <w:basedOn w:val="6"/>
    <w:qFormat/>
    <w:uiPriority w:val="0"/>
  </w:style>
  <w:style w:type="character" w:styleId="9">
    <w:name w:val="annotation reference"/>
    <w:basedOn w:val="6"/>
    <w:qFormat/>
    <w:uiPriority w:val="0"/>
    <w:rPr>
      <w:sz w:val="21"/>
      <w:szCs w:val="21"/>
    </w:rPr>
  </w:style>
  <w:style w:type="paragraph" w:customStyle="1" w:styleId="10">
    <w:name w:val="正文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
    <w:name w:val="正文 New New New"/>
    <w:qFormat/>
    <w:uiPriority w:val="0"/>
    <w:pPr>
      <w:wordWrap w:val="0"/>
      <w:snapToGrid w:val="0"/>
      <w:spacing w:line="580" w:lineRule="atLeast"/>
      <w:ind w:firstLine="640"/>
      <w:jc w:val="both"/>
    </w:pPr>
    <w:rPr>
      <w:rFonts w:ascii="仿宋_GB2312" w:hAnsi="Arial" w:eastAsia="仿宋_GB2312" w:cs="Arial"/>
      <w:sz w:val="28"/>
      <w:szCs w:val="28"/>
      <w:lang w:val="en-US" w:eastAsia="zh-CN" w:bidi="ar-SA"/>
    </w:rPr>
  </w:style>
  <w:style w:type="character" w:customStyle="1" w:styleId="12">
    <w:name w:val="font61"/>
    <w:basedOn w:val="6"/>
    <w:qFormat/>
    <w:uiPriority w:val="0"/>
    <w:rPr>
      <w:rFonts w:hint="eastAsia" w:ascii="宋体" w:hAnsi="宋体" w:eastAsia="宋体" w:cs="宋体"/>
      <w:color w:val="000000"/>
      <w:sz w:val="14"/>
      <w:szCs w:val="14"/>
      <w:u w:val="none"/>
    </w:rPr>
  </w:style>
  <w:style w:type="character" w:customStyle="1" w:styleId="13">
    <w:name w:val="font111"/>
    <w:basedOn w:val="6"/>
    <w:qFormat/>
    <w:uiPriority w:val="0"/>
    <w:rPr>
      <w:rFonts w:hint="eastAsia" w:ascii="宋体" w:hAnsi="宋体" w:eastAsia="宋体" w:cs="宋体"/>
      <w:color w:val="000000"/>
      <w:sz w:val="32"/>
      <w:szCs w:val="32"/>
      <w:u w:val="none"/>
    </w:rPr>
  </w:style>
  <w:style w:type="character" w:customStyle="1" w:styleId="14">
    <w:name w:val="font121"/>
    <w:basedOn w:val="6"/>
    <w:qFormat/>
    <w:uiPriority w:val="0"/>
    <w:rPr>
      <w:rFonts w:hint="eastAsia" w:ascii="宋体" w:hAnsi="宋体" w:eastAsia="宋体" w:cs="宋体"/>
      <w:color w:val="000000"/>
      <w:sz w:val="24"/>
      <w:szCs w:val="24"/>
      <w:u w:val="none"/>
    </w:rPr>
  </w:style>
  <w:style w:type="character" w:customStyle="1" w:styleId="15">
    <w:name w:val="font11"/>
    <w:basedOn w:val="6"/>
    <w:qFormat/>
    <w:uiPriority w:val="0"/>
    <w:rPr>
      <w:rFonts w:hint="eastAsia" w:ascii="宋体" w:hAnsi="宋体" w:eastAsia="宋体" w:cs="宋体"/>
      <w:b/>
      <w:color w:val="000000"/>
      <w:sz w:val="32"/>
      <w:szCs w:val="32"/>
      <w:u w:val="none"/>
    </w:rPr>
  </w:style>
  <w:style w:type="character" w:customStyle="1" w:styleId="16">
    <w:name w:val="font31"/>
    <w:basedOn w:val="6"/>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◤Scorpio☜☞</dc:creator>
  <cp:lastModifiedBy>李涛</cp:lastModifiedBy>
  <dcterms:modified xsi:type="dcterms:W3CDTF">2021-07-02T00:41:12Z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916FF947459C4B2A988A38AE68C6E078</vt:lpwstr>
  </property>
</Properties>
</file>