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lang w:eastAsia="zh-CN"/>
        </w:rPr>
        <w:t>盘锦市聚乙烯吹塑农用地面覆盖薄膜</w:t>
      </w:r>
      <w:r>
        <w:rPr>
          <w:rFonts w:hint="eastAsia" w:ascii="仿宋_GB2312" w:hAnsi="宋体" w:eastAsia="仿宋_GB2312" w:cs="黑体"/>
          <w:b/>
          <w:spacing w:val="20"/>
          <w:w w:val="105"/>
          <w:sz w:val="36"/>
          <w:szCs w:val="36"/>
        </w:rPr>
        <w:t>产品</w:t>
      </w:r>
    </w:p>
    <w:p>
      <w:pPr>
        <w:jc w:val="center"/>
        <w:rPr>
          <w:rFonts w:ascii="黑体" w:hAnsi="宋体" w:eastAsia="黑体"/>
          <w:sz w:val="36"/>
          <w:szCs w:val="36"/>
        </w:rPr>
      </w:pPr>
      <w:r>
        <w:rPr>
          <w:rFonts w:hint="eastAsia" w:ascii="仿宋_GB2312" w:hAnsi="宋体" w:eastAsia="仿宋_GB2312" w:cs="黑体"/>
          <w:b/>
          <w:spacing w:val="20"/>
          <w:w w:val="105"/>
          <w:sz w:val="36"/>
          <w:szCs w:val="36"/>
        </w:rPr>
        <w:t>质量监督抽查实施细则</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1适用</w:t>
      </w:r>
      <w:r>
        <w:rPr>
          <w:rFonts w:hint="eastAsia" w:ascii="仿宋_GB2312" w:hAnsi="宋体" w:eastAsia="仿宋_GB2312"/>
          <w:b/>
          <w:bCs/>
          <w:sz w:val="28"/>
          <w:szCs w:val="28"/>
        </w:rPr>
        <w:t>范围</w:t>
      </w:r>
    </w:p>
    <w:p>
      <w:pPr>
        <w:adjustRightInd w:val="0"/>
        <w:snapToGrid w:val="0"/>
        <w:spacing w:line="360" w:lineRule="auto"/>
        <w:ind w:firstLine="560" w:firstLineChars="200"/>
        <w:rPr>
          <w:rFonts w:hint="eastAsia" w:ascii="仿宋_GB2312" w:hAnsi="宋体" w:eastAsia="仿宋_GB2312"/>
          <w:kern w:val="0"/>
          <w:sz w:val="28"/>
          <w:szCs w:val="28"/>
        </w:rPr>
      </w:pP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盘锦市聚乙烯吹塑农用地面覆盖薄膜</w:t>
      </w:r>
      <w:r>
        <w:rPr>
          <w:rFonts w:hint="eastAsia" w:ascii="仿宋_GB2312" w:hAnsi="宋体" w:eastAsia="仿宋_GB2312"/>
          <w:sz w:val="28"/>
          <w:szCs w:val="28"/>
        </w:rPr>
        <w:t>产品质量监督抽查。</w:t>
      </w:r>
      <w:r>
        <w:rPr>
          <w:rFonts w:hint="eastAsia" w:ascii="仿宋_GB2312" w:hAnsi="宋体" w:eastAsia="仿宋_GB2312"/>
          <w:kern w:val="0"/>
          <w:sz w:val="28"/>
          <w:szCs w:val="28"/>
        </w:rPr>
        <w:t>本细则内容包括产品分类、术语和定义、企业产品生产规模划分、检验依据、抽样、检验要求、判定原则、异议处理及附则。</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2</w:t>
      </w:r>
      <w:r>
        <w:rPr>
          <w:rFonts w:hint="eastAsia" w:ascii="仿宋_GB2312" w:hAnsi="宋体" w:eastAsia="仿宋_GB2312"/>
          <w:b/>
          <w:bCs/>
          <w:sz w:val="28"/>
          <w:szCs w:val="28"/>
        </w:rPr>
        <w:t>产品分类</w:t>
      </w:r>
    </w:p>
    <w:p>
      <w:pPr>
        <w:adjustRightInd w:val="0"/>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2.1 产品分类</w:t>
      </w:r>
    </w:p>
    <w:p>
      <w:pPr>
        <w:adjustRightInd w:val="0"/>
        <w:snapToGrid w:val="0"/>
        <w:spacing w:line="360" w:lineRule="auto"/>
        <w:ind w:firstLine="560" w:firstLineChars="200"/>
        <w:rPr>
          <w:rFonts w:hint="eastAsia" w:ascii="仿宋_GB2312" w:eastAsia="仿宋_GB2312"/>
          <w:sz w:val="28"/>
          <w:szCs w:val="28"/>
          <w:lang w:eastAsia="zh-CN"/>
        </w:rPr>
      </w:pPr>
      <w:r>
        <w:rPr>
          <w:rFonts w:hint="eastAsia" w:ascii="仿宋_GB2312" w:hAnsi="宋体" w:eastAsia="仿宋_GB2312"/>
          <w:sz w:val="28"/>
          <w:szCs w:val="28"/>
        </w:rPr>
        <w:t>本次细则所涉及产品为</w:t>
      </w:r>
      <w:r>
        <w:rPr>
          <w:rFonts w:hint="eastAsia" w:ascii="仿宋_GB2312" w:hAnsi="宋体" w:eastAsia="仿宋_GB2312"/>
          <w:sz w:val="28"/>
          <w:szCs w:val="28"/>
          <w:lang w:eastAsia="zh-CN"/>
        </w:rPr>
        <w:t>农用地膜。</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2.2产品种类</w:t>
      </w:r>
    </w:p>
    <w:p>
      <w:pPr>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聚乙烯吹塑农用地面覆盖薄膜</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2.3术语和定义</w:t>
      </w:r>
    </w:p>
    <w:p>
      <w:pPr>
        <w:snapToGrid w:val="0"/>
        <w:spacing w:line="360" w:lineRule="auto"/>
        <w:ind w:firstLine="560" w:firstLineChars="200"/>
        <w:rPr>
          <w:rFonts w:hint="eastAsia" w:ascii="仿宋_GB2312" w:eastAsia="仿宋_GB2312"/>
          <w:sz w:val="28"/>
          <w:szCs w:val="28"/>
          <w:highlight w:val="none"/>
        </w:rPr>
      </w:pPr>
      <w:r>
        <w:rPr>
          <w:rFonts w:hint="eastAsia" w:ascii="仿宋_GB2312" w:hAnsi="宋体" w:eastAsia="仿宋_GB2312"/>
          <w:color w:val="000000"/>
          <w:sz w:val="28"/>
          <w:szCs w:val="28"/>
          <w:highlight w:val="none"/>
        </w:rPr>
        <w:t>本细则出现的</w:t>
      </w:r>
      <w:r>
        <w:rPr>
          <w:rFonts w:hint="eastAsia" w:ascii="仿宋_GB2312" w:eastAsia="仿宋_GB2312"/>
          <w:sz w:val="28"/>
          <w:szCs w:val="28"/>
          <w:highlight w:val="none"/>
        </w:rPr>
        <w:t>术语和定义见相应产品标准规定。</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3企业</w:t>
      </w:r>
      <w:r>
        <w:rPr>
          <w:rFonts w:hint="eastAsia" w:ascii="仿宋_GB2312" w:hAnsi="黑体" w:eastAsia="仿宋_GB2312"/>
          <w:b/>
          <w:bCs/>
          <w:sz w:val="28"/>
          <w:szCs w:val="28"/>
          <w:highlight w:val="none"/>
          <w:lang w:eastAsia="zh-CN"/>
        </w:rPr>
        <w:t>聚乙烯吹塑农用地面覆盖薄膜</w:t>
      </w:r>
      <w:r>
        <w:rPr>
          <w:rFonts w:hint="eastAsia" w:ascii="仿宋_GB2312" w:eastAsia="仿宋_GB2312"/>
          <w:b/>
          <w:bCs/>
          <w:sz w:val="28"/>
          <w:szCs w:val="28"/>
        </w:rPr>
        <w:t>产品生产规模划分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根据国家统计局印发的相关管理办法，确定企业规模。</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4检验依据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widowControl/>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GB 13735-2017聚乙烯吹塑农用地面覆盖薄膜</w:t>
      </w:r>
    </w:p>
    <w:p>
      <w:pPr>
        <w:snapToGrid w:val="0"/>
        <w:spacing w:line="440" w:lineRule="exact"/>
        <w:ind w:firstLine="560" w:firstLineChars="200"/>
        <w:rPr>
          <w:rFonts w:ascii="仿宋_GB2312" w:eastAsia="仿宋_GB2312"/>
          <w:kern w:val="0"/>
          <w:sz w:val="28"/>
          <w:szCs w:val="28"/>
        </w:rPr>
      </w:pPr>
      <w:r>
        <w:rPr>
          <w:rFonts w:hint="eastAsia" w:ascii="仿宋_GB2312" w:eastAsia="仿宋_GB2312"/>
          <w:kern w:val="0"/>
          <w:sz w:val="28"/>
          <w:szCs w:val="28"/>
        </w:rPr>
        <w:t>相关的法律法规、部门规章和规范</w:t>
      </w:r>
    </w:p>
    <w:p>
      <w:pPr>
        <w:snapToGrid w:val="0"/>
        <w:spacing w:line="440" w:lineRule="exact"/>
        <w:ind w:firstLine="560" w:firstLineChars="200"/>
        <w:rPr>
          <w:rFonts w:ascii="仿宋_GB2312" w:eastAsia="仿宋_GB2312"/>
          <w:kern w:val="0"/>
          <w:sz w:val="28"/>
          <w:szCs w:val="28"/>
        </w:rPr>
      </w:pPr>
      <w:r>
        <w:rPr>
          <w:rFonts w:hint="eastAsia" w:ascii="仿宋_GB2312" w:eastAsia="仿宋_GB2312"/>
          <w:kern w:val="0"/>
          <w:sz w:val="28"/>
          <w:szCs w:val="28"/>
        </w:rPr>
        <w:t>现行有效的企业标准、团体标准、地方标准及产品明示质量要求</w:t>
      </w:r>
    </w:p>
    <w:p>
      <w:pPr>
        <w:adjustRightInd w:val="0"/>
        <w:snapToGrid w:val="0"/>
        <w:spacing w:line="360" w:lineRule="auto"/>
        <w:ind w:firstLine="551" w:firstLineChars="196"/>
        <w:rPr>
          <w:rFonts w:hint="eastAsia" w:ascii="仿宋_GB2312" w:eastAsia="仿宋_GB2312"/>
          <w:b/>
          <w:bCs/>
          <w:sz w:val="28"/>
          <w:szCs w:val="28"/>
        </w:rPr>
      </w:pPr>
      <w:r>
        <w:rPr>
          <w:rFonts w:hint="eastAsia" w:ascii="仿宋_GB2312" w:eastAsia="仿宋_GB2312"/>
          <w:b/>
          <w:bCs/>
          <w:sz w:val="28"/>
          <w:szCs w:val="28"/>
          <w:lang w:val="en-US" w:eastAsia="zh-CN"/>
        </w:rPr>
        <w:t>5</w:t>
      </w:r>
      <w:r>
        <w:rPr>
          <w:rFonts w:hint="eastAsia" w:ascii="仿宋_GB2312" w:eastAsia="仿宋_GB2312"/>
          <w:b/>
          <w:bCs/>
          <w:sz w:val="28"/>
          <w:szCs w:val="28"/>
        </w:rPr>
        <w:t>抽样</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.1抽样型号或规格</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抽取样品应为同一型号规格、同一批次的产品。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.2抽样基数、抽样数量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xml:space="preserve">.2.1 </w:t>
      </w:r>
      <w:r>
        <w:rPr>
          <w:rFonts w:hint="eastAsia" w:ascii="仿宋_GB2312" w:hAnsi="仿宋_GB2312" w:eastAsia="仿宋_GB2312" w:cs="仿宋_GB2312"/>
          <w:sz w:val="28"/>
          <w:szCs w:val="28"/>
        </w:rPr>
        <w:t>在企业的成品库内或市场待销产品中随机抽取有产品质量检验合格证明或者以其他形式表明合格的、近期生产的产品。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.2.2抽样基数</w:t>
      </w:r>
    </w:p>
    <w:p>
      <w:pPr>
        <w:adjustRightInd w:val="0"/>
        <w:snapToGrid w:val="0"/>
        <w:spacing w:line="360" w:lineRule="auto"/>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生产领域抽样时，抽样基数应不少于500公斤。在流通领域抽样时，抽样基数满足抽样数量即可。</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.2.3抽样方法及数量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随机抽取三卷薄膜，将抽到的三卷薄膜去掉外层10米（农用薄膜若外包装良好，可去掉外层3米）后，每卷取一块、长度4米（或面积不少于4m</w:t>
      </w:r>
      <w:r>
        <w:rPr>
          <w:rFonts w:hint="eastAsia" w:ascii="仿宋_GB2312" w:eastAsia="仿宋_GB2312"/>
          <w:sz w:val="28"/>
          <w:szCs w:val="28"/>
          <w:vertAlign w:val="superscript"/>
        </w:rPr>
        <w:t>2</w:t>
      </w:r>
      <w:r>
        <w:rPr>
          <w:rFonts w:hint="eastAsia" w:ascii="仿宋_GB2312" w:eastAsia="仿宋_GB2312"/>
          <w:sz w:val="28"/>
          <w:szCs w:val="28"/>
        </w:rPr>
        <w:t>），将三块薄膜按编号1、2、3号标明，其中1、2号薄膜签封标明为检验样品，3号薄膜签封标明为备用样品。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随机抽样工具选择扑克牌或骰子，随机数一般可使用随机数表、骰子或扑克牌等方法产生。</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.3样品处置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.3.1封样</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抽取的样品应包装好，将封样单展开粘贴于已包装样品的封口处，由抽样人员和被抽查企业有关人员在封样单上签名。为防拆封，可使用多张封样单。</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.3.2样品保存</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样品必须保存在室温的环境下，距热源不小于1m。不得使薄膜挤压变形或损伤。</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.3.3运送时应防止剧烈碰撞损坏样品。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.4抽样单</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应按有关规定填写抽样单，并记录被抽查产品及企业相关信息。需要被抽企业提供的薄膜种类和规格尺寸在规格栏中注明，应在抽样现场获取，并经企业确认。</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.5样品获取方式</w:t>
      </w:r>
    </w:p>
    <w:p>
      <w:pPr>
        <w:adjustRightInd w:val="0"/>
        <w:snapToGrid w:val="0"/>
        <w:spacing w:line="594" w:lineRule="exact"/>
        <w:ind w:firstLine="560" w:firstLineChars="200"/>
        <w:jc w:val="left"/>
        <w:rPr>
          <w:rFonts w:hint="eastAsia" w:ascii="仿宋_GB2312" w:eastAsia="仿宋_GB2312"/>
          <w:sz w:val="28"/>
          <w:szCs w:val="28"/>
        </w:rPr>
      </w:pPr>
      <w:r>
        <w:rPr>
          <w:rFonts w:hint="eastAsia" w:ascii="仿宋_GB2312" w:eastAsia="仿宋_GB2312"/>
          <w:sz w:val="28"/>
          <w:szCs w:val="28"/>
        </w:rPr>
        <w:t>监督抽查所需的样品要在受检企业以购买方式获取。</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bookmarkStart w:id="0" w:name="_GoBack"/>
      <w:bookmarkEnd w:id="0"/>
      <w:r>
        <w:rPr>
          <w:rFonts w:hint="eastAsia" w:ascii="仿宋_GB2312" w:eastAsia="仿宋_GB2312"/>
          <w:sz w:val="28"/>
          <w:szCs w:val="28"/>
        </w:rPr>
        <w:t>.6抽样注意事项</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 xml:space="preserve">抽样时，抽样人员应当认真核实营业执照等被抽查企业的相关信息，确认企业不存在不得抽样的情形。遇有下列情况之一且能提供有效证明的，不得抽样： </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（1）被抽查企业无监督抽查通知书或者相关文件复印件所列产品的；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（2）有充分证据证明拟抽查的产品是不用于销售的；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（3）产品不涉及强制性标准要求，仅按双方约定的技术要求加工生产，且未执行任何标准的；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（4）有充分证据证明拟抽查的产品为企业用于出口，并且出口合同对产品质量另有规定的；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（5）产品或者标签、包装、说明书标有“试制”、“处理”或者“样品”等字样的；</w:t>
      </w:r>
    </w:p>
    <w:p>
      <w:pPr>
        <w:adjustRightInd w:val="0"/>
        <w:snapToGrid w:val="0"/>
        <w:spacing w:line="594" w:lineRule="exact"/>
        <w:ind w:firstLine="560" w:firstLineChars="200"/>
        <w:jc w:val="left"/>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6</w:t>
      </w:r>
      <w:r>
        <w:rPr>
          <w:rFonts w:hint="eastAsia" w:ascii="仿宋_GB2312" w:eastAsia="仿宋_GB2312" w:cs="仿宋_GB2312"/>
          <w:sz w:val="28"/>
          <w:szCs w:val="28"/>
        </w:rPr>
        <w:t>）企业提供上级市场监管部门6个月内该种产品的监督抽查抽样单或者合格检验报告的。</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6检验要求</w:t>
      </w:r>
    </w:p>
    <w:p>
      <w:pPr>
        <w:adjustRightInd w:val="0"/>
        <w:snapToGrid w:val="0"/>
        <w:spacing w:line="360" w:lineRule="auto"/>
        <w:ind w:firstLine="548" w:firstLineChars="196"/>
        <w:rPr>
          <w:rFonts w:ascii="仿宋_GB2312" w:hAnsi="宋体" w:eastAsia="仿宋_GB2312"/>
          <w:color w:val="000000"/>
          <w:szCs w:val="21"/>
        </w:rPr>
      </w:pPr>
      <w:r>
        <w:rPr>
          <w:rFonts w:hint="eastAsia" w:ascii="仿宋_GB2312" w:eastAsia="仿宋_GB2312"/>
          <w:sz w:val="28"/>
          <w:szCs w:val="28"/>
        </w:rPr>
        <w:t>6.1检验项目</w:t>
      </w:r>
    </w:p>
    <w:tbl>
      <w:tblPr>
        <w:tblStyle w:val="6"/>
        <w:tblW w:w="7868" w:type="dxa"/>
        <w:jc w:val="center"/>
        <w:tblLayout w:type="fixed"/>
        <w:tblCellMar>
          <w:top w:w="0" w:type="dxa"/>
          <w:left w:w="108" w:type="dxa"/>
          <w:bottom w:w="0" w:type="dxa"/>
          <w:right w:w="108" w:type="dxa"/>
        </w:tblCellMar>
      </w:tblPr>
      <w:tblGrid>
        <w:gridCol w:w="799"/>
        <w:gridCol w:w="3047"/>
        <w:gridCol w:w="1871"/>
        <w:gridCol w:w="2151"/>
      </w:tblGrid>
      <w:tr>
        <w:tblPrEx>
          <w:tblCellMar>
            <w:top w:w="0" w:type="dxa"/>
            <w:left w:w="108" w:type="dxa"/>
            <w:bottom w:w="0" w:type="dxa"/>
            <w:right w:w="108" w:type="dxa"/>
          </w:tblCellMar>
        </w:tblPrEx>
        <w:trPr>
          <w:trHeight w:val="456" w:hRule="atLeast"/>
          <w:tblHeader/>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eastAsia="仿宋_GB2312"/>
                <w:b/>
              </w:rPr>
            </w:pPr>
            <w:r>
              <w:rPr>
                <w:rFonts w:hint="eastAsia" w:ascii="仿宋_GB2312" w:eastAsia="仿宋_GB2312"/>
                <w:b/>
              </w:rPr>
              <w:t>序号</w:t>
            </w:r>
          </w:p>
        </w:tc>
        <w:tc>
          <w:tcPr>
            <w:tcW w:w="304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b/>
              </w:rPr>
            </w:pPr>
            <w:r>
              <w:rPr>
                <w:rFonts w:hint="eastAsia" w:ascii="仿宋_GB2312" w:eastAsia="仿宋_GB2312"/>
                <w:b/>
              </w:rPr>
              <w:t>检测项目名称</w:t>
            </w:r>
          </w:p>
        </w:tc>
        <w:tc>
          <w:tcPr>
            <w:tcW w:w="1871"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hAnsi="宋体" w:eastAsia="宋体" w:cs="仿宋_GB2312"/>
                <w:b/>
                <w:color w:val="000000"/>
                <w:kern w:val="2"/>
                <w:sz w:val="21"/>
                <w:szCs w:val="21"/>
                <w:lang w:val="en-US" w:eastAsia="zh-CN" w:bidi="ar-SA"/>
              </w:rPr>
            </w:pPr>
            <w:r>
              <w:rPr>
                <w:rFonts w:hint="eastAsia" w:ascii="宋体" w:hAnsi="宋体" w:cs="仿宋_GB2312"/>
                <w:b/>
                <w:color w:val="000000"/>
                <w:szCs w:val="21"/>
                <w:lang w:bidi="ar"/>
              </w:rPr>
              <w:t>依据标准</w:t>
            </w:r>
          </w:p>
        </w:tc>
        <w:tc>
          <w:tcPr>
            <w:tcW w:w="2151"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hAnsi="宋体" w:eastAsia="宋体" w:cs="仿宋_GB2312"/>
                <w:b/>
                <w:color w:val="000000"/>
                <w:kern w:val="2"/>
                <w:sz w:val="21"/>
                <w:szCs w:val="21"/>
                <w:lang w:val="en-US" w:eastAsia="zh-CN" w:bidi="ar-SA"/>
              </w:rPr>
            </w:pPr>
            <w:r>
              <w:rPr>
                <w:rFonts w:hint="eastAsia" w:ascii="宋体" w:hAnsi="宋体"/>
                <w:b/>
                <w:color w:val="000000"/>
                <w:szCs w:val="21"/>
              </w:rPr>
              <w:t>检验方法</w:t>
            </w:r>
          </w:p>
        </w:tc>
      </w:tr>
      <w:tr>
        <w:tblPrEx>
          <w:tblCellMar>
            <w:top w:w="0" w:type="dxa"/>
            <w:left w:w="108" w:type="dxa"/>
            <w:bottom w:w="0" w:type="dxa"/>
            <w:right w:w="108" w:type="dxa"/>
          </w:tblCellMar>
        </w:tblPrEx>
        <w:trPr>
          <w:trHeight w:val="456" w:hRule="atLeast"/>
          <w:jc w:val="center"/>
        </w:trPr>
        <w:tc>
          <w:tcPr>
            <w:tcW w:w="799"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1</w:t>
            </w:r>
          </w:p>
        </w:tc>
        <w:tc>
          <w:tcPr>
            <w:tcW w:w="304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拉伸负荷（纵、横向）</w:t>
            </w:r>
          </w:p>
        </w:tc>
        <w:tc>
          <w:tcPr>
            <w:tcW w:w="1871"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仿宋_GB2312" w:eastAsia="仿宋_GB2312" w:cs="Times New Roman"/>
                <w:lang w:val="en-US" w:eastAsia="zh-CN"/>
              </w:rPr>
            </w:pPr>
            <w:r>
              <w:rPr>
                <w:rFonts w:hint="default" w:ascii="仿宋_GB2312" w:eastAsia="仿宋_GB2312" w:cs="Times New Roman"/>
                <w:lang w:val="en-US" w:eastAsia="zh-CN"/>
              </w:rPr>
              <w:t>GB</w:t>
            </w:r>
            <w:r>
              <w:rPr>
                <w:rFonts w:hint="eastAsia" w:ascii="仿宋_GB2312" w:eastAsia="仿宋_GB2312" w:cs="Times New Roman"/>
                <w:lang w:val="en-US" w:eastAsia="zh-CN"/>
              </w:rPr>
              <w:t xml:space="preserve"> </w:t>
            </w:r>
            <w:r>
              <w:rPr>
                <w:rFonts w:hint="default" w:ascii="仿宋_GB2312" w:eastAsia="仿宋_GB2312" w:cs="Times New Roman"/>
                <w:lang w:val="en-US" w:eastAsia="zh-CN"/>
              </w:rPr>
              <w:t>13735</w:t>
            </w:r>
          </w:p>
        </w:tc>
        <w:tc>
          <w:tcPr>
            <w:tcW w:w="2151"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仿宋_GB2312" w:eastAsia="仿宋_GB2312" w:cs="Times New Roman"/>
                <w:lang w:val="en-US" w:eastAsia="zh-CN"/>
              </w:rPr>
            </w:pPr>
            <w:r>
              <w:rPr>
                <w:rFonts w:hint="default" w:ascii="仿宋_GB2312" w:eastAsia="仿宋_GB2312" w:cs="Times New Roman"/>
                <w:lang w:val="en-US" w:eastAsia="zh-CN"/>
              </w:rPr>
              <w:t>GB</w:t>
            </w:r>
            <w:r>
              <w:rPr>
                <w:rFonts w:hint="eastAsia" w:ascii="仿宋_GB2312" w:eastAsia="仿宋_GB2312" w:cs="Times New Roman"/>
                <w:lang w:val="en-US" w:eastAsia="zh-CN"/>
              </w:rPr>
              <w:t xml:space="preserve"> </w:t>
            </w:r>
            <w:r>
              <w:rPr>
                <w:rFonts w:hint="default" w:ascii="仿宋_GB2312" w:eastAsia="仿宋_GB2312" w:cs="Times New Roman"/>
                <w:lang w:val="en-US" w:eastAsia="zh-CN"/>
              </w:rPr>
              <w:t>13735</w:t>
            </w:r>
          </w:p>
        </w:tc>
      </w:tr>
      <w:tr>
        <w:tblPrEx>
          <w:tblCellMar>
            <w:top w:w="0" w:type="dxa"/>
            <w:left w:w="108" w:type="dxa"/>
            <w:bottom w:w="0" w:type="dxa"/>
            <w:right w:w="108" w:type="dxa"/>
          </w:tblCellMar>
        </w:tblPrEx>
        <w:trPr>
          <w:trHeight w:val="456" w:hRule="atLeast"/>
          <w:jc w:val="center"/>
        </w:trPr>
        <w:tc>
          <w:tcPr>
            <w:tcW w:w="799"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2</w:t>
            </w:r>
          </w:p>
        </w:tc>
        <w:tc>
          <w:tcPr>
            <w:tcW w:w="304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断裂标称应变（纵、横向）</w:t>
            </w:r>
          </w:p>
        </w:tc>
        <w:tc>
          <w:tcPr>
            <w:tcW w:w="187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GB</w:t>
            </w:r>
            <w:r>
              <w:rPr>
                <w:rFonts w:hint="eastAsia" w:ascii="仿宋_GB2312" w:eastAsia="仿宋_GB2312" w:cs="Times New Roman"/>
                <w:lang w:val="en-US" w:eastAsia="zh-CN"/>
              </w:rPr>
              <w:t xml:space="preserve"> </w:t>
            </w:r>
            <w:r>
              <w:rPr>
                <w:rFonts w:hint="default" w:ascii="仿宋_GB2312" w:eastAsia="仿宋_GB2312" w:cs="Times New Roman"/>
                <w:lang w:val="en-US" w:eastAsia="zh-CN"/>
              </w:rPr>
              <w:t>13735</w:t>
            </w:r>
          </w:p>
        </w:tc>
        <w:tc>
          <w:tcPr>
            <w:tcW w:w="215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GB</w:t>
            </w:r>
            <w:r>
              <w:rPr>
                <w:rFonts w:hint="eastAsia" w:ascii="仿宋_GB2312" w:eastAsia="仿宋_GB2312" w:cs="Times New Roman"/>
                <w:lang w:val="en-US" w:eastAsia="zh-CN"/>
              </w:rPr>
              <w:t xml:space="preserve"> </w:t>
            </w:r>
            <w:r>
              <w:rPr>
                <w:rFonts w:hint="default" w:ascii="仿宋_GB2312" w:eastAsia="仿宋_GB2312" w:cs="Times New Roman"/>
                <w:lang w:val="en-US" w:eastAsia="zh-CN"/>
              </w:rPr>
              <w:t>13735</w:t>
            </w:r>
          </w:p>
        </w:tc>
      </w:tr>
      <w:tr>
        <w:tblPrEx>
          <w:tblCellMar>
            <w:top w:w="0" w:type="dxa"/>
            <w:left w:w="108" w:type="dxa"/>
            <w:bottom w:w="0" w:type="dxa"/>
            <w:right w:w="108" w:type="dxa"/>
          </w:tblCellMar>
        </w:tblPrEx>
        <w:trPr>
          <w:trHeight w:val="456" w:hRule="atLeast"/>
          <w:jc w:val="center"/>
        </w:trPr>
        <w:tc>
          <w:tcPr>
            <w:tcW w:w="799"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3</w:t>
            </w:r>
          </w:p>
        </w:tc>
        <w:tc>
          <w:tcPr>
            <w:tcW w:w="304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直角撕裂负荷（纵、横向）</w:t>
            </w:r>
          </w:p>
        </w:tc>
        <w:tc>
          <w:tcPr>
            <w:tcW w:w="1871"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仿宋_GB2312" w:eastAsia="仿宋_GB2312" w:cs="Times New Roman"/>
                <w:lang w:val="en-US" w:eastAsia="zh-CN"/>
              </w:rPr>
            </w:pPr>
            <w:r>
              <w:rPr>
                <w:rFonts w:hint="default" w:ascii="仿宋_GB2312" w:eastAsia="仿宋_GB2312" w:cs="Times New Roman"/>
                <w:lang w:val="en-US" w:eastAsia="zh-CN"/>
              </w:rPr>
              <w:t>GB</w:t>
            </w:r>
            <w:r>
              <w:rPr>
                <w:rFonts w:hint="eastAsia" w:ascii="仿宋_GB2312" w:eastAsia="仿宋_GB2312" w:cs="Times New Roman"/>
                <w:lang w:val="en-US" w:eastAsia="zh-CN"/>
              </w:rPr>
              <w:t xml:space="preserve"> </w:t>
            </w:r>
            <w:r>
              <w:rPr>
                <w:rFonts w:hint="default" w:ascii="仿宋_GB2312" w:eastAsia="仿宋_GB2312" w:cs="Times New Roman"/>
                <w:lang w:val="en-US" w:eastAsia="zh-CN"/>
              </w:rPr>
              <w:t>13735</w:t>
            </w:r>
          </w:p>
        </w:tc>
        <w:tc>
          <w:tcPr>
            <w:tcW w:w="2151"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仿宋_GB2312" w:eastAsia="仿宋_GB2312" w:cs="Times New Roman"/>
                <w:lang w:val="en-US" w:eastAsia="zh-CN"/>
              </w:rPr>
            </w:pPr>
            <w:r>
              <w:rPr>
                <w:rFonts w:hint="default" w:ascii="仿宋_GB2312" w:eastAsia="仿宋_GB2312" w:cs="Times New Roman"/>
                <w:lang w:val="en-US" w:eastAsia="zh-CN"/>
              </w:rPr>
              <w:t>QB/T</w:t>
            </w:r>
            <w:r>
              <w:rPr>
                <w:rFonts w:hint="eastAsia" w:ascii="仿宋_GB2312" w:eastAsia="仿宋_GB2312" w:cs="Times New Roman"/>
                <w:lang w:val="en-US" w:eastAsia="zh-CN"/>
              </w:rPr>
              <w:t xml:space="preserve"> </w:t>
            </w:r>
            <w:r>
              <w:rPr>
                <w:rFonts w:hint="default" w:ascii="仿宋_GB2312" w:eastAsia="仿宋_GB2312" w:cs="Times New Roman"/>
                <w:lang w:val="en-US" w:eastAsia="zh-CN"/>
              </w:rPr>
              <w:t>1130</w:t>
            </w:r>
          </w:p>
        </w:tc>
      </w:tr>
      <w:tr>
        <w:tblPrEx>
          <w:tblCellMar>
            <w:top w:w="0" w:type="dxa"/>
            <w:left w:w="108" w:type="dxa"/>
            <w:bottom w:w="0" w:type="dxa"/>
            <w:right w:w="108" w:type="dxa"/>
          </w:tblCellMar>
        </w:tblPrEx>
        <w:trPr>
          <w:trHeight w:val="456" w:hRule="atLeast"/>
          <w:jc w:val="center"/>
        </w:trPr>
        <w:tc>
          <w:tcPr>
            <w:tcW w:w="799"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4</w:t>
            </w:r>
          </w:p>
        </w:tc>
        <w:tc>
          <w:tcPr>
            <w:tcW w:w="304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厚度和厚度偏差</w:t>
            </w:r>
          </w:p>
        </w:tc>
        <w:tc>
          <w:tcPr>
            <w:tcW w:w="187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eastAsia="仿宋_GB2312" w:cs="Times New Roman"/>
                <w:lang w:val="en-US" w:eastAsia="zh-CN"/>
              </w:rPr>
            </w:pPr>
            <w:r>
              <w:rPr>
                <w:rFonts w:hint="default" w:ascii="仿宋_GB2312" w:eastAsia="仿宋_GB2312" w:cs="Times New Roman"/>
                <w:lang w:val="en-US" w:eastAsia="zh-CN"/>
              </w:rPr>
              <w:t>GB</w:t>
            </w:r>
            <w:r>
              <w:rPr>
                <w:rFonts w:hint="eastAsia" w:ascii="仿宋_GB2312" w:eastAsia="仿宋_GB2312" w:cs="Times New Roman"/>
                <w:lang w:val="en-US" w:eastAsia="zh-CN"/>
              </w:rPr>
              <w:t xml:space="preserve"> </w:t>
            </w:r>
            <w:r>
              <w:rPr>
                <w:rFonts w:hint="default" w:ascii="仿宋_GB2312" w:eastAsia="仿宋_GB2312" w:cs="Times New Roman"/>
                <w:lang w:val="en-US" w:eastAsia="zh-CN"/>
              </w:rPr>
              <w:t>13735</w:t>
            </w:r>
          </w:p>
        </w:tc>
        <w:tc>
          <w:tcPr>
            <w:tcW w:w="2151"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仿宋_GB2312" w:eastAsia="仿宋_GB2312" w:cs="Times New Roman"/>
                <w:lang w:val="en-US" w:eastAsia="zh-CN"/>
              </w:rPr>
            </w:pPr>
            <w:r>
              <w:rPr>
                <w:rFonts w:hint="default" w:ascii="仿宋_GB2312" w:eastAsia="仿宋_GB2312" w:cs="Times New Roman"/>
                <w:lang w:val="en-US" w:eastAsia="zh-CN"/>
              </w:rPr>
              <w:t>QB/T</w:t>
            </w:r>
            <w:r>
              <w:rPr>
                <w:rFonts w:hint="eastAsia" w:ascii="仿宋_GB2312" w:eastAsia="仿宋_GB2312" w:cs="Times New Roman"/>
                <w:lang w:val="en-US" w:eastAsia="zh-CN"/>
              </w:rPr>
              <w:t xml:space="preserve"> </w:t>
            </w:r>
            <w:r>
              <w:rPr>
                <w:rFonts w:hint="default" w:ascii="仿宋_GB2312" w:eastAsia="仿宋_GB2312" w:cs="Times New Roman"/>
                <w:lang w:val="en-US" w:eastAsia="zh-CN"/>
              </w:rPr>
              <w:t>6672</w:t>
            </w:r>
          </w:p>
        </w:tc>
      </w:tr>
    </w:tbl>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w:t>
      </w:r>
      <w:r>
        <w:rPr>
          <w:rFonts w:hint="eastAsia" w:ascii="仿宋_GB2312" w:eastAsia="仿宋_GB2312"/>
          <w:sz w:val="28"/>
          <w:szCs w:val="28"/>
          <w:lang w:val="en-US" w:eastAsia="zh-CN"/>
        </w:rPr>
        <w:t>2</w:t>
      </w:r>
      <w:r>
        <w:rPr>
          <w:rFonts w:hint="eastAsia" w:ascii="仿宋_GB2312" w:eastAsia="仿宋_GB2312"/>
          <w:sz w:val="28"/>
          <w:szCs w:val="28"/>
        </w:rPr>
        <w:t>检验应注意的问题</w:t>
      </w:r>
    </w:p>
    <w:p>
      <w:pPr>
        <w:pStyle w:val="4"/>
        <w:snapToGrid w:val="0"/>
        <w:spacing w:line="360" w:lineRule="auto"/>
        <w:ind w:left="0" w:leftChars="0" w:firstLine="560" w:firstLineChars="200"/>
        <w:rPr>
          <w:rFonts w:ascii="仿宋_GB2312" w:hAnsi="宋体" w:eastAsia="仿宋_GB2312"/>
          <w:sz w:val="28"/>
          <w:szCs w:val="28"/>
        </w:rPr>
      </w:pPr>
      <w:r>
        <w:rPr>
          <w:rFonts w:hint="eastAsia" w:ascii="仿宋_GB2312" w:hAnsi="宋体" w:eastAsia="仿宋_GB2312"/>
          <w:sz w:val="28"/>
          <w:szCs w:val="28"/>
        </w:rPr>
        <w:t>若被检产品明示的质量要求高于本细则中检验项目依据的标准要求时，应按被检产品明示的质量要求判定。</w:t>
      </w:r>
    </w:p>
    <w:p>
      <w:pPr>
        <w:pStyle w:val="4"/>
        <w:snapToGrid w:val="0"/>
        <w:spacing w:line="360" w:lineRule="auto"/>
        <w:ind w:left="0" w:leftChars="0" w:firstLine="560" w:firstLineChars="200"/>
        <w:rPr>
          <w:rFonts w:ascii="仿宋_GB2312" w:hAnsi="宋体" w:eastAsia="仿宋_GB2312"/>
          <w:sz w:val="28"/>
          <w:szCs w:val="28"/>
        </w:rPr>
      </w:pPr>
      <w:r>
        <w:rPr>
          <w:rFonts w:hint="eastAsia" w:ascii="仿宋_GB2312" w:hAnsi="宋体" w:eastAsia="仿宋_GB2312"/>
          <w:sz w:val="28"/>
          <w:szCs w:val="28"/>
        </w:rPr>
        <w:t>若被检产品明示的质量要求低于本细则中检验项目依据的强制性标准要求时，应按照强制性标准要求判定。</w:t>
      </w:r>
    </w:p>
    <w:p>
      <w:pPr>
        <w:pStyle w:val="4"/>
        <w:snapToGrid w:val="0"/>
        <w:spacing w:line="360" w:lineRule="auto"/>
        <w:ind w:left="0" w:leftChars="0" w:firstLine="560" w:firstLineChars="200"/>
        <w:rPr>
          <w:rFonts w:ascii="仿宋_GB2312" w:hAnsi="宋体" w:eastAsia="仿宋_GB2312"/>
          <w:sz w:val="28"/>
          <w:szCs w:val="28"/>
        </w:rPr>
      </w:pPr>
      <w:r>
        <w:rPr>
          <w:rFonts w:hint="eastAsia" w:ascii="仿宋_GB2312" w:hAnsi="宋体" w:eastAsia="仿宋_GB2312"/>
          <w:sz w:val="28"/>
          <w:szCs w:val="28"/>
        </w:rPr>
        <w:t>若被检产品明示的质量要求低于或包含本细则中检验项目依据的推荐性标准要求时，应以被检产品明示的质量要求判定。</w:t>
      </w:r>
    </w:p>
    <w:p>
      <w:pPr>
        <w:pStyle w:val="4"/>
        <w:snapToGrid w:val="0"/>
        <w:spacing w:line="360" w:lineRule="auto"/>
        <w:ind w:left="0" w:leftChars="0" w:firstLine="560" w:firstLineChars="200"/>
        <w:rPr>
          <w:rFonts w:ascii="仿宋_GB2312" w:hAnsi="宋体" w:eastAsia="仿宋_GB2312"/>
          <w:sz w:val="28"/>
          <w:szCs w:val="28"/>
        </w:rPr>
      </w:pPr>
      <w:r>
        <w:rPr>
          <w:rFonts w:hint="eastAsia" w:ascii="仿宋_GB2312" w:hAnsi="宋体" w:eastAsia="仿宋_GB2312"/>
          <w:sz w:val="28"/>
          <w:szCs w:val="28"/>
        </w:rPr>
        <w:t>若被检产品明示的质量要求缺少本细则中检验项目依据的强制性标准要求时，应按照强制性标准要求判定。</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hAnsi="宋体" w:eastAsia="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7判定原则</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经检验，检验项目全部合格，判定为被抽查产品合格；检验项目中任一项或一项以上不合格，判定为被抽查产品不合格。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 w:hAnsi="仿宋" w:eastAsia="仿宋" w:cs="仿宋"/>
          <w:i w:val="0"/>
          <w:iCs w:val="0"/>
          <w:caps w:val="0"/>
          <w:color w:val="333333"/>
          <w:spacing w:val="0"/>
          <w:sz w:val="28"/>
          <w:szCs w:val="28"/>
          <w:shd w:val="clear" w:color="auto" w:fill="FFFFFF"/>
        </w:rPr>
      </w:pPr>
      <w:r>
        <w:rPr>
          <w:rFonts w:hint="eastAsia" w:ascii="仿宋" w:hAnsi="仿宋" w:eastAsia="仿宋" w:cs="仿宋"/>
          <w:i w:val="0"/>
          <w:iCs w:val="0"/>
          <w:caps w:val="0"/>
          <w:color w:val="333333"/>
          <w:spacing w:val="0"/>
          <w:sz w:val="28"/>
          <w:szCs w:val="28"/>
          <w:shd w:val="clear" w:color="auto" w:fill="FFFFFF"/>
        </w:rPr>
        <w:t>结论用语：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经抽样检验，所检项目符合**标准要求，依据《盘锦市</w:t>
      </w:r>
      <w:r>
        <w:rPr>
          <w:rFonts w:hint="eastAsia" w:ascii="仿宋_GB2312" w:hAnsi="Times New Roman" w:eastAsia="仿宋_GB2312" w:cs="Times New Roman"/>
          <w:sz w:val="28"/>
          <w:szCs w:val="28"/>
          <w:lang w:eastAsia="zh-CN"/>
        </w:rPr>
        <w:t>聚乙烯吹塑农用地面覆盖薄膜</w:t>
      </w:r>
      <w:r>
        <w:rPr>
          <w:rFonts w:hint="eastAsia" w:ascii="仿宋_GB2312" w:hAnsi="Times New Roman" w:eastAsia="仿宋_GB2312" w:cs="Times New Roman"/>
          <w:sz w:val="28"/>
          <w:szCs w:val="28"/>
          <w:lang w:val="en-US" w:eastAsia="zh-CN"/>
        </w:rPr>
        <w:t>产品质量监督抽查实施细则》，判定为合格。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rPr>
      </w:pPr>
      <w:r>
        <w:rPr>
          <w:rFonts w:hint="eastAsia" w:ascii="仿宋_GB2312" w:hAnsi="Times New Roman" w:eastAsia="仿宋_GB2312" w:cs="Times New Roman"/>
          <w:sz w:val="28"/>
          <w:szCs w:val="28"/>
          <w:lang w:val="en-US" w:eastAsia="zh-CN"/>
        </w:rPr>
        <w:t>经抽样检验，**项目不符合**标准要求，依据《盘锦市</w:t>
      </w:r>
      <w:r>
        <w:rPr>
          <w:rFonts w:hint="eastAsia" w:ascii="仿宋_GB2312" w:hAnsi="Times New Roman" w:eastAsia="仿宋_GB2312" w:cs="Times New Roman"/>
          <w:sz w:val="28"/>
          <w:szCs w:val="28"/>
          <w:lang w:eastAsia="zh-CN"/>
        </w:rPr>
        <w:t>聚乙烯吹塑农用地面覆盖薄膜</w:t>
      </w:r>
      <w:r>
        <w:rPr>
          <w:rFonts w:hint="eastAsia" w:ascii="仿宋_GB2312" w:hAnsi="Times New Roman" w:eastAsia="仿宋_GB2312" w:cs="Times New Roman"/>
          <w:sz w:val="28"/>
          <w:szCs w:val="28"/>
          <w:lang w:val="en-US" w:eastAsia="zh-CN"/>
        </w:rPr>
        <w:t>产品质量</w:t>
      </w:r>
      <w:r>
        <w:rPr>
          <w:rFonts w:hint="eastAsia" w:ascii="仿宋_GB2312" w:hAnsi="Times New Roman" w:eastAsia="仿宋_GB2312" w:cs="Times New Roman"/>
          <w:kern w:val="2"/>
          <w:sz w:val="28"/>
          <w:szCs w:val="28"/>
          <w:lang w:val="en-US" w:eastAsia="zh-CN" w:bidi="ar-SA"/>
        </w:rPr>
        <w:t>监督抽查实施细则》，判定为不合格。</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8异议处理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8.1核查不合格项目相关证据，能够以记录（纸质记录或电子记录或影像记录）或与不合格项目相关联的其它质量数据等检验证据证明。</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8.2对需要复检并具备检验条件的，处理企业异议的市场监督监督管理部门或者指定检验机构应当按原监督抽查细则对留存的样品或抽取的备用样品组织复检，复检项目如有仲裁法需用仲裁法进行复检，并出具检验报告。复检结论为最终结论。</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9附则</w:t>
      </w:r>
    </w:p>
    <w:p>
      <w:pPr>
        <w:adjustRightInd w:val="0"/>
        <w:snapToGrid w:val="0"/>
        <w:spacing w:line="360" w:lineRule="auto"/>
        <w:ind w:firstLine="548" w:firstLineChars="196"/>
        <w:rPr>
          <w:rFonts w:hint="eastAsia" w:ascii="仿宋_GB2312" w:eastAsia="仿宋_GB2312"/>
          <w:sz w:val="28"/>
          <w:szCs w:val="28"/>
          <w:lang w:eastAsia="zh-CN"/>
        </w:rPr>
      </w:pPr>
      <w:r>
        <w:rPr>
          <w:rFonts w:hint="eastAsia" w:ascii="仿宋_GB2312" w:eastAsia="仿宋_GB2312"/>
          <w:sz w:val="28"/>
          <w:szCs w:val="28"/>
        </w:rPr>
        <w:t>本细则编写单位:辽宁</w:t>
      </w:r>
      <w:r>
        <w:rPr>
          <w:rFonts w:hint="eastAsia" w:ascii="仿宋_GB2312" w:eastAsia="仿宋_GB2312"/>
          <w:sz w:val="28"/>
          <w:szCs w:val="28"/>
          <w:lang w:eastAsia="zh-CN"/>
        </w:rPr>
        <w:t>中北方正检测服务有限公司</w:t>
      </w:r>
    </w:p>
    <w:p>
      <w:pPr>
        <w:ind w:firstLine="560" w:firstLineChars="200"/>
      </w:pPr>
      <w:r>
        <w:rPr>
          <w:rFonts w:hint="eastAsia" w:ascii="仿宋_GB2312" w:eastAsia="仿宋_GB2312"/>
          <w:sz w:val="28"/>
          <w:szCs w:val="28"/>
        </w:rPr>
        <w:t>本细则由</w:t>
      </w:r>
      <w:r>
        <w:rPr>
          <w:rFonts w:hint="eastAsia" w:ascii="仿宋_GB2312" w:eastAsia="仿宋_GB2312"/>
          <w:sz w:val="28"/>
          <w:szCs w:val="28"/>
          <w:lang w:eastAsia="zh-CN"/>
        </w:rPr>
        <w:t>盘锦市</w:t>
      </w:r>
      <w:r>
        <w:rPr>
          <w:rFonts w:hint="eastAsia" w:ascii="仿宋_GB2312" w:eastAsia="仿宋_GB2312"/>
          <w:sz w:val="28"/>
          <w:szCs w:val="28"/>
        </w:rPr>
        <w:t>市场监督管理局管理。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A4062"/>
    <w:rsid w:val="13524571"/>
    <w:rsid w:val="23232944"/>
    <w:rsid w:val="269B4D55"/>
    <w:rsid w:val="36EA4062"/>
    <w:rsid w:val="3C703217"/>
    <w:rsid w:val="3EEE590E"/>
    <w:rsid w:val="6228079A"/>
    <w:rsid w:val="7B8D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List 2"/>
    <w:basedOn w:val="1"/>
    <w:qFormat/>
    <w:uiPriority w:val="0"/>
    <w:pPr>
      <w:ind w:left="100" w:leftChars="200" w:hanging="200" w:hangingChars="200"/>
    </w:pPr>
  </w:style>
  <w:style w:type="paragraph" w:styleId="4">
    <w:name w:val="Body Text Indent 3"/>
    <w:basedOn w:val="1"/>
    <w:unhideWhenUsed/>
    <w:qFormat/>
    <w:uiPriority w:val="99"/>
    <w:pPr>
      <w:spacing w:after="120"/>
      <w:ind w:left="420" w:leftChars="200"/>
    </w:pPr>
    <w:rPr>
      <w:rFonts w:ascii="Calibri" w:hAnsi="Calibri" w:eastAsia="宋体" w:cs="Times New Roman"/>
      <w:sz w:val="16"/>
      <w:szCs w:val="16"/>
    </w:rPr>
  </w:style>
  <w:style w:type="paragraph" w:styleId="5">
    <w:name w:val="Normal (Web)"/>
    <w:basedOn w:val="1"/>
    <w:semiHidden/>
    <w:unhideWhenUsed/>
    <w:qFormat/>
    <w:uiPriority w:val="99"/>
    <w:pPr>
      <w:spacing w:beforeAutospacing="1" w:afterAutospacing="1"/>
      <w:jc w:val="left"/>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1371</Words>
  <Characters>1451</Characters>
  <Lines>0</Lines>
  <Paragraphs>0</Paragraphs>
  <TotalTime>2</TotalTime>
  <ScaleCrop>false</ScaleCrop>
  <LinksUpToDate>false</LinksUpToDate>
  <CharactersWithSpaces>1464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2021-08-30T00:39:00Z</dcterms:created>
  <dc:creator>bigeas</dc:creator>
  <cp:lastModifiedBy>ZX</cp:lastModifiedBy>
  <dcterms:modified xsi:type="dcterms:W3CDTF">2022-03-24T09:26:32Z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4AC8893EF01C4461A414C5B34328C810</vt:lpwstr>
  </property>
</Properties>
</file>