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44"/>
          <w:szCs w:val="44"/>
          <w:highlight w:val="none"/>
        </w:rPr>
      </w:pPr>
      <w:bookmarkStart w:id="0" w:name="_GoBack"/>
      <w:bookmarkEnd w:id="0"/>
      <w:r>
        <w:rPr>
          <w:rFonts w:hint="eastAsia" w:ascii="方正小标宋简体" w:hAnsi="方正小标宋简体" w:eastAsia="方正小标宋简体" w:cs="方正小标宋简体"/>
          <w:b w:val="0"/>
          <w:bCs/>
          <w:sz w:val="44"/>
          <w:szCs w:val="44"/>
          <w:highlight w:val="none"/>
          <w:lang w:eastAsia="zh-CN"/>
        </w:rPr>
        <w:t>盘锦市</w:t>
      </w:r>
      <w:r>
        <w:rPr>
          <w:rFonts w:hint="eastAsia" w:ascii="方正小标宋简体" w:hAnsi="方正小标宋简体" w:eastAsia="方正小标宋简体" w:cs="方正小标宋简体"/>
          <w:b w:val="0"/>
          <w:bCs/>
          <w:sz w:val="44"/>
          <w:szCs w:val="44"/>
          <w:highlight w:val="none"/>
        </w:rPr>
        <w:t>兴隆台区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b w:val="0"/>
          <w:bCs/>
          <w:sz w:val="44"/>
          <w:szCs w:val="44"/>
          <w:highlight w:val="none"/>
        </w:rPr>
      </w:pPr>
      <w:r>
        <w:rPr>
          <w:rFonts w:hint="eastAsia" w:ascii="方正小标宋简体" w:hAnsi="方正小标宋简体" w:eastAsia="方正小标宋简体" w:cs="方正小标宋简体"/>
          <w:b w:val="0"/>
          <w:bCs/>
          <w:sz w:val="44"/>
          <w:szCs w:val="44"/>
          <w:highlight w:val="none"/>
        </w:rPr>
        <w:t>2021年国民经济和社会发展统计公报</w:t>
      </w:r>
    </w:p>
    <w:p>
      <w:pPr>
        <w:spacing w:line="360" w:lineRule="auto"/>
        <w:jc w:val="center"/>
        <w:rPr>
          <w:rFonts w:asciiTheme="minorEastAsia" w:hAnsiTheme="minorEastAsia" w:eastAsiaTheme="minorEastAsia"/>
          <w:sz w:val="24"/>
          <w:szCs w:val="24"/>
          <w:highlight w:val="none"/>
        </w:rPr>
      </w:pP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根据年快报统计</w:t>
      </w:r>
      <w:r>
        <w:rPr>
          <w:rFonts w:hint="eastAsia" w:ascii="仿宋_GB2312" w:hAnsi="仿宋_GB2312" w:eastAsia="仿宋_GB2312" w:cs="仿宋_GB2312"/>
          <w:sz w:val="32"/>
          <w:szCs w:val="32"/>
          <w:highlight w:val="none"/>
          <w:vertAlign w:val="superscript"/>
        </w:rPr>
        <w:t>[1]</w:t>
      </w:r>
      <w:r>
        <w:rPr>
          <w:rFonts w:hint="eastAsia" w:ascii="仿宋_GB2312" w:hAnsi="仿宋_GB2312" w:eastAsia="仿宋_GB2312" w:cs="仿宋_GB2312"/>
          <w:sz w:val="32"/>
          <w:szCs w:val="32"/>
          <w:highlight w:val="none"/>
        </w:rPr>
        <w:t>，现将2021年全区国民经济和社会发展情况公报如下：</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2021年，在</w:t>
      </w:r>
      <w:r>
        <w:rPr>
          <w:rFonts w:hint="eastAsia" w:ascii="仿宋_GB2312" w:hAnsi="仿宋_GB2312" w:eastAsia="仿宋_GB2312" w:cs="仿宋_GB2312"/>
          <w:color w:val="333333"/>
          <w:sz w:val="32"/>
          <w:szCs w:val="32"/>
          <w:highlight w:val="none"/>
          <w:shd w:val="clear" w:color="auto" w:fill="FFFFFF"/>
          <w:lang w:eastAsia="zh-CN"/>
        </w:rPr>
        <w:t>区</w:t>
      </w:r>
      <w:r>
        <w:rPr>
          <w:rFonts w:hint="eastAsia" w:ascii="仿宋_GB2312" w:hAnsi="仿宋_GB2312" w:eastAsia="仿宋_GB2312" w:cs="仿宋_GB2312"/>
          <w:color w:val="333333"/>
          <w:sz w:val="32"/>
          <w:szCs w:val="32"/>
          <w:highlight w:val="none"/>
          <w:shd w:val="clear" w:color="auto" w:fill="FFFFFF"/>
        </w:rPr>
        <w:t>委、</w:t>
      </w:r>
      <w:r>
        <w:rPr>
          <w:rFonts w:hint="eastAsia" w:ascii="仿宋_GB2312" w:hAnsi="仿宋_GB2312" w:eastAsia="仿宋_GB2312" w:cs="仿宋_GB2312"/>
          <w:color w:val="333333"/>
          <w:sz w:val="32"/>
          <w:szCs w:val="32"/>
          <w:highlight w:val="none"/>
          <w:shd w:val="clear" w:color="auto" w:fill="FFFFFF"/>
          <w:lang w:eastAsia="zh-CN"/>
        </w:rPr>
        <w:t>区</w:t>
      </w:r>
      <w:r>
        <w:rPr>
          <w:rFonts w:hint="eastAsia" w:ascii="仿宋_GB2312" w:hAnsi="仿宋_GB2312" w:eastAsia="仿宋_GB2312" w:cs="仿宋_GB2312"/>
          <w:color w:val="333333"/>
          <w:sz w:val="32"/>
          <w:szCs w:val="32"/>
          <w:highlight w:val="none"/>
          <w:shd w:val="clear" w:color="auto" w:fill="FFFFFF"/>
        </w:rPr>
        <w:t>政府的坚强领导下，</w:t>
      </w:r>
      <w:r>
        <w:rPr>
          <w:rFonts w:hint="eastAsia" w:ascii="仿宋_GB2312" w:hAnsi="仿宋_GB2312" w:eastAsia="仿宋_GB2312" w:cs="仿宋_GB2312"/>
          <w:color w:val="333333"/>
          <w:sz w:val="32"/>
          <w:szCs w:val="32"/>
          <w:highlight w:val="none"/>
          <w:shd w:val="clear" w:color="auto" w:fill="FFFFFF"/>
          <w:lang w:eastAsia="zh-CN"/>
        </w:rPr>
        <w:t>全区上下坚持以习近平新时代中国特色社会主义思想为指导</w:t>
      </w:r>
      <w:r>
        <w:rPr>
          <w:rFonts w:hint="eastAsia" w:ascii="仿宋_GB2312" w:hAnsi="仿宋_GB2312" w:eastAsia="仿宋_GB2312" w:cs="仿宋_GB2312"/>
          <w:color w:val="333333"/>
          <w:sz w:val="32"/>
          <w:szCs w:val="32"/>
          <w:highlight w:val="none"/>
          <w:shd w:val="clear" w:color="auto" w:fill="FFFFFF"/>
        </w:rPr>
        <w:t>，全面贯彻党的十九大和十九届二中、三中、四中、五中、六中全会精神，深入落实习近平总书记关于东北、辽宁振兴发展的重要讲话及指示批示精神，统筹推进新冠肺炎疫情防控和经济社会发展，扎实做好“六稳”工作</w:t>
      </w:r>
      <w:r>
        <w:rPr>
          <w:rFonts w:hint="eastAsia" w:ascii="仿宋_GB2312" w:hAnsi="仿宋_GB2312" w:eastAsia="仿宋_GB2312" w:cs="仿宋_GB2312"/>
          <w:color w:val="333333"/>
          <w:sz w:val="32"/>
          <w:szCs w:val="32"/>
          <w:highlight w:val="none"/>
          <w:shd w:val="clear" w:color="auto" w:fill="FFFFFF"/>
          <w:lang w:eastAsia="zh-CN"/>
        </w:rPr>
        <w:t>，</w:t>
      </w:r>
      <w:r>
        <w:rPr>
          <w:rFonts w:hint="eastAsia" w:ascii="仿宋_GB2312" w:hAnsi="仿宋_GB2312" w:eastAsia="仿宋_GB2312" w:cs="仿宋_GB2312"/>
          <w:color w:val="333333"/>
          <w:sz w:val="32"/>
          <w:szCs w:val="32"/>
          <w:highlight w:val="none"/>
          <w:shd w:val="clear" w:color="auto" w:fill="FFFFFF"/>
        </w:rPr>
        <w:t>全面落实“六保”任务，深入开展“三落实”专项行动，</w:t>
      </w:r>
      <w:r>
        <w:rPr>
          <w:rFonts w:hint="eastAsia" w:ascii="仿宋_GB2312" w:hAnsi="仿宋_GB2312" w:eastAsia="仿宋_GB2312" w:cs="仿宋_GB2312"/>
          <w:color w:val="333333"/>
          <w:sz w:val="32"/>
          <w:szCs w:val="32"/>
          <w:highlight w:val="none"/>
          <w:shd w:val="clear" w:color="auto" w:fill="FFFFFF"/>
          <w:lang w:eastAsia="zh-CN"/>
        </w:rPr>
        <w:t>保持了经济持续健康发展</w:t>
      </w:r>
      <w:r>
        <w:rPr>
          <w:rFonts w:hint="eastAsia" w:ascii="仿宋_GB2312" w:hAnsi="仿宋_GB2312" w:eastAsia="仿宋_GB2312" w:cs="仿宋_GB2312"/>
          <w:color w:val="333333"/>
          <w:sz w:val="32"/>
          <w:szCs w:val="32"/>
          <w:highlight w:val="none"/>
          <w:shd w:val="clear" w:color="auto" w:fill="FFFFFF"/>
        </w:rPr>
        <w:t>。</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一、经济总量</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初步核算，全年地区生产总值</w:t>
      </w:r>
      <w:r>
        <w:rPr>
          <w:rFonts w:hint="eastAsia" w:ascii="仿宋_GB2312" w:hAnsi="仿宋_GB2312" w:eastAsia="仿宋_GB2312" w:cs="仿宋_GB2312"/>
          <w:sz w:val="32"/>
          <w:szCs w:val="32"/>
          <w:highlight w:val="none"/>
          <w:vertAlign w:val="superscript"/>
        </w:rPr>
        <w:t>[2]</w:t>
      </w:r>
      <w:r>
        <w:rPr>
          <w:rFonts w:hint="eastAsia" w:ascii="仿宋_GB2312" w:hAnsi="仿宋_GB2312" w:eastAsia="仿宋_GB2312" w:cs="仿宋_GB2312"/>
          <w:sz w:val="32"/>
          <w:szCs w:val="32"/>
          <w:highlight w:val="none"/>
        </w:rPr>
        <w:t>397.1亿元，比上年增长5.2%。其中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第一产业增加值2.3亿元，比上年下降1.2%；第二产业增加值146.6亿元，与上年持平；</w:t>
      </w:r>
      <w:r>
        <w:rPr>
          <w:rFonts w:hint="eastAsia" w:ascii="仿宋_GB2312" w:hAnsi="仿宋_GB2312" w:eastAsia="仿宋_GB2312" w:cs="仿宋_GB2312"/>
          <w:kern w:val="0"/>
          <w:sz w:val="32"/>
          <w:szCs w:val="32"/>
          <w:highlight w:val="none"/>
        </w:rPr>
        <w:t>第三产业</w:t>
      </w:r>
      <w:r>
        <w:rPr>
          <w:rFonts w:hint="eastAsia" w:ascii="仿宋_GB2312" w:hAnsi="仿宋_GB2312" w:eastAsia="仿宋_GB2312" w:cs="仿宋_GB2312"/>
          <w:sz w:val="32"/>
          <w:szCs w:val="32"/>
          <w:highlight w:val="none"/>
        </w:rPr>
        <w:t>增加值248.2亿元，比上年增长8.3%。</w:t>
      </w:r>
      <w:r>
        <w:rPr>
          <w:rFonts w:hint="eastAsia" w:ascii="仿宋_GB2312" w:hAnsi="仿宋_GB2312" w:eastAsia="仿宋_GB2312" w:cs="仿宋_GB2312"/>
          <w:sz w:val="32"/>
          <w:szCs w:val="32"/>
          <w:highlight w:val="none"/>
          <w:lang w:eastAsia="zh-CN"/>
        </w:rPr>
        <w:t>三次</w:t>
      </w:r>
      <w:r>
        <w:rPr>
          <w:rFonts w:hint="eastAsia" w:ascii="仿宋_GB2312" w:hAnsi="仿宋_GB2312" w:eastAsia="仿宋_GB2312" w:cs="仿宋_GB2312"/>
          <w:sz w:val="32"/>
          <w:szCs w:val="32"/>
          <w:highlight w:val="none"/>
        </w:rPr>
        <w:t>产业增加值占地区生产总值比重</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为0.6%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36.9%</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62.5%。</w:t>
      </w:r>
      <w:r>
        <w:rPr>
          <w:rFonts w:hint="eastAsia" w:ascii="仿宋_GB2312" w:hAnsi="仿宋_GB2312" w:eastAsia="仿宋_GB2312" w:cs="仿宋_GB2312"/>
          <w:sz w:val="32"/>
          <w:szCs w:val="32"/>
          <w:highlight w:val="none"/>
          <w:lang w:eastAsia="zh-CN"/>
        </w:rPr>
        <w:t>全区人均地区生产</w:t>
      </w:r>
      <w:r>
        <w:rPr>
          <w:rFonts w:hint="eastAsia" w:ascii="仿宋_GB2312" w:hAnsi="仿宋_GB2312" w:eastAsia="仿宋_GB2312" w:cs="仿宋_GB2312"/>
          <w:sz w:val="32"/>
          <w:szCs w:val="32"/>
          <w:highlight w:val="none"/>
          <w:lang w:val="en-US" w:eastAsia="zh-CN"/>
        </w:rPr>
        <w:t>总</w:t>
      </w:r>
      <w:r>
        <w:rPr>
          <w:rFonts w:hint="eastAsia" w:ascii="仿宋_GB2312" w:hAnsi="仿宋_GB2312" w:eastAsia="仿宋_GB2312" w:cs="仿宋_GB2312"/>
          <w:sz w:val="32"/>
          <w:szCs w:val="32"/>
          <w:highlight w:val="none"/>
          <w:lang w:eastAsia="zh-CN"/>
        </w:rPr>
        <w:t>值</w:t>
      </w:r>
      <w:r>
        <w:rPr>
          <w:rFonts w:hint="eastAsia" w:ascii="仿宋_GB2312" w:hAnsi="仿宋_GB2312" w:eastAsia="仿宋_GB2312" w:cs="仿宋_GB2312"/>
          <w:sz w:val="32"/>
          <w:szCs w:val="32"/>
          <w:highlight w:val="none"/>
          <w:lang w:val="en-US" w:eastAsia="zh-CN"/>
        </w:rPr>
        <w:t>112237元。</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二、农林牧渔业</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全年农林牧渔业总产值4.22亿元，比上年下降2.9%。其中，农业产值2.5亿元，林业产值0.02亿元，牧业产值 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亿元，渔业产值0.6亿元，农林牧渔服务业产值0.1亿元。</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全年粮食作物播种面积6323公顷，比上年减少35公顷。其中，水稻播种面积6322公顷，比上年减少21公顷。在</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作物中，蔬菜播种面积30.3公顷。全年粮食作物产量59190吨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其中水稻产量59075吨。全年蔬菜产量2330吨，水果产量15吨。</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全年肉类总产量2317吨。其中，猪肉产量1153吨，禽肉产量1095吨。全年禽蛋产量651吨。生猪出栏12423头，年末存栏8185头。全年水产品产量2210吨。农业机械总动力4.85万千瓦特。</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三、工业和建筑业</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val="en-US" w:eastAsia="zh-CN"/>
        </w:rPr>
        <w:t>全年全部工业增加值114.8亿元，比上年增长0.8%。</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工业增加值比上年增长2.4%。</w:t>
      </w:r>
      <w:r>
        <w:rPr>
          <w:rFonts w:hint="eastAsia" w:ascii="仿宋_GB2312" w:hAnsi="仿宋_GB2312" w:eastAsia="仿宋_GB2312" w:cs="仿宋_GB2312"/>
          <w:kern w:val="0"/>
          <w:sz w:val="32"/>
          <w:szCs w:val="32"/>
          <w:highlight w:val="none"/>
          <w:lang w:eastAsia="zh-CN"/>
        </w:rPr>
        <w:t>其中，</w:t>
      </w:r>
      <w:r>
        <w:rPr>
          <w:rFonts w:hint="eastAsia" w:ascii="仿宋_GB2312" w:hAnsi="仿宋_GB2312" w:eastAsia="仿宋_GB2312" w:cs="仿宋_GB2312"/>
          <w:kern w:val="0"/>
          <w:sz w:val="32"/>
          <w:szCs w:val="32"/>
          <w:highlight w:val="none"/>
        </w:rPr>
        <w:t>区本级规模以上工业增加值比上年增长1.7%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高新区规模以上工业增加值增长3.3%。</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工业增加值分集群看</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石油装备制造产业集群增加值比上年增长3.6%</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石油化工产业集群增加值增长5.7%。</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工业增加值分门类看，采矿业增加值比上年增长2.1%，制造业增加值增长2.5%，电力、热力、燃气及水电生产和供应业增加值增长2.7%。</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规模以上</w:t>
      </w:r>
      <w:r>
        <w:rPr>
          <w:rFonts w:hint="eastAsia" w:ascii="仿宋_GB2312" w:hAnsi="仿宋_GB2312" w:eastAsia="仿宋_GB2312" w:cs="仿宋_GB2312"/>
          <w:kern w:val="0"/>
          <w:sz w:val="32"/>
          <w:szCs w:val="32"/>
          <w:highlight w:val="none"/>
        </w:rPr>
        <w:t>工业增加值</w:t>
      </w:r>
      <w:r>
        <w:rPr>
          <w:rFonts w:hint="eastAsia" w:ascii="仿宋_GB2312" w:hAnsi="仿宋_GB2312" w:eastAsia="仿宋_GB2312" w:cs="仿宋_GB2312"/>
          <w:color w:val="auto"/>
          <w:kern w:val="0"/>
          <w:sz w:val="32"/>
          <w:szCs w:val="32"/>
          <w:highlight w:val="none"/>
        </w:rPr>
        <w:t>分行业看，开采专业及辅助性活动增加值比上年增长2.1%，占规模以上工业增加值比重为49.0%；石油加工、炼焦和核燃料加工业增长1.9%，占规模以上工业增加值比重为18.5%；电力、热力生产和供应业下降2.5%，占规模以上工业增加值比重为8.6%；电气机械和器材制造业下降37.8%，占规模以上工业增加值比重为3.1%；非金属矿物制品业增长32.2%，占规模以上工业增加值比重为4.8%。</w:t>
      </w:r>
    </w:p>
    <w:p>
      <w:pPr>
        <w:spacing w:line="360" w:lineRule="auto"/>
        <w:jc w:val="left"/>
        <w:rPr>
          <w:rFonts w:ascii="仿宋_GB2312" w:hAnsi="仿宋" w:eastAsia="仿宋_GB2312" w:cs="宋体"/>
          <w:color w:val="FF0000"/>
          <w:kern w:val="0"/>
          <w:sz w:val="34"/>
          <w:szCs w:val="34"/>
          <w:highlight w:val="none"/>
        </w:rPr>
      </w:pPr>
      <w:r>
        <w:rPr>
          <w:rFonts w:ascii="仿宋_GB2312" w:hAnsi="仿宋" w:eastAsia="仿宋_GB2312" w:cs="宋体"/>
          <w:color w:val="FF0000"/>
          <w:kern w:val="0"/>
          <w:sz w:val="34"/>
          <w:szCs w:val="34"/>
          <w:highlight w:val="none"/>
        </w:rPr>
        <w:drawing>
          <wp:inline distT="0" distB="0" distL="0" distR="0">
            <wp:extent cx="5270500" cy="3339465"/>
            <wp:effectExtent l="0" t="0" r="635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全年规模以上工业企业主要产品产量中，原油加工量195.9万吨，比上年增</w:t>
      </w:r>
      <w:r>
        <w:rPr>
          <w:rFonts w:hint="eastAsia" w:ascii="仿宋_GB2312" w:hAnsi="仿宋_GB2312" w:eastAsia="仿宋_GB2312" w:cs="仿宋_GB2312"/>
          <w:color w:val="auto"/>
          <w:kern w:val="0"/>
          <w:sz w:val="32"/>
          <w:szCs w:val="32"/>
          <w:highlight w:val="none"/>
          <w:lang w:eastAsia="zh-CN"/>
        </w:rPr>
        <w:t>长</w:t>
      </w:r>
      <w:r>
        <w:rPr>
          <w:rFonts w:hint="eastAsia" w:ascii="仿宋_GB2312" w:hAnsi="仿宋_GB2312" w:eastAsia="仿宋_GB2312" w:cs="仿宋_GB2312"/>
          <w:color w:val="auto"/>
          <w:kern w:val="0"/>
          <w:sz w:val="32"/>
          <w:szCs w:val="32"/>
          <w:highlight w:val="none"/>
        </w:rPr>
        <w:t>6.4%；沥青和改性沥青防水卷材3912.4万平方米，比上年增长20.9%；工业自动调节仪表与控制系统1902台，比上年增长113.0%；塑料制品1.2万吨，比上年下降44.1%；化学试剂0.6万吨，比上年增长0.9%；电力电缆7698千米，比上年增长55.5%；石油沥青72.2万吨，比上年增长6.9%。</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全年规模以上工业企业实现营业务收入311.2亿元，比上年增长9.0%；利税总额15.6亿元，比上年下降11.0%；利润总额</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1.8亿元，比上年下降116.1%。</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22" w:lineRule="auto"/>
        <w:ind w:right="12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全年具有建筑业资质等级的总承包和专业承包建筑企业共签订工程合同额153.7亿元，比上年增长13.5%。其中，本年新签订工程合同额126.1亿元，增长22.4%。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全年房屋建筑施工面积38.8万平方米，比上年增长2.9%。</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ascii="仿宋_GB2312" w:hAnsi="仿宋" w:eastAsia="仿宋_GB2312" w:cs="宋体"/>
          <w:kern w:val="0"/>
          <w:sz w:val="32"/>
          <w:szCs w:val="32"/>
          <w:highlight w:val="none"/>
        </w:rPr>
      </w:pPr>
      <w:r>
        <w:rPr>
          <w:rFonts w:hint="eastAsia" w:ascii="黑体" w:hAnsi="黑体" w:eastAsia="黑体" w:cs="黑体"/>
          <w:kern w:val="0"/>
          <w:sz w:val="32"/>
          <w:szCs w:val="32"/>
          <w:highlight w:val="none"/>
        </w:rPr>
        <w:t>四、固定资产投资和房地产业</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全年固定资产投资（不含农户）</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176.2亿元，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比上年增长4.6%。其中，区本级</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固定资产投资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160亿元，比上年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增长5.0%</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高新区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固定资产投资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16.2亿元，比上年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增长1.3%。</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分投资渠道看，全年建设项目投资比上年增长4.9%，房地产开发投资增长5.2%。</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分产业看，全年第二产业投资比上年增长5.8%，第三产业投资增长3.6%。</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分经济类型看，全年民间投资比上年增长6.31%；国有及国有控股企业投资下降60.52%。</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ascii="仿宋_GB2312" w:hAnsi="仿宋_GB2312" w:eastAsia="仿宋_GB2312" w:cs="仿宋_GB2312"/>
          <w:kern w:val="0"/>
          <w:sz w:val="34"/>
          <w:szCs w:val="34"/>
          <w:highlight w:val="none"/>
        </w:rPr>
      </w:pPr>
      <w:r>
        <w:rPr>
          <w:rFonts w:hint="eastAsia" w:ascii="仿宋_GB2312" w:hAnsi="仿宋_GB2312" w:eastAsia="仿宋_GB2312" w:cs="仿宋_GB2312"/>
          <w:kern w:val="0"/>
          <w:sz w:val="32"/>
          <w:szCs w:val="32"/>
          <w:highlight w:val="none"/>
        </w:rPr>
        <w:t>全年商品房销售面积73万平方米，比上年增长2.3%。其中住宅销售面积65.4万平方米，下降1.3%。商品房销售额39.4亿元，比上年增长5.5%。其中住宅销售额33.4亿元，增长1.9%。年末商品房待售面积22.4万平方米，比上年末增长9.8%。</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方正小标宋简体" w:hAnsi="方正小标宋简体" w:eastAsia="方正小标宋简体" w:cs="方正小标宋简体"/>
          <w:b w:val="0"/>
          <w:bCs/>
          <w:sz w:val="28"/>
          <w:szCs w:val="28"/>
          <w:highlight w:val="none"/>
        </w:rPr>
      </w:pPr>
      <w:r>
        <w:rPr>
          <w:rFonts w:hint="eastAsia" w:ascii="方正小标宋简体" w:hAnsi="方正小标宋简体" w:eastAsia="方正小标宋简体" w:cs="方正小标宋简体"/>
          <w:b w:val="0"/>
          <w:bCs/>
          <w:sz w:val="32"/>
          <w:szCs w:val="32"/>
          <w:highlight w:val="none"/>
        </w:rPr>
        <w:t>2017-2021年三次产业投资占固定资产投资比重</w:t>
      </w:r>
      <w:r>
        <w:rPr>
          <w:rFonts w:hint="eastAsia" w:ascii="方正小标宋简体" w:hAnsi="方正小标宋简体" w:eastAsia="方正小标宋简体" w:cs="方正小标宋简体"/>
          <w:b w:val="0"/>
          <w:bCs/>
          <w:sz w:val="28"/>
          <w:szCs w:val="28"/>
          <w:highlight w:val="none"/>
        </w:rPr>
        <w:t>（图二）</w:t>
      </w:r>
    </w:p>
    <w:p>
      <w:pPr>
        <w:jc w:val="center"/>
        <w:rPr>
          <w:rFonts w:ascii="宋体" w:hAnsi="宋体"/>
          <w:sz w:val="28"/>
          <w:szCs w:val="28"/>
          <w:highlight w:val="none"/>
        </w:rPr>
      </w:pPr>
      <w:r>
        <w:rPr>
          <w:rFonts w:ascii="宋体" w:hAnsi="宋体"/>
          <w:sz w:val="28"/>
          <w:szCs w:val="28"/>
          <w:highlight w:val="none"/>
        </w:rPr>
        <w:drawing>
          <wp:inline distT="0" distB="0" distL="0" distR="0">
            <wp:extent cx="5003165" cy="236791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五、贸易</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全年社会消费品零售总额208.5亿元，比上年增长9.3%。</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分经营地看，城镇消费品零售额192亿元，增长7.5%；乡村消费品零售额16.</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亿元，增长34.8%。</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分消费类型看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商品零售额180.5亿元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增长8.5%；餐饮收入额28亿元，增长14.7%。</w:t>
      </w:r>
    </w:p>
    <w:p>
      <w:pPr>
        <w:keepNext w:val="0"/>
        <w:keepLines w:val="0"/>
        <w:pageBreakBefore w:val="0"/>
        <w:widowControl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限额以上批发零售业商品零售类值中，全年粮油、食品类零售额增长11.5%；烟酒类零售额下降20.3%；化妆品类零售额下降6.9%；饮料类零售额下降6.2%；金银珠宝类零售额增长48.9%；家用电器和音像器材类零售额下降8.7%；日用品类零售额下降7.5%；中西药品类零售额下降3.0%；汽车类零售额下降0.9%；文化办公用品类零售额下降6.5%；石油及制品类增长32.0%。</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2017-2021年社会消费品零售总额及其增长速度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b/>
          <w:sz w:val="24"/>
          <w:szCs w:val="24"/>
          <w:highlight w:val="none"/>
        </w:rPr>
      </w:pPr>
      <w:r>
        <w:rPr>
          <w:rFonts w:hint="eastAsia" w:ascii="方正小标宋简体" w:hAnsi="方正小标宋简体" w:eastAsia="方正小标宋简体" w:cs="方正小标宋简体"/>
          <w:b w:val="0"/>
          <w:bCs/>
          <w:sz w:val="28"/>
          <w:szCs w:val="28"/>
          <w:highlight w:val="none"/>
        </w:rPr>
        <w:t>（图三）</w:t>
      </w:r>
      <w:r>
        <w:rPr>
          <w:rFonts w:ascii="宋体" w:hAnsi="宋体"/>
          <w:b/>
          <w:sz w:val="24"/>
          <w:szCs w:val="24"/>
          <w:highlight w:val="none"/>
        </w:rPr>
        <w:drawing>
          <wp:inline distT="0" distB="0" distL="0" distR="0">
            <wp:extent cx="5274310" cy="2584450"/>
            <wp:effectExtent l="0" t="0" r="2540" b="0"/>
            <wp:docPr id="6"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autoSpaceDE/>
        <w:autoSpaceDN/>
        <w:bidi w:val="0"/>
        <w:adjustRightInd w:val="0"/>
        <w:snapToGrid w:val="0"/>
        <w:spacing w:before="100" w:beforeAutospacing="1" w:line="322" w:lineRule="auto"/>
        <w:ind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全年实现进出口总额2.01亿元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比上年增长0.5%。其中，出口总额1.88亿元，进口总额0.13亿元。</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全年实际利用外资1475.7万美元，比上年下降63.5%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全年实际到位内资105亿元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比上年增长16.5%。</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ascii="仿宋" w:hAnsi="仿宋" w:eastAsia="仿宋"/>
          <w:b/>
          <w:sz w:val="32"/>
          <w:szCs w:val="32"/>
          <w:highlight w:val="none"/>
        </w:rPr>
      </w:pPr>
      <w:r>
        <w:rPr>
          <w:rFonts w:hint="eastAsia" w:ascii="黑体" w:hAnsi="黑体" w:eastAsia="黑体" w:cs="黑体"/>
          <w:bCs/>
          <w:sz w:val="32"/>
          <w:szCs w:val="32"/>
          <w:highlight w:val="none"/>
        </w:rPr>
        <w:t>六、财政税收和金融</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全年一般公共预算收入19.3亿元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比上年下降3.4%。其中，区本级12.8亿元，</w:t>
      </w:r>
      <w:r>
        <w:rPr>
          <w:rFonts w:hint="eastAsia" w:ascii="仿宋_GB2312" w:hAnsi="仿宋_GB2312" w:eastAsia="仿宋_GB2312" w:cs="仿宋_GB2312"/>
          <w:sz w:val="32"/>
          <w:szCs w:val="32"/>
          <w:highlight w:val="none"/>
          <w:lang w:eastAsia="zh-CN"/>
        </w:rPr>
        <w:t>比上年</w:t>
      </w:r>
      <w:r>
        <w:rPr>
          <w:rFonts w:hint="eastAsia" w:ascii="仿宋_GB2312" w:hAnsi="仿宋_GB2312" w:eastAsia="仿宋_GB2312" w:cs="仿宋_GB2312"/>
          <w:sz w:val="32"/>
          <w:szCs w:val="32"/>
          <w:highlight w:val="none"/>
        </w:rPr>
        <w:t>下降9.2%；高新区6.5亿元，</w:t>
      </w:r>
      <w:r>
        <w:rPr>
          <w:rFonts w:hint="eastAsia" w:ascii="仿宋_GB2312" w:hAnsi="仿宋_GB2312" w:eastAsia="仿宋_GB2312" w:cs="仿宋_GB2312"/>
          <w:sz w:val="32"/>
          <w:szCs w:val="32"/>
          <w:highlight w:val="none"/>
          <w:lang w:eastAsia="zh-CN"/>
        </w:rPr>
        <w:t>比上年</w:t>
      </w:r>
      <w:r>
        <w:rPr>
          <w:rFonts w:hint="eastAsia" w:ascii="仿宋_GB2312" w:hAnsi="仿宋_GB2312" w:eastAsia="仿宋_GB2312" w:cs="仿宋_GB2312"/>
          <w:sz w:val="32"/>
          <w:szCs w:val="32"/>
          <w:highlight w:val="none"/>
        </w:rPr>
        <w:t>增长10.5%。</w:t>
      </w:r>
    </w:p>
    <w:p>
      <w:pPr>
        <w:keepNext w:val="0"/>
        <w:keepLines w:val="0"/>
        <w:pageBreakBefore w:val="0"/>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一般公共预算收入中财政口径税收收入16.4亿元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不含教育费附加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，比上年下降10.1%。其中，区本级10.4亿元，</w:t>
      </w:r>
      <w:r>
        <w:rPr>
          <w:rFonts w:hint="eastAsia" w:ascii="仿宋_GB2312" w:hAnsi="仿宋_GB2312" w:eastAsia="仿宋_GB2312" w:cs="仿宋_GB2312"/>
          <w:sz w:val="32"/>
          <w:szCs w:val="32"/>
          <w:highlight w:val="none"/>
          <w:lang w:eastAsia="zh-CN"/>
        </w:rPr>
        <w:t>比上年</w:t>
      </w:r>
      <w:r>
        <w:rPr>
          <w:rFonts w:hint="eastAsia" w:ascii="仿宋_GB2312" w:hAnsi="仿宋_GB2312" w:eastAsia="仿宋_GB2312" w:cs="仿宋_GB2312"/>
          <w:sz w:val="32"/>
          <w:szCs w:val="32"/>
          <w:highlight w:val="none"/>
        </w:rPr>
        <w:t>下降18.4%；高新区6亿元，</w:t>
      </w:r>
      <w:r>
        <w:rPr>
          <w:rFonts w:hint="eastAsia" w:ascii="仿宋_GB2312" w:hAnsi="仿宋_GB2312" w:eastAsia="仿宋_GB2312" w:cs="仿宋_GB2312"/>
          <w:sz w:val="32"/>
          <w:szCs w:val="32"/>
          <w:highlight w:val="none"/>
          <w:lang w:eastAsia="zh-CN"/>
        </w:rPr>
        <w:t>比上年</w:t>
      </w:r>
      <w:r>
        <w:rPr>
          <w:rFonts w:hint="eastAsia" w:ascii="仿宋_GB2312" w:hAnsi="仿宋_GB2312" w:eastAsia="仿宋_GB2312" w:cs="仿宋_GB2312"/>
          <w:sz w:val="32"/>
          <w:szCs w:val="32"/>
          <w:highlight w:val="none"/>
        </w:rPr>
        <w:t>增长9.2%。</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全年一般预算支出20亿元，比上年下降29.9%。其中，区本级支出19.6亿元，</w:t>
      </w:r>
      <w:r>
        <w:rPr>
          <w:rFonts w:hint="eastAsia" w:ascii="仿宋_GB2312" w:hAnsi="仿宋_GB2312" w:eastAsia="仿宋_GB2312" w:cs="仿宋_GB2312"/>
          <w:sz w:val="32"/>
          <w:szCs w:val="32"/>
          <w:highlight w:val="none"/>
          <w:lang w:eastAsia="zh-CN"/>
        </w:rPr>
        <w:t>比上年</w:t>
      </w:r>
      <w:r>
        <w:rPr>
          <w:rFonts w:hint="eastAsia" w:ascii="仿宋_GB2312" w:hAnsi="仿宋_GB2312" w:eastAsia="仿宋_GB2312" w:cs="仿宋_GB2312"/>
          <w:sz w:val="32"/>
          <w:szCs w:val="32"/>
          <w:highlight w:val="none"/>
        </w:rPr>
        <w:t>增长3.6%；高新区支出0.4亿元，</w:t>
      </w:r>
      <w:r>
        <w:rPr>
          <w:rFonts w:hint="eastAsia" w:ascii="仿宋_GB2312" w:hAnsi="仿宋_GB2312" w:eastAsia="仿宋_GB2312" w:cs="仿宋_GB2312"/>
          <w:sz w:val="32"/>
          <w:szCs w:val="32"/>
          <w:highlight w:val="none"/>
          <w:lang w:eastAsia="zh-CN"/>
        </w:rPr>
        <w:t>比上年</w:t>
      </w:r>
      <w:r>
        <w:rPr>
          <w:rFonts w:hint="eastAsia" w:ascii="仿宋_GB2312" w:hAnsi="仿宋_GB2312" w:eastAsia="仿宋_GB2312" w:cs="仿宋_GB2312"/>
          <w:sz w:val="32"/>
          <w:szCs w:val="32"/>
          <w:highlight w:val="none"/>
        </w:rPr>
        <w:t>下降87.1%。</w:t>
      </w:r>
      <w:r>
        <w:rPr>
          <w:rFonts w:hint="eastAsia" w:ascii="仿宋_GB2312" w:hAns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val="0"/>
          <w:bCs/>
          <w:sz w:val="28"/>
          <w:szCs w:val="28"/>
          <w:highlight w:val="none"/>
        </w:rPr>
      </w:pPr>
      <w:r>
        <w:rPr>
          <w:rFonts w:hint="eastAsia" w:ascii="方正小标宋简体" w:hAnsi="方正小标宋简体" w:eastAsia="方正小标宋简体" w:cs="方正小标宋简体"/>
          <w:b w:val="0"/>
          <w:bCs/>
          <w:sz w:val="32"/>
          <w:szCs w:val="32"/>
          <w:highlight w:val="none"/>
        </w:rPr>
        <w:t>2017-2021年财税收支情况</w:t>
      </w:r>
      <w:r>
        <w:rPr>
          <w:rFonts w:hint="eastAsia" w:ascii="方正小标宋简体" w:hAnsi="方正小标宋简体" w:eastAsia="方正小标宋简体" w:cs="方正小标宋简体"/>
          <w:b w:val="0"/>
          <w:bCs/>
          <w:sz w:val="28"/>
          <w:szCs w:val="28"/>
          <w:highlight w:val="none"/>
        </w:rPr>
        <w:t>（图四）</w:t>
      </w:r>
    </w:p>
    <w:p>
      <w:pPr>
        <w:spacing w:line="360" w:lineRule="auto"/>
        <w:rPr>
          <w:rFonts w:hint="eastAsia" w:asciiTheme="minorEastAsia" w:hAnsiTheme="minorEastAsia" w:eastAsiaTheme="minorEastAsia"/>
          <w:sz w:val="24"/>
          <w:szCs w:val="24"/>
          <w:highlight w:val="none"/>
          <w:lang w:eastAsia="zh-CN"/>
        </w:rPr>
      </w:pPr>
      <w:r>
        <w:rPr>
          <w:rFonts w:asciiTheme="minorEastAsia" w:hAnsiTheme="minorEastAsia" w:eastAsiaTheme="minorEastAsia"/>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234315</wp:posOffset>
                </wp:positionV>
                <wp:extent cx="666750" cy="276225"/>
                <wp:effectExtent l="0" t="0" r="0" b="0"/>
                <wp:wrapNone/>
                <wp:docPr id="3" name="文本框 7"/>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a:noFill/>
                        </a:ln>
                        <a:effectLst/>
                      </wps:spPr>
                      <wps:txbx>
                        <w:txbxContent>
                          <w:p>
                            <w:pPr>
                              <w:rPr>
                                <w:b/>
                              </w:rPr>
                            </w:pPr>
                          </w:p>
                        </w:txbxContent>
                      </wps:txbx>
                      <wps:bodyPr upright="1"/>
                    </wps:wsp>
                  </a:graphicData>
                </a:graphic>
              </wp:anchor>
            </w:drawing>
          </mc:Choice>
          <mc:Fallback>
            <w:pict>
              <v:shape id="文本框 7" o:spid="_x0000_s1026" o:spt="202" type="#_x0000_t202" style="position:absolute;left:0pt;margin-left:370.5pt;margin-top:18.45pt;height:21.75pt;width:52.5pt;z-index:251660288;mso-width-relative:page;mso-height-relative:page;" filled="f" stroked="f" coordsize="21600,21600" o:gfxdata="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VhgRY&#10;1wAAAAkBAAAPAAAAAAAAAAEAIAAAACIAAABkcnMvZG93bnJldi54bWxQSwECFAAUAAAACACHTuJA&#10;ZHxT2rABAABbAwAADgAAAAAAAAABACAAAAAmAQAAZHJzL2Uyb0RvYy54bWxQSwUGAAAAAAYABgBZ&#10;AQAASAUAAAAA&#10;">
                <v:fill on="f" focussize="0,0"/>
                <v:stroke on="f"/>
                <v:imagedata o:title=""/>
                <o:lock v:ext="edit" aspectratio="f"/>
                <v:textbox>
                  <w:txbxContent>
                    <w:p>
                      <w:pPr>
                        <w:rPr>
                          <w:b/>
                        </w:rPr>
                      </w:pPr>
                    </w:p>
                  </w:txbxContent>
                </v:textbox>
              </v:shape>
            </w:pict>
          </mc:Fallback>
        </mc:AlternateContent>
      </w:r>
      <w:r>
        <w:rPr>
          <w:rFonts w:asciiTheme="minorEastAsia" w:hAnsiTheme="minorEastAsia" w:eastAsiaTheme="minorEastAsia"/>
          <w:sz w:val="24"/>
          <w:szCs w:val="24"/>
          <w:highlight w:val="none"/>
        </w:rPr>
        <w:drawing>
          <wp:inline distT="0" distB="0" distL="0" distR="0">
            <wp:extent cx="5537835" cy="2780665"/>
            <wp:effectExtent l="4445" t="4445" r="20320" b="15240"/>
            <wp:docPr id="7"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年末金融业增加值</w:t>
      </w:r>
      <w:r>
        <w:rPr>
          <w:rFonts w:hint="eastAsia" w:ascii="仿宋_GB2312" w:hAnsi="仿宋_GB2312" w:eastAsia="仿宋_GB2312" w:cs="仿宋_GB2312"/>
          <w:bCs/>
          <w:kern w:val="44"/>
          <w:sz w:val="32"/>
          <w:szCs w:val="32"/>
          <w:highlight w:val="none"/>
        </w:rPr>
        <w:t>32.7亿元，按可比价格计算，比上年增长2.4%，占GDP比重8.2%</w:t>
      </w:r>
      <w:r>
        <w:rPr>
          <w:rFonts w:hint="eastAsia" w:ascii="仿宋_GB2312" w:hAnsi="仿宋_GB2312" w:eastAsia="仿宋_GB2312" w:cs="仿宋_GB2312"/>
          <w:sz w:val="32"/>
          <w:szCs w:val="32"/>
          <w:highlight w:val="none"/>
        </w:rPr>
        <w:t>。金融业税收收入1.6</w:t>
      </w:r>
      <w:r>
        <w:rPr>
          <w:rFonts w:hint="eastAsia" w:ascii="仿宋_GB2312" w:hAnsi="仿宋_GB2312" w:eastAsia="仿宋_GB2312" w:cs="仿宋_GB2312"/>
          <w:bCs/>
          <w:sz w:val="32"/>
          <w:szCs w:val="32"/>
          <w:highlight w:val="none"/>
        </w:rPr>
        <w:t>亿元，比上年下降35.5%。</w:t>
      </w:r>
    </w:p>
    <w:p>
      <w:pPr>
        <w:keepNext w:val="0"/>
        <w:keepLines w:val="0"/>
        <w:pageBreakBefore w:val="0"/>
        <w:numPr>
          <w:ilvl w:val="0"/>
          <w:numId w:val="1"/>
        </w:numPr>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科技和教育</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全年规模以上工业企业高新技术产品增加值</w:t>
      </w:r>
      <w:r>
        <w:rPr>
          <w:rFonts w:hint="eastAsia" w:ascii="仿宋_GB2312" w:hAnsi="仿宋_GB2312" w:eastAsia="仿宋_GB2312" w:cs="仿宋_GB2312"/>
          <w:kern w:val="0"/>
          <w:sz w:val="32"/>
          <w:szCs w:val="32"/>
          <w:highlight w:val="none"/>
          <w:lang w:val="en-US" w:eastAsia="zh-CN"/>
        </w:rPr>
        <w:t>25.6亿元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比上年增长9%。</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年末全区</w:t>
      </w:r>
      <w:r>
        <w:rPr>
          <w:rFonts w:hint="eastAsia" w:ascii="仿宋_GB2312" w:hAnsi="仿宋_GB2312" w:eastAsia="仿宋_GB2312" w:cs="仿宋_GB2312"/>
          <w:kern w:val="0"/>
          <w:sz w:val="32"/>
          <w:szCs w:val="32"/>
          <w:highlight w:val="none"/>
        </w:rPr>
        <w:t>有高新技术企业94家，比上年增加2家。其中，区本级15家，高新区79家。</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年末全区有</w:t>
      </w:r>
      <w:r>
        <w:rPr>
          <w:rFonts w:hint="eastAsia" w:ascii="仿宋_GB2312" w:hAnsi="仿宋_GB2312" w:eastAsia="仿宋_GB2312" w:cs="仿宋_GB2312"/>
          <w:kern w:val="0"/>
          <w:sz w:val="32"/>
          <w:szCs w:val="32"/>
          <w:highlight w:val="none"/>
        </w:rPr>
        <w:t>科技型中小企业125家，比上年增加26家。其中，区本级26家，高新区99家。</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年末全区</w:t>
      </w:r>
      <w:r>
        <w:rPr>
          <w:rFonts w:hint="eastAsia" w:ascii="仿宋_GB2312" w:hAnsi="仿宋_GB2312" w:eastAsia="仿宋_GB2312" w:cs="仿宋_GB2312"/>
          <w:kern w:val="0"/>
          <w:sz w:val="32"/>
          <w:szCs w:val="32"/>
          <w:highlight w:val="none"/>
        </w:rPr>
        <w:t>有省级专业技术创新中心20个，比上年增加5个。其中，区本级5个，高新区15个。</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年末全区</w:t>
      </w:r>
      <w:r>
        <w:rPr>
          <w:rFonts w:hint="eastAsia" w:ascii="仿宋_GB2312" w:hAnsi="仿宋_GB2312" w:eastAsia="仿宋_GB2312" w:cs="仿宋_GB2312"/>
          <w:kern w:val="0"/>
          <w:sz w:val="32"/>
          <w:szCs w:val="32"/>
          <w:highlight w:val="none"/>
        </w:rPr>
        <w:t>有市级企业工程技术研究中心49个。其中，区本级8个，高新区41个。</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全年获得省级科技进步奖1项。</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kern w:val="0"/>
          <w:sz w:val="32"/>
          <w:szCs w:val="32"/>
          <w:highlight w:val="none"/>
          <w:lang w:eastAsia="zh-CN"/>
        </w:rPr>
        <w:t>年末全区</w:t>
      </w:r>
      <w:r>
        <w:rPr>
          <w:rFonts w:hint="eastAsia" w:ascii="仿宋_GB2312" w:hAnsi="仿宋_GB2312" w:eastAsia="仿宋_GB2312" w:cs="仿宋_GB2312"/>
          <w:color w:val="000000" w:themeColor="text1"/>
          <w:sz w:val="32"/>
          <w:szCs w:val="32"/>
          <w:highlight w:val="none"/>
          <w14:textFill>
            <w14:solidFill>
              <w14:schemeClr w14:val="tx1"/>
            </w14:solidFill>
          </w14:textFill>
        </w:rPr>
        <w:t>有幼儿园</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118</w:t>
      </w:r>
      <w:r>
        <w:rPr>
          <w:rFonts w:hint="eastAsia" w:ascii="仿宋_GB2312" w:hAnsi="仿宋_GB2312" w:eastAsia="仿宋_GB2312" w:cs="仿宋_GB2312"/>
          <w:color w:val="000000" w:themeColor="text1"/>
          <w:sz w:val="32"/>
          <w:szCs w:val="32"/>
          <w:highlight w:val="none"/>
          <w14:textFill>
            <w14:solidFill>
              <w14:schemeClr w14:val="tx1"/>
            </w14:solidFill>
          </w14:textFill>
        </w:rPr>
        <w:t>所、小学15所、初中7所、九年一贯制学校9所、高中3所。教职工6615 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含民办幼儿园教师）。其中，幼儿园教职员工2887人，小学教职工1490人，初中教职工1002人，九年一贯制教职工632 人，高中教职工604人。</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全年幼儿园入园2608人，在园13021人，离园2817人。普通小学招生4688人，在校生26434人，毕业生3707人。初中招生3863人，在校生12269人，毕业生4011人。高中招生2152人，在校生6225人，毕业生1776人。全区升入高中学生2755人。全区中小学入学率100%，初中升学率97.14%。</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八、文化和卫生</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sz w:val="32"/>
          <w:szCs w:val="32"/>
          <w:highlight w:val="none"/>
        </w:rPr>
        <w:t>年末</w:t>
      </w:r>
      <w:r>
        <w:rPr>
          <w:rFonts w:hint="eastAsia" w:ascii="仿宋_GB2312" w:hAnsi="仿宋_GB2312" w:eastAsia="仿宋_GB2312" w:cs="仿宋_GB2312"/>
          <w:sz w:val="32"/>
          <w:szCs w:val="32"/>
          <w:highlight w:val="none"/>
          <w:lang w:eastAsia="zh-CN"/>
        </w:rPr>
        <w:t>全区</w:t>
      </w:r>
      <w:r>
        <w:rPr>
          <w:rFonts w:hint="eastAsia" w:ascii="仿宋_GB2312" w:hAnsi="仿宋_GB2312" w:eastAsia="仿宋_GB2312" w:cs="仿宋_GB2312"/>
          <w:sz w:val="32"/>
          <w:szCs w:val="32"/>
          <w:highlight w:val="none"/>
        </w:rPr>
        <w:t>有国家文化产业示范基地1个，美术馆1个，文化馆1个，图书馆1个。非物质文化遗产省级</w:t>
      </w:r>
      <w:r>
        <w:rPr>
          <w:rFonts w:hint="eastAsia" w:ascii="仿宋_GB2312" w:hAnsi="仿宋_GB2312" w:eastAsia="仿宋_GB2312" w:cs="仿宋_GB2312"/>
          <w:bCs/>
          <w:kern w:val="0"/>
          <w:sz w:val="32"/>
          <w:szCs w:val="32"/>
          <w:highlight w:val="none"/>
        </w:rPr>
        <w:t>2项、市级6项、区级9项。</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sz w:val="32"/>
          <w:szCs w:val="32"/>
          <w:highlight w:val="none"/>
        </w:rPr>
        <w:t>年末</w:t>
      </w:r>
      <w:r>
        <w:rPr>
          <w:rFonts w:hint="eastAsia" w:ascii="仿宋_GB2312" w:hAnsi="仿宋_GB2312" w:eastAsia="仿宋_GB2312" w:cs="仿宋_GB2312"/>
          <w:sz w:val="32"/>
          <w:szCs w:val="32"/>
          <w:highlight w:val="none"/>
          <w:lang w:eastAsia="zh-CN"/>
        </w:rPr>
        <w:t>全区</w:t>
      </w:r>
      <w:r>
        <w:rPr>
          <w:rFonts w:hint="eastAsia" w:ascii="仿宋_GB2312" w:hAnsi="仿宋_GB2312" w:eastAsia="仿宋_GB2312" w:cs="仿宋_GB2312"/>
          <w:sz w:val="32"/>
          <w:szCs w:val="32"/>
          <w:highlight w:val="none"/>
        </w:rPr>
        <w:t>有各类医疗卫生机构463个。其中，医院32个，门诊部26个、社区卫生服务中心10个、社区卫生服务站37个、村卫生所13个、个体诊所339个、监区卫生所6个。卫生技术人员3102人。其中，高级职称95人，中级职称1209人，初级职称1798人。10万元以上大型医疗设备124台件，50万元以上大型设备35台件，100万元以上大型设备10台件。</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sz w:val="32"/>
          <w:szCs w:val="32"/>
          <w:highlight w:val="none"/>
        </w:rPr>
      </w:pPr>
      <w:r>
        <w:rPr>
          <w:rFonts w:hint="eastAsia" w:ascii="黑体" w:hAnsi="黑体" w:eastAsia="黑体" w:cs="黑体"/>
          <w:bCs/>
          <w:sz w:val="32"/>
          <w:szCs w:val="32"/>
          <w:highlight w:val="none"/>
        </w:rPr>
        <w:t>九、人口、人民生活和社会保障</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年末全区户籍人口445242人（见下表）。其中，城镇人口424762人，乡村人口 20480人。全年出生人口2605人，出生率5.9‰；死亡人口842人，死亡率1.9‰，人口自然增长率4.0‰。</w:t>
      </w:r>
    </w:p>
    <w:p>
      <w:pPr>
        <w:jc w:val="center"/>
        <w:rPr>
          <w:rFonts w:hint="eastAsia" w:ascii="方正小标宋简体" w:hAnsi="方正小标宋简体" w:eastAsia="方正小标宋简体" w:cs="方正小标宋简体"/>
          <w:b w:val="0"/>
          <w:bCs/>
          <w:sz w:val="32"/>
          <w:szCs w:val="32"/>
          <w:highlight w:val="none"/>
        </w:rPr>
      </w:pPr>
      <w:r>
        <w:rPr>
          <w:rFonts w:hint="eastAsia" w:ascii="方正小标宋简体" w:hAnsi="方正小标宋简体" w:eastAsia="方正小标宋简体" w:cs="方正小标宋简体"/>
          <w:b w:val="0"/>
          <w:bCs/>
          <w:sz w:val="32"/>
          <w:szCs w:val="32"/>
          <w:highlight w:val="none"/>
        </w:rPr>
        <w:t>2021年户籍人口数及构成</w:t>
      </w:r>
    </w:p>
    <w:tbl>
      <w:tblPr>
        <w:tblStyle w:val="10"/>
        <w:tblW w:w="8040" w:type="dxa"/>
        <w:tblInd w:w="93" w:type="dxa"/>
        <w:tblLayout w:type="autofit"/>
        <w:tblCellMar>
          <w:top w:w="0" w:type="dxa"/>
          <w:left w:w="108" w:type="dxa"/>
          <w:bottom w:w="0" w:type="dxa"/>
          <w:right w:w="108" w:type="dxa"/>
        </w:tblCellMar>
      </w:tblPr>
      <w:tblGrid>
        <w:gridCol w:w="2200"/>
        <w:gridCol w:w="2920"/>
        <w:gridCol w:w="2920"/>
      </w:tblGrid>
      <w:tr>
        <w:tblPrEx>
          <w:tblCellMar>
            <w:top w:w="0" w:type="dxa"/>
            <w:left w:w="108" w:type="dxa"/>
            <w:bottom w:w="0" w:type="dxa"/>
            <w:right w:w="108" w:type="dxa"/>
          </w:tblCellMar>
        </w:tblPrEx>
        <w:trPr>
          <w:trHeight w:val="317" w:hRule="atLeast"/>
        </w:trPr>
        <w:tc>
          <w:tcPr>
            <w:tcW w:w="2200" w:type="dxa"/>
            <w:tcBorders>
              <w:top w:val="nil"/>
              <w:left w:val="nil"/>
              <w:bottom w:val="nil"/>
              <w:right w:val="nil"/>
            </w:tcBorders>
            <w:shd w:val="clear" w:color="auto" w:fill="auto"/>
            <w:noWrap/>
            <w:vAlign w:val="center"/>
          </w:tcPr>
          <w:p>
            <w:pPr>
              <w:widowControl/>
              <w:jc w:val="left"/>
              <w:rPr>
                <w:rFonts w:hint="eastAsia" w:ascii="宋体" w:hAnsi="宋体" w:eastAsia="宋体" w:cs="宋体"/>
                <w:b w:val="0"/>
                <w:bCs w:val="0"/>
                <w:kern w:val="0"/>
                <w:sz w:val="24"/>
                <w:szCs w:val="24"/>
                <w:highlight w:val="none"/>
              </w:rPr>
            </w:pPr>
          </w:p>
        </w:tc>
        <w:tc>
          <w:tcPr>
            <w:tcW w:w="2920" w:type="dxa"/>
            <w:tcBorders>
              <w:top w:val="nil"/>
              <w:left w:val="nil"/>
              <w:bottom w:val="nil"/>
              <w:right w:val="nil"/>
            </w:tcBorders>
            <w:shd w:val="clear" w:color="auto" w:fill="auto"/>
            <w:noWrap/>
            <w:vAlign w:val="center"/>
          </w:tcPr>
          <w:p>
            <w:pPr>
              <w:widowControl/>
              <w:jc w:val="left"/>
              <w:rPr>
                <w:rFonts w:hint="eastAsia" w:ascii="宋体" w:hAnsi="宋体" w:eastAsia="宋体" w:cs="宋体"/>
                <w:b w:val="0"/>
                <w:bCs w:val="0"/>
                <w:kern w:val="0"/>
                <w:sz w:val="24"/>
                <w:szCs w:val="24"/>
                <w:highlight w:val="none"/>
              </w:rPr>
            </w:pPr>
          </w:p>
        </w:tc>
        <w:tc>
          <w:tcPr>
            <w:tcW w:w="2920" w:type="dxa"/>
            <w:tcBorders>
              <w:top w:val="nil"/>
              <w:left w:val="nil"/>
              <w:bottom w:val="nil"/>
              <w:right w:val="nil"/>
            </w:tcBorders>
            <w:shd w:val="clear" w:color="auto" w:fill="auto"/>
            <w:noWrap/>
            <w:vAlign w:val="center"/>
          </w:tcPr>
          <w:p>
            <w:pPr>
              <w:widowControl/>
              <w:jc w:val="right"/>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单位：万人</w:t>
            </w:r>
          </w:p>
        </w:tc>
      </w:tr>
      <w:tr>
        <w:tblPrEx>
          <w:tblCellMar>
            <w:top w:w="0" w:type="dxa"/>
            <w:left w:w="108" w:type="dxa"/>
            <w:bottom w:w="0" w:type="dxa"/>
            <w:right w:w="108" w:type="dxa"/>
          </w:tblCellMar>
        </w:tblPrEx>
        <w:trPr>
          <w:trHeight w:val="300" w:hRule="atLeast"/>
        </w:trPr>
        <w:tc>
          <w:tcPr>
            <w:tcW w:w="220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29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年末数</w:t>
            </w:r>
          </w:p>
        </w:tc>
        <w:tc>
          <w:tcPr>
            <w:tcW w:w="2920" w:type="dxa"/>
            <w:tcBorders>
              <w:top w:val="single" w:color="auto" w:sz="8" w:space="0"/>
              <w:left w:val="nil"/>
              <w:bottom w:val="single" w:color="auto" w:sz="8" w:space="0"/>
              <w:right w:val="nil"/>
            </w:tcBorders>
            <w:shd w:val="clear" w:color="auto" w:fill="auto"/>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比重（%）</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全区总人口</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44.5</w:t>
            </w:r>
          </w:p>
        </w:tc>
        <w:tc>
          <w:tcPr>
            <w:tcW w:w="2920" w:type="dxa"/>
            <w:tcBorders>
              <w:top w:val="nil"/>
              <w:left w:val="nil"/>
              <w:bottom w:val="nil"/>
              <w:right w:val="nil"/>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城镇</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42.5</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95.4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乡村</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其中：男性</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22.0</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49.4</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ind w:firstLine="720" w:firstLineChars="3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女性</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22.5</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50.6</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其中：0-17岁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6.5</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14.7</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18-34岁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7.8</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17.5</w:t>
            </w:r>
          </w:p>
        </w:tc>
      </w:tr>
      <w:tr>
        <w:tblPrEx>
          <w:tblCellMar>
            <w:top w:w="0" w:type="dxa"/>
            <w:left w:w="108" w:type="dxa"/>
            <w:bottom w:w="0" w:type="dxa"/>
            <w:right w:w="108" w:type="dxa"/>
          </w:tblCellMar>
        </w:tblPrEx>
        <w:trPr>
          <w:trHeight w:val="360" w:hRule="atLeast"/>
        </w:trPr>
        <w:tc>
          <w:tcPr>
            <w:tcW w:w="2200"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35-59岁</w:t>
            </w:r>
          </w:p>
        </w:tc>
        <w:tc>
          <w:tcPr>
            <w:tcW w:w="2920" w:type="dxa"/>
            <w:tcBorders>
              <w:top w:val="nil"/>
              <w:left w:val="single" w:color="auto" w:sz="8" w:space="0"/>
              <w:bottom w:val="nil"/>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20.2</w:t>
            </w:r>
          </w:p>
        </w:tc>
        <w:tc>
          <w:tcPr>
            <w:tcW w:w="2920"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45.3</w:t>
            </w:r>
          </w:p>
        </w:tc>
      </w:tr>
      <w:tr>
        <w:tblPrEx>
          <w:tblCellMar>
            <w:top w:w="0" w:type="dxa"/>
            <w:left w:w="108" w:type="dxa"/>
            <w:bottom w:w="0" w:type="dxa"/>
            <w:right w:w="108" w:type="dxa"/>
          </w:tblCellMar>
        </w:tblPrEx>
        <w:trPr>
          <w:trHeight w:val="360" w:hRule="atLeast"/>
        </w:trPr>
        <w:tc>
          <w:tcPr>
            <w:tcW w:w="2200" w:type="dxa"/>
            <w:tcBorders>
              <w:top w:val="nil"/>
              <w:left w:val="nil"/>
              <w:bottom w:val="single" w:color="auto" w:sz="8" w:space="0"/>
              <w:right w:val="nil"/>
            </w:tcBorders>
            <w:shd w:val="clear" w:color="auto" w:fill="auto"/>
            <w:vAlign w:val="center"/>
          </w:tcPr>
          <w:p>
            <w:pPr>
              <w:widowControl/>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60岁及以上</w:t>
            </w:r>
          </w:p>
        </w:tc>
        <w:tc>
          <w:tcPr>
            <w:tcW w:w="292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10.0</w:t>
            </w:r>
          </w:p>
        </w:tc>
        <w:tc>
          <w:tcPr>
            <w:tcW w:w="2920" w:type="dxa"/>
            <w:tcBorders>
              <w:top w:val="nil"/>
              <w:left w:val="nil"/>
              <w:bottom w:val="single" w:color="auto" w:sz="8"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22.5</w:t>
            </w:r>
          </w:p>
        </w:tc>
      </w:tr>
    </w:tbl>
    <w:p>
      <w:pPr>
        <w:keepNext w:val="0"/>
        <w:keepLines w:val="0"/>
        <w:pageBreakBefore w:val="0"/>
        <w:kinsoku/>
        <w:wordWrap/>
        <w:overflowPunct/>
        <w:topLinePunct w:val="0"/>
        <w:autoSpaceDE/>
        <w:autoSpaceDN/>
        <w:bidi w:val="0"/>
        <w:adjustRightInd w:val="0"/>
        <w:snapToGrid w:val="0"/>
        <w:spacing w:line="322" w:lineRule="auto"/>
        <w:ind w:firstLine="480" w:firstLineChars="200"/>
        <w:jc w:val="both"/>
        <w:textAlignment w:val="auto"/>
        <w:rPr>
          <w:rFonts w:ascii="仿宋_GB2312" w:hAnsi="仿宋_GB2312" w:eastAsia="仿宋_GB2312" w:cs="仿宋_GB2312"/>
          <w:sz w:val="24"/>
          <w:szCs w:val="24"/>
          <w:highlight w:val="none"/>
        </w:rPr>
      </w:pP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全年</w:t>
      </w:r>
      <w:r>
        <w:rPr>
          <w:rFonts w:hint="eastAsia" w:ascii="仿宋_GB2312" w:hAnsi="仿宋_GB2312" w:eastAsia="仿宋_GB2312" w:cs="仿宋_GB2312"/>
          <w:kern w:val="0"/>
          <w:sz w:val="32"/>
          <w:szCs w:val="32"/>
          <w:highlight w:val="none"/>
        </w:rPr>
        <w:t>城镇常住居民人均可支配收入</w:t>
      </w:r>
      <w:r>
        <w:rPr>
          <w:rFonts w:hint="eastAsia" w:ascii="仿宋_GB2312" w:hAnsi="仿宋_GB2312" w:eastAsia="仿宋_GB2312" w:cs="仿宋_GB2312"/>
          <w:sz w:val="32"/>
          <w:szCs w:val="32"/>
          <w:highlight w:val="none"/>
        </w:rPr>
        <w:t>55825元，比上年增长6.0%。</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年末</w:t>
      </w:r>
      <w:r>
        <w:rPr>
          <w:rFonts w:hint="eastAsia" w:ascii="仿宋_GB2312" w:hAnsi="仿宋_GB2312" w:eastAsia="仿宋_GB2312" w:cs="仿宋_GB2312"/>
          <w:sz w:val="32"/>
          <w:szCs w:val="32"/>
          <w:highlight w:val="none"/>
          <w:lang w:eastAsia="zh-CN"/>
        </w:rPr>
        <w:t>全区</w:t>
      </w:r>
      <w:r>
        <w:rPr>
          <w:rFonts w:hint="eastAsia" w:ascii="仿宋_GB2312" w:hAnsi="仿宋_GB2312" w:eastAsia="仿宋_GB2312" w:cs="仿宋_GB2312"/>
          <w:sz w:val="32"/>
          <w:szCs w:val="32"/>
          <w:highlight w:val="none"/>
        </w:rPr>
        <w:t>有低保对象890户1327人，其中低保户857户1259人，低保边缘户33户68人。城区低保月人均标准760元/月，累计发放低保金1222.6万元。</w:t>
      </w:r>
    </w:p>
    <w:p>
      <w:pPr>
        <w:keepNext w:val="0"/>
        <w:keepLines w:val="0"/>
        <w:pageBreakBefore w:val="0"/>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结婚登记2628对，离婚登记994对，补领结婚证748对，补领离婚证186对，档案查</w:t>
      </w:r>
      <w:r>
        <w:rPr>
          <w:rFonts w:hint="eastAsia" w:ascii="仿宋_GB2312" w:hAnsi="仿宋_GB2312" w:eastAsia="仿宋_GB2312" w:cs="仿宋_GB2312"/>
          <w:sz w:val="32"/>
          <w:szCs w:val="32"/>
          <w:highlight w:val="none"/>
          <w:lang w:eastAsia="zh-CN"/>
        </w:rPr>
        <w:t>询</w:t>
      </w:r>
      <w:r>
        <w:rPr>
          <w:rFonts w:hint="eastAsia" w:ascii="仿宋_GB2312" w:hAnsi="仿宋_GB2312" w:eastAsia="仿宋_GB2312" w:cs="仿宋_GB2312"/>
          <w:sz w:val="32"/>
          <w:szCs w:val="32"/>
          <w:highlight w:val="none"/>
        </w:rPr>
        <w:t>1450人次，登记合格率 100％。</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城镇新增就业11925人，城镇登记失业率为2.76%，“零就业家庭”保持动态为零。扶持创业带头人156人，带动就业469人。全民创业3015人，带动就业6039人。引进各类人才735人，引进高层次人才3人。离校未就业毕业生已就业689人。安置符合条件就业困难人员17人。</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ascii="仿宋" w:hAnsi="仿宋" w:eastAsia="仿宋_GB2312" w:cs="宋体"/>
          <w:color w:val="FF0000"/>
          <w:kern w:val="0"/>
          <w:sz w:val="32"/>
          <w:szCs w:val="32"/>
          <w:highlight w:val="none"/>
        </w:rPr>
      </w:pPr>
      <w:r>
        <w:rPr>
          <w:rFonts w:hint="eastAsia" w:ascii="仿宋_GB2312" w:hAnsi="仿宋_GB2312" w:eastAsia="仿宋_GB2312" w:cs="仿宋_GB2312"/>
          <w:kern w:val="0"/>
          <w:sz w:val="32"/>
          <w:szCs w:val="32"/>
          <w:highlight w:val="none"/>
          <w:lang w:eastAsia="zh-CN"/>
        </w:rPr>
        <w:t>全年</w:t>
      </w:r>
      <w:r>
        <w:rPr>
          <w:rFonts w:hint="eastAsia" w:ascii="仿宋_GB2312" w:hAnsi="仿宋_GB2312" w:eastAsia="仿宋_GB2312" w:cs="仿宋_GB2312"/>
          <w:kern w:val="0"/>
          <w:sz w:val="32"/>
          <w:szCs w:val="32"/>
          <w:highlight w:val="none"/>
        </w:rPr>
        <w:t>全区机关事业单位养老保险参保单位95户，参保职工6011人。</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十、能源、环境和安全生产</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全年规模以上工业企业用电量8.3亿千瓦时，比上年增长2.5%。</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全年规模以上工业综合能源消费量90.2万吨标准煤，比上年下降4.0%。</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全年城市环境空气质量平均优良天数为317天，优良天数比例为86.8%。全年新增绿化面积11.61公顷。</w:t>
      </w:r>
    </w:p>
    <w:p>
      <w:pPr>
        <w:keepNext w:val="0"/>
        <w:keepLines w:val="0"/>
        <w:pageBreakBefore w:val="0"/>
        <w:widowControl/>
        <w:kinsoku/>
        <w:wordWrap/>
        <w:overflowPunct/>
        <w:topLinePunct w:val="0"/>
        <w:autoSpaceDE/>
        <w:autoSpaceDN/>
        <w:bidi w:val="0"/>
        <w:adjustRightInd w:val="0"/>
        <w:snapToGrid w:val="0"/>
        <w:spacing w:line="322" w:lineRule="auto"/>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全年生产安全事故7起，共死亡8人。</w:t>
      </w:r>
    </w:p>
    <w:p>
      <w:pPr>
        <w:spacing w:line="360" w:lineRule="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val="0"/>
        <w:snapToGrid w:val="0"/>
        <w:spacing w:line="322" w:lineRule="auto"/>
        <w:ind w:firstLine="602" w:firstLineChars="200"/>
        <w:textAlignment w:val="auto"/>
        <w:rPr>
          <w:rFonts w:ascii="楷体" w:hAnsi="楷体" w:eastAsia="楷体"/>
          <w:b/>
          <w:sz w:val="30"/>
          <w:szCs w:val="30"/>
          <w:highlight w:val="none"/>
        </w:rPr>
      </w:pPr>
      <w:r>
        <w:rPr>
          <w:rFonts w:hint="eastAsia" w:ascii="楷体" w:hAnsi="楷体" w:eastAsia="楷体"/>
          <w:b/>
          <w:sz w:val="30"/>
          <w:szCs w:val="30"/>
          <w:highlight w:val="none"/>
        </w:rPr>
        <w:t>注释：</w:t>
      </w:r>
    </w:p>
    <w:p>
      <w:pPr>
        <w:keepNext w:val="0"/>
        <w:keepLines w:val="0"/>
        <w:pageBreakBefore w:val="0"/>
        <w:widowControl w:val="0"/>
        <w:kinsoku/>
        <w:wordWrap/>
        <w:overflowPunct/>
        <w:topLinePunct w:val="0"/>
        <w:autoSpaceDE/>
        <w:autoSpaceDN/>
        <w:bidi w:val="0"/>
        <w:adjustRightInd w:val="0"/>
        <w:snapToGrid w:val="0"/>
        <w:spacing w:line="322" w:lineRule="auto"/>
        <w:ind w:firstLine="648" w:firstLineChars="200"/>
        <w:textAlignment w:val="auto"/>
        <w:rPr>
          <w:rFonts w:ascii="楷体" w:hAnsi="楷体" w:eastAsia="楷体"/>
          <w:sz w:val="30"/>
          <w:szCs w:val="30"/>
          <w:highlight w:val="none"/>
        </w:rPr>
      </w:pPr>
      <w:r>
        <w:rPr>
          <w:rFonts w:hint="eastAsia" w:ascii="楷体" w:hAnsi="楷体" w:eastAsia="楷体" w:cs="宋体"/>
          <w:spacing w:val="12"/>
          <w:kern w:val="0"/>
          <w:sz w:val="30"/>
          <w:szCs w:val="30"/>
          <w:highlight w:val="none"/>
        </w:rPr>
        <w:t>1.本公报中数据均为初步统计数。部分指标数据在年报时可能还有调整。</w:t>
      </w:r>
    </w:p>
    <w:p>
      <w:pPr>
        <w:keepNext w:val="0"/>
        <w:keepLines w:val="0"/>
        <w:pageBreakBefore w:val="0"/>
        <w:widowControl w:val="0"/>
        <w:kinsoku/>
        <w:wordWrap/>
        <w:overflowPunct/>
        <w:topLinePunct w:val="0"/>
        <w:autoSpaceDE/>
        <w:autoSpaceDN/>
        <w:bidi w:val="0"/>
        <w:adjustRightInd w:val="0"/>
        <w:snapToGrid w:val="0"/>
        <w:spacing w:line="322" w:lineRule="auto"/>
        <w:ind w:firstLine="648" w:firstLineChars="200"/>
        <w:textAlignment w:val="auto"/>
        <w:rPr>
          <w:rFonts w:ascii="楷体" w:hAnsi="楷体" w:eastAsia="楷体"/>
          <w:sz w:val="30"/>
          <w:szCs w:val="30"/>
          <w:highlight w:val="none"/>
        </w:rPr>
      </w:pPr>
      <w:r>
        <w:rPr>
          <w:rFonts w:hint="eastAsia" w:ascii="楷体" w:hAnsi="楷体" w:eastAsia="楷体" w:cs="宋体"/>
          <w:spacing w:val="12"/>
          <w:kern w:val="0"/>
          <w:sz w:val="30"/>
          <w:szCs w:val="30"/>
          <w:highlight w:val="none"/>
        </w:rPr>
        <w:t>2.</w:t>
      </w:r>
      <w:r>
        <w:rPr>
          <w:rFonts w:hint="eastAsia" w:ascii="楷体" w:hAnsi="楷体" w:eastAsia="楷体" w:cs="宋体"/>
          <w:kern w:val="0"/>
          <w:sz w:val="30"/>
          <w:szCs w:val="30"/>
          <w:highlight w:val="none"/>
        </w:rPr>
        <w:t>地区生产总值、各产业增加值、人均地区生产总值绝对数按现价计算，增长速度按可比价格计算。</w:t>
      </w:r>
    </w:p>
    <w:p>
      <w:pPr>
        <w:keepNext w:val="0"/>
        <w:keepLines w:val="0"/>
        <w:pageBreakBefore w:val="0"/>
        <w:widowControl w:val="0"/>
        <w:kinsoku/>
        <w:wordWrap/>
        <w:overflowPunct/>
        <w:topLinePunct w:val="0"/>
        <w:autoSpaceDE/>
        <w:autoSpaceDN/>
        <w:bidi w:val="0"/>
        <w:adjustRightInd w:val="0"/>
        <w:snapToGrid w:val="0"/>
        <w:spacing w:line="322" w:lineRule="auto"/>
        <w:ind w:firstLine="600" w:firstLineChars="200"/>
        <w:textAlignment w:val="auto"/>
        <w:rPr>
          <w:rFonts w:ascii="楷体" w:hAnsi="楷体" w:eastAsia="楷体"/>
          <w:sz w:val="30"/>
          <w:szCs w:val="30"/>
          <w:highlight w:val="none"/>
        </w:rPr>
      </w:pPr>
      <w:r>
        <w:rPr>
          <w:rFonts w:hint="eastAsia" w:ascii="楷体" w:hAnsi="楷体" w:eastAsia="楷体" w:cs="宋体"/>
          <w:kern w:val="0"/>
          <w:sz w:val="30"/>
          <w:szCs w:val="30"/>
          <w:highlight w:val="none"/>
        </w:rPr>
        <w:t>3.规模以上工业统计范围为年主营业务收入2000万元及以上的</w:t>
      </w:r>
      <w:r>
        <w:rPr>
          <w:rFonts w:hint="eastAsia" w:ascii="楷体" w:hAnsi="楷体" w:eastAsia="楷体" w:cs="宋体"/>
          <w:spacing w:val="12"/>
          <w:kern w:val="0"/>
          <w:sz w:val="30"/>
          <w:szCs w:val="30"/>
          <w:highlight w:val="none"/>
        </w:rPr>
        <w:t>工业法人企业；固定资产投资统计的起点为500万元及以上项目</w:t>
      </w:r>
      <w:r>
        <w:rPr>
          <w:rFonts w:hint="eastAsia" w:ascii="楷体" w:hAnsi="楷体" w:eastAsia="楷体" w:cs="宋体"/>
          <w:spacing w:val="12"/>
          <w:kern w:val="0"/>
          <w:sz w:val="30"/>
          <w:szCs w:val="30"/>
          <w:highlight w:val="none"/>
          <w:lang w:eastAsia="zh-CN"/>
        </w:rPr>
        <w:t>；</w:t>
      </w:r>
      <w:r>
        <w:rPr>
          <w:rFonts w:hint="eastAsia" w:ascii="楷体" w:hAnsi="楷体" w:eastAsia="楷体" w:cs="宋体"/>
          <w:spacing w:val="12"/>
          <w:kern w:val="0"/>
          <w:sz w:val="30"/>
          <w:szCs w:val="30"/>
          <w:highlight w:val="none"/>
        </w:rPr>
        <w:t>限额以上批发业统计范围为年主营业务收入2000万元及以上的批发业法人企业、产业活动单位和个体经营户，限额以上零售业统计范围为年主营业务收入500万元及以上的零售业法人企业、产业活动单位和个体经营户，限额以上住宿和餐饮业统计范围为年主营业务收入200万元及以上的住宿和餐饮业法人企业、产业活动单位和个体经营户。</w:t>
      </w:r>
    </w:p>
    <w:p>
      <w:pPr>
        <w:keepNext w:val="0"/>
        <w:keepLines w:val="0"/>
        <w:pageBreakBefore w:val="0"/>
        <w:widowControl/>
        <w:kinsoku/>
        <w:wordWrap/>
        <w:overflowPunct/>
        <w:topLinePunct w:val="0"/>
        <w:autoSpaceDE/>
        <w:autoSpaceDN/>
        <w:bidi w:val="0"/>
        <w:adjustRightInd w:val="0"/>
        <w:snapToGrid w:val="0"/>
        <w:spacing w:line="322" w:lineRule="auto"/>
        <w:textAlignment w:val="auto"/>
        <w:rPr>
          <w:rFonts w:ascii="楷体" w:hAnsi="楷体" w:eastAsia="楷体"/>
          <w:sz w:val="30"/>
          <w:szCs w:val="30"/>
          <w:highlight w:val="none"/>
        </w:rPr>
      </w:pPr>
    </w:p>
    <w:p>
      <w:pPr>
        <w:keepNext w:val="0"/>
        <w:keepLines w:val="0"/>
        <w:pageBreakBefore w:val="0"/>
        <w:widowControl/>
        <w:kinsoku/>
        <w:wordWrap/>
        <w:overflowPunct/>
        <w:topLinePunct w:val="0"/>
        <w:autoSpaceDE/>
        <w:autoSpaceDN/>
        <w:bidi w:val="0"/>
        <w:adjustRightInd w:val="0"/>
        <w:snapToGrid w:val="0"/>
        <w:spacing w:line="322" w:lineRule="auto"/>
        <w:ind w:firstLine="650" w:firstLineChars="200"/>
        <w:textAlignment w:val="auto"/>
        <w:rPr>
          <w:rFonts w:ascii="楷体" w:hAnsi="楷体" w:eastAsia="楷体" w:cs="宋体"/>
          <w:b/>
          <w:spacing w:val="12"/>
          <w:kern w:val="0"/>
          <w:sz w:val="30"/>
          <w:szCs w:val="30"/>
          <w:highlight w:val="none"/>
        </w:rPr>
      </w:pPr>
      <w:r>
        <w:rPr>
          <w:rFonts w:hint="eastAsia" w:ascii="楷体" w:hAnsi="楷体" w:eastAsia="楷体" w:cs="宋体"/>
          <w:b/>
          <w:spacing w:val="12"/>
          <w:kern w:val="0"/>
          <w:sz w:val="30"/>
          <w:szCs w:val="30"/>
          <w:highlight w:val="none"/>
        </w:rPr>
        <w:t>资料来源：</w:t>
      </w:r>
    </w:p>
    <w:p>
      <w:pPr>
        <w:keepNext w:val="0"/>
        <w:keepLines w:val="0"/>
        <w:pageBreakBefore w:val="0"/>
        <w:widowControl/>
        <w:kinsoku/>
        <w:wordWrap/>
        <w:overflowPunct/>
        <w:topLinePunct w:val="0"/>
        <w:autoSpaceDE/>
        <w:autoSpaceDN/>
        <w:bidi w:val="0"/>
        <w:adjustRightInd w:val="0"/>
        <w:snapToGrid w:val="0"/>
        <w:spacing w:line="322" w:lineRule="auto"/>
        <w:ind w:firstLine="600" w:firstLineChars="200"/>
        <w:textAlignment w:val="auto"/>
        <w:rPr>
          <w:rFonts w:ascii="楷体" w:hAnsi="楷体" w:eastAsia="楷体" w:cs="宋体"/>
          <w:kern w:val="0"/>
          <w:sz w:val="30"/>
          <w:szCs w:val="30"/>
          <w:highlight w:val="none"/>
        </w:rPr>
      </w:pPr>
      <w:r>
        <w:rPr>
          <w:rFonts w:hint="eastAsia" w:ascii="楷体" w:hAnsi="楷体" w:eastAsia="楷体" w:cs="宋体"/>
          <w:kern w:val="0"/>
          <w:sz w:val="30"/>
          <w:szCs w:val="30"/>
          <w:highlight w:val="none"/>
        </w:rPr>
        <w:t>本公报中外贸出口数据来自区商务局；利用外资数据来自区招商中心；财政税收数据来自区财政局；科技数据来自区科技局；教育数据来自区教育局；卫生数据来自区卫健局；文化、旅游数据来自区文旅广电局；城乡居民收入数据来自国家统计局盘锦调查队；城镇养老保险、城镇医疗保险、就业等数据来自区人社局；城乡最低生活保障、社会福利、婚姻登记等数据来自区民政局；资源环境等数据来自区环保局；安全生产数据来自区应急管理局；人口数据来自区公安分局；其他数据均来自区统计局。</w:t>
      </w: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黑体"/>
    <w:panose1 w:val="00000000000000000000"/>
    <w:charset w:val="86"/>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1"/>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C8FB7"/>
    <w:multiLevelType w:val="singleLevel"/>
    <w:tmpl w:val="DF3C8FB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B"/>
    <w:rsid w:val="00000946"/>
    <w:rsid w:val="00000B1E"/>
    <w:rsid w:val="00000C58"/>
    <w:rsid w:val="000020B1"/>
    <w:rsid w:val="0000238C"/>
    <w:rsid w:val="000037F5"/>
    <w:rsid w:val="00004C07"/>
    <w:rsid w:val="000051B0"/>
    <w:rsid w:val="0000622C"/>
    <w:rsid w:val="000114C9"/>
    <w:rsid w:val="000151EF"/>
    <w:rsid w:val="0001680B"/>
    <w:rsid w:val="000175E6"/>
    <w:rsid w:val="00020385"/>
    <w:rsid w:val="00020958"/>
    <w:rsid w:val="00024ACF"/>
    <w:rsid w:val="000259A1"/>
    <w:rsid w:val="00025C92"/>
    <w:rsid w:val="00025FBD"/>
    <w:rsid w:val="0003026D"/>
    <w:rsid w:val="00031D27"/>
    <w:rsid w:val="00032E2E"/>
    <w:rsid w:val="000332E7"/>
    <w:rsid w:val="000343DD"/>
    <w:rsid w:val="00034F73"/>
    <w:rsid w:val="00035F2E"/>
    <w:rsid w:val="00040A0F"/>
    <w:rsid w:val="00041731"/>
    <w:rsid w:val="0004208E"/>
    <w:rsid w:val="00042617"/>
    <w:rsid w:val="00043956"/>
    <w:rsid w:val="00043F7E"/>
    <w:rsid w:val="000443DF"/>
    <w:rsid w:val="0004467E"/>
    <w:rsid w:val="0004513B"/>
    <w:rsid w:val="00045230"/>
    <w:rsid w:val="00045F19"/>
    <w:rsid w:val="00050FFA"/>
    <w:rsid w:val="00053046"/>
    <w:rsid w:val="00053130"/>
    <w:rsid w:val="00054292"/>
    <w:rsid w:val="00054E0E"/>
    <w:rsid w:val="00056313"/>
    <w:rsid w:val="00060BB5"/>
    <w:rsid w:val="00061881"/>
    <w:rsid w:val="00061A3B"/>
    <w:rsid w:val="000629A2"/>
    <w:rsid w:val="00062E65"/>
    <w:rsid w:val="000630F4"/>
    <w:rsid w:val="00063D4E"/>
    <w:rsid w:val="0006635C"/>
    <w:rsid w:val="0007269E"/>
    <w:rsid w:val="00073E4C"/>
    <w:rsid w:val="00074359"/>
    <w:rsid w:val="000749AE"/>
    <w:rsid w:val="00074A2C"/>
    <w:rsid w:val="00074BEA"/>
    <w:rsid w:val="00075431"/>
    <w:rsid w:val="00076BC3"/>
    <w:rsid w:val="00076E49"/>
    <w:rsid w:val="00080030"/>
    <w:rsid w:val="000800D4"/>
    <w:rsid w:val="00080C36"/>
    <w:rsid w:val="00081447"/>
    <w:rsid w:val="00082423"/>
    <w:rsid w:val="0008348D"/>
    <w:rsid w:val="000842F2"/>
    <w:rsid w:val="00084E2E"/>
    <w:rsid w:val="00085296"/>
    <w:rsid w:val="00085AAA"/>
    <w:rsid w:val="00085C4A"/>
    <w:rsid w:val="00090462"/>
    <w:rsid w:val="00090610"/>
    <w:rsid w:val="000906AE"/>
    <w:rsid w:val="000909B5"/>
    <w:rsid w:val="00090B8B"/>
    <w:rsid w:val="000933C5"/>
    <w:rsid w:val="0009582B"/>
    <w:rsid w:val="000962C7"/>
    <w:rsid w:val="000963EF"/>
    <w:rsid w:val="000967CF"/>
    <w:rsid w:val="0009700E"/>
    <w:rsid w:val="00097837"/>
    <w:rsid w:val="000A0388"/>
    <w:rsid w:val="000A11E2"/>
    <w:rsid w:val="000A180A"/>
    <w:rsid w:val="000A30D7"/>
    <w:rsid w:val="000A3C1D"/>
    <w:rsid w:val="000B12C8"/>
    <w:rsid w:val="000B2804"/>
    <w:rsid w:val="000B2FFF"/>
    <w:rsid w:val="000B3389"/>
    <w:rsid w:val="000B39BF"/>
    <w:rsid w:val="000B678A"/>
    <w:rsid w:val="000B7266"/>
    <w:rsid w:val="000C076E"/>
    <w:rsid w:val="000C090C"/>
    <w:rsid w:val="000C1E1C"/>
    <w:rsid w:val="000C1F93"/>
    <w:rsid w:val="000C297E"/>
    <w:rsid w:val="000C2CEE"/>
    <w:rsid w:val="000C455A"/>
    <w:rsid w:val="000C46BD"/>
    <w:rsid w:val="000C5136"/>
    <w:rsid w:val="000C528A"/>
    <w:rsid w:val="000C6043"/>
    <w:rsid w:val="000C6562"/>
    <w:rsid w:val="000D013F"/>
    <w:rsid w:val="000D045D"/>
    <w:rsid w:val="000D0792"/>
    <w:rsid w:val="000D1BFE"/>
    <w:rsid w:val="000D2AED"/>
    <w:rsid w:val="000D4D1A"/>
    <w:rsid w:val="000D50D4"/>
    <w:rsid w:val="000D6BF1"/>
    <w:rsid w:val="000E07A8"/>
    <w:rsid w:val="000E2B52"/>
    <w:rsid w:val="000E2C29"/>
    <w:rsid w:val="000E364D"/>
    <w:rsid w:val="000F0130"/>
    <w:rsid w:val="000F059E"/>
    <w:rsid w:val="000F0ADA"/>
    <w:rsid w:val="000F1D1D"/>
    <w:rsid w:val="000F32B8"/>
    <w:rsid w:val="000F3367"/>
    <w:rsid w:val="000F3A36"/>
    <w:rsid w:val="000F5FE1"/>
    <w:rsid w:val="000F74EA"/>
    <w:rsid w:val="000F7911"/>
    <w:rsid w:val="00103326"/>
    <w:rsid w:val="00104211"/>
    <w:rsid w:val="00104219"/>
    <w:rsid w:val="00104893"/>
    <w:rsid w:val="00104DF3"/>
    <w:rsid w:val="00105CFE"/>
    <w:rsid w:val="00106A0D"/>
    <w:rsid w:val="001116A7"/>
    <w:rsid w:val="001125DC"/>
    <w:rsid w:val="0011282D"/>
    <w:rsid w:val="001135BE"/>
    <w:rsid w:val="00114BCF"/>
    <w:rsid w:val="00114BE9"/>
    <w:rsid w:val="00116400"/>
    <w:rsid w:val="00117D60"/>
    <w:rsid w:val="0012124F"/>
    <w:rsid w:val="001226BC"/>
    <w:rsid w:val="001238BD"/>
    <w:rsid w:val="00124397"/>
    <w:rsid w:val="00124647"/>
    <w:rsid w:val="00126400"/>
    <w:rsid w:val="00126739"/>
    <w:rsid w:val="00127D39"/>
    <w:rsid w:val="0013039E"/>
    <w:rsid w:val="001306E9"/>
    <w:rsid w:val="00131F66"/>
    <w:rsid w:val="001327B4"/>
    <w:rsid w:val="00133246"/>
    <w:rsid w:val="0013369F"/>
    <w:rsid w:val="001344BC"/>
    <w:rsid w:val="001360EF"/>
    <w:rsid w:val="001365A4"/>
    <w:rsid w:val="0014051F"/>
    <w:rsid w:val="00141560"/>
    <w:rsid w:val="001423C5"/>
    <w:rsid w:val="001432B8"/>
    <w:rsid w:val="00143A06"/>
    <w:rsid w:val="00144CB9"/>
    <w:rsid w:val="00145483"/>
    <w:rsid w:val="0014764C"/>
    <w:rsid w:val="001476C2"/>
    <w:rsid w:val="00150EBF"/>
    <w:rsid w:val="00151269"/>
    <w:rsid w:val="001515C5"/>
    <w:rsid w:val="0015210B"/>
    <w:rsid w:val="00152201"/>
    <w:rsid w:val="001542C1"/>
    <w:rsid w:val="0015443C"/>
    <w:rsid w:val="001548C9"/>
    <w:rsid w:val="001557F3"/>
    <w:rsid w:val="00160C16"/>
    <w:rsid w:val="001634E3"/>
    <w:rsid w:val="00165544"/>
    <w:rsid w:val="001658DB"/>
    <w:rsid w:val="00167133"/>
    <w:rsid w:val="00167600"/>
    <w:rsid w:val="00172A27"/>
    <w:rsid w:val="00174313"/>
    <w:rsid w:val="001751BF"/>
    <w:rsid w:val="00175D35"/>
    <w:rsid w:val="00175EE7"/>
    <w:rsid w:val="00176AF1"/>
    <w:rsid w:val="00181579"/>
    <w:rsid w:val="0018306D"/>
    <w:rsid w:val="00184DDD"/>
    <w:rsid w:val="001854E6"/>
    <w:rsid w:val="00186424"/>
    <w:rsid w:val="0019360A"/>
    <w:rsid w:val="00195232"/>
    <w:rsid w:val="00195A47"/>
    <w:rsid w:val="00197345"/>
    <w:rsid w:val="001977BB"/>
    <w:rsid w:val="00197BFF"/>
    <w:rsid w:val="001A06ED"/>
    <w:rsid w:val="001A1259"/>
    <w:rsid w:val="001A4BE7"/>
    <w:rsid w:val="001A578C"/>
    <w:rsid w:val="001A5FC7"/>
    <w:rsid w:val="001A628D"/>
    <w:rsid w:val="001A6D0B"/>
    <w:rsid w:val="001B0E39"/>
    <w:rsid w:val="001B45C0"/>
    <w:rsid w:val="001B4983"/>
    <w:rsid w:val="001B73A9"/>
    <w:rsid w:val="001B7764"/>
    <w:rsid w:val="001C0580"/>
    <w:rsid w:val="001C09A0"/>
    <w:rsid w:val="001C1332"/>
    <w:rsid w:val="001C4067"/>
    <w:rsid w:val="001C4314"/>
    <w:rsid w:val="001C5763"/>
    <w:rsid w:val="001C6918"/>
    <w:rsid w:val="001C70C4"/>
    <w:rsid w:val="001C7B33"/>
    <w:rsid w:val="001C7C82"/>
    <w:rsid w:val="001D1A62"/>
    <w:rsid w:val="001D2859"/>
    <w:rsid w:val="001D3DA4"/>
    <w:rsid w:val="001D4A75"/>
    <w:rsid w:val="001D5A8F"/>
    <w:rsid w:val="001D7CD8"/>
    <w:rsid w:val="001E04E4"/>
    <w:rsid w:val="001E3341"/>
    <w:rsid w:val="001E4B38"/>
    <w:rsid w:val="001E5AAD"/>
    <w:rsid w:val="001E6E4D"/>
    <w:rsid w:val="001F07AE"/>
    <w:rsid w:val="001F0B49"/>
    <w:rsid w:val="001F1DA6"/>
    <w:rsid w:val="001F2349"/>
    <w:rsid w:val="001F2B2F"/>
    <w:rsid w:val="001F2C10"/>
    <w:rsid w:val="001F4B70"/>
    <w:rsid w:val="001F7556"/>
    <w:rsid w:val="00201A5D"/>
    <w:rsid w:val="002034F8"/>
    <w:rsid w:val="0020378D"/>
    <w:rsid w:val="00203C1E"/>
    <w:rsid w:val="0020446B"/>
    <w:rsid w:val="00205C87"/>
    <w:rsid w:val="00210A2E"/>
    <w:rsid w:val="00216F90"/>
    <w:rsid w:val="00220746"/>
    <w:rsid w:val="00220FCD"/>
    <w:rsid w:val="00221D3C"/>
    <w:rsid w:val="00221F0B"/>
    <w:rsid w:val="00223D48"/>
    <w:rsid w:val="00224B13"/>
    <w:rsid w:val="00224C74"/>
    <w:rsid w:val="00225206"/>
    <w:rsid w:val="002271E8"/>
    <w:rsid w:val="00227ABB"/>
    <w:rsid w:val="00230F08"/>
    <w:rsid w:val="00231DE7"/>
    <w:rsid w:val="00231E56"/>
    <w:rsid w:val="00234EE8"/>
    <w:rsid w:val="002353D6"/>
    <w:rsid w:val="00235DB0"/>
    <w:rsid w:val="00235FB6"/>
    <w:rsid w:val="00235FE4"/>
    <w:rsid w:val="00236390"/>
    <w:rsid w:val="00236B59"/>
    <w:rsid w:val="0023707C"/>
    <w:rsid w:val="00240725"/>
    <w:rsid w:val="00241BA8"/>
    <w:rsid w:val="0024201F"/>
    <w:rsid w:val="00243949"/>
    <w:rsid w:val="00244969"/>
    <w:rsid w:val="00245406"/>
    <w:rsid w:val="0024603A"/>
    <w:rsid w:val="0025355D"/>
    <w:rsid w:val="00256A51"/>
    <w:rsid w:val="00256B59"/>
    <w:rsid w:val="002606AF"/>
    <w:rsid w:val="00262132"/>
    <w:rsid w:val="00262E27"/>
    <w:rsid w:val="00262EC4"/>
    <w:rsid w:val="002643A4"/>
    <w:rsid w:val="00264F07"/>
    <w:rsid w:val="00264F6C"/>
    <w:rsid w:val="0026528B"/>
    <w:rsid w:val="00266223"/>
    <w:rsid w:val="00270786"/>
    <w:rsid w:val="00270812"/>
    <w:rsid w:val="002716CD"/>
    <w:rsid w:val="00272C6B"/>
    <w:rsid w:val="00272ED1"/>
    <w:rsid w:val="00273ACA"/>
    <w:rsid w:val="00274B2C"/>
    <w:rsid w:val="002775C1"/>
    <w:rsid w:val="00277674"/>
    <w:rsid w:val="0027785C"/>
    <w:rsid w:val="00280CDC"/>
    <w:rsid w:val="00281741"/>
    <w:rsid w:val="00283761"/>
    <w:rsid w:val="00283E63"/>
    <w:rsid w:val="00284F4E"/>
    <w:rsid w:val="002857B4"/>
    <w:rsid w:val="002869DB"/>
    <w:rsid w:val="00287914"/>
    <w:rsid w:val="00290DEE"/>
    <w:rsid w:val="002913B3"/>
    <w:rsid w:val="00291530"/>
    <w:rsid w:val="00292C62"/>
    <w:rsid w:val="002935CB"/>
    <w:rsid w:val="00293C6C"/>
    <w:rsid w:val="00293F16"/>
    <w:rsid w:val="002957DC"/>
    <w:rsid w:val="00295BE4"/>
    <w:rsid w:val="00295DD0"/>
    <w:rsid w:val="0029665F"/>
    <w:rsid w:val="00297D28"/>
    <w:rsid w:val="002A1BF5"/>
    <w:rsid w:val="002A3E24"/>
    <w:rsid w:val="002A452A"/>
    <w:rsid w:val="002A544A"/>
    <w:rsid w:val="002A5835"/>
    <w:rsid w:val="002A6BBB"/>
    <w:rsid w:val="002B039E"/>
    <w:rsid w:val="002B0A5F"/>
    <w:rsid w:val="002B0D14"/>
    <w:rsid w:val="002B2791"/>
    <w:rsid w:val="002B2E4C"/>
    <w:rsid w:val="002B4845"/>
    <w:rsid w:val="002B5F0D"/>
    <w:rsid w:val="002B6E05"/>
    <w:rsid w:val="002B7899"/>
    <w:rsid w:val="002C0BDC"/>
    <w:rsid w:val="002C30EA"/>
    <w:rsid w:val="002C3110"/>
    <w:rsid w:val="002C6ADA"/>
    <w:rsid w:val="002C7530"/>
    <w:rsid w:val="002D04B3"/>
    <w:rsid w:val="002D1F6C"/>
    <w:rsid w:val="002D27A3"/>
    <w:rsid w:val="002D440A"/>
    <w:rsid w:val="002D5BE7"/>
    <w:rsid w:val="002D5C01"/>
    <w:rsid w:val="002D6DF7"/>
    <w:rsid w:val="002D7120"/>
    <w:rsid w:val="002D73C7"/>
    <w:rsid w:val="002E0020"/>
    <w:rsid w:val="002E1667"/>
    <w:rsid w:val="002E174D"/>
    <w:rsid w:val="002E45D8"/>
    <w:rsid w:val="002E6FB2"/>
    <w:rsid w:val="002F01D7"/>
    <w:rsid w:val="002F105C"/>
    <w:rsid w:val="002F45B8"/>
    <w:rsid w:val="002F7B90"/>
    <w:rsid w:val="002F7F25"/>
    <w:rsid w:val="00302E27"/>
    <w:rsid w:val="003032CF"/>
    <w:rsid w:val="0030411C"/>
    <w:rsid w:val="00305618"/>
    <w:rsid w:val="003057F5"/>
    <w:rsid w:val="003115A2"/>
    <w:rsid w:val="003115C7"/>
    <w:rsid w:val="00311B31"/>
    <w:rsid w:val="00312444"/>
    <w:rsid w:val="00312A04"/>
    <w:rsid w:val="00313DD3"/>
    <w:rsid w:val="00314184"/>
    <w:rsid w:val="00314656"/>
    <w:rsid w:val="003149E1"/>
    <w:rsid w:val="0031688D"/>
    <w:rsid w:val="00316962"/>
    <w:rsid w:val="003174B0"/>
    <w:rsid w:val="00320119"/>
    <w:rsid w:val="00320901"/>
    <w:rsid w:val="003209E6"/>
    <w:rsid w:val="00321439"/>
    <w:rsid w:val="0032197D"/>
    <w:rsid w:val="0032236F"/>
    <w:rsid w:val="00323D59"/>
    <w:rsid w:val="00324960"/>
    <w:rsid w:val="00324D4F"/>
    <w:rsid w:val="00325212"/>
    <w:rsid w:val="00325C44"/>
    <w:rsid w:val="0032709B"/>
    <w:rsid w:val="003276FC"/>
    <w:rsid w:val="003309DE"/>
    <w:rsid w:val="003341EE"/>
    <w:rsid w:val="00334294"/>
    <w:rsid w:val="00334462"/>
    <w:rsid w:val="003344FC"/>
    <w:rsid w:val="003348F1"/>
    <w:rsid w:val="0033525F"/>
    <w:rsid w:val="00336532"/>
    <w:rsid w:val="00343029"/>
    <w:rsid w:val="00344906"/>
    <w:rsid w:val="00344BEF"/>
    <w:rsid w:val="00346533"/>
    <w:rsid w:val="00346D37"/>
    <w:rsid w:val="00353EAE"/>
    <w:rsid w:val="00353EC1"/>
    <w:rsid w:val="00353FA6"/>
    <w:rsid w:val="00355346"/>
    <w:rsid w:val="00355D5F"/>
    <w:rsid w:val="00356D4F"/>
    <w:rsid w:val="00360E6D"/>
    <w:rsid w:val="00360F5B"/>
    <w:rsid w:val="00361B1D"/>
    <w:rsid w:val="00361CCE"/>
    <w:rsid w:val="0036222C"/>
    <w:rsid w:val="00362E40"/>
    <w:rsid w:val="003633F3"/>
    <w:rsid w:val="00363EE1"/>
    <w:rsid w:val="0036418B"/>
    <w:rsid w:val="00364CF1"/>
    <w:rsid w:val="00365017"/>
    <w:rsid w:val="0036524E"/>
    <w:rsid w:val="003652AE"/>
    <w:rsid w:val="003656BB"/>
    <w:rsid w:val="0036606E"/>
    <w:rsid w:val="00366CC4"/>
    <w:rsid w:val="00366D49"/>
    <w:rsid w:val="0036729C"/>
    <w:rsid w:val="00371693"/>
    <w:rsid w:val="0037349D"/>
    <w:rsid w:val="00373E58"/>
    <w:rsid w:val="003756BA"/>
    <w:rsid w:val="003767C9"/>
    <w:rsid w:val="003805CE"/>
    <w:rsid w:val="003808A0"/>
    <w:rsid w:val="00384B91"/>
    <w:rsid w:val="0038601E"/>
    <w:rsid w:val="00386162"/>
    <w:rsid w:val="00386772"/>
    <w:rsid w:val="00387137"/>
    <w:rsid w:val="003871D8"/>
    <w:rsid w:val="003904F7"/>
    <w:rsid w:val="00394289"/>
    <w:rsid w:val="003960DD"/>
    <w:rsid w:val="0039651E"/>
    <w:rsid w:val="003970A5"/>
    <w:rsid w:val="003A3039"/>
    <w:rsid w:val="003A379E"/>
    <w:rsid w:val="003A3CAB"/>
    <w:rsid w:val="003A3DD5"/>
    <w:rsid w:val="003A4980"/>
    <w:rsid w:val="003A58F2"/>
    <w:rsid w:val="003A5AC7"/>
    <w:rsid w:val="003A672E"/>
    <w:rsid w:val="003B0496"/>
    <w:rsid w:val="003B0952"/>
    <w:rsid w:val="003B12AB"/>
    <w:rsid w:val="003B131C"/>
    <w:rsid w:val="003B2691"/>
    <w:rsid w:val="003B51BA"/>
    <w:rsid w:val="003B63A3"/>
    <w:rsid w:val="003B6EEC"/>
    <w:rsid w:val="003B716C"/>
    <w:rsid w:val="003C1CA3"/>
    <w:rsid w:val="003C25C9"/>
    <w:rsid w:val="003C353E"/>
    <w:rsid w:val="003C3D14"/>
    <w:rsid w:val="003C3E69"/>
    <w:rsid w:val="003C4669"/>
    <w:rsid w:val="003C52AD"/>
    <w:rsid w:val="003C5414"/>
    <w:rsid w:val="003D09AF"/>
    <w:rsid w:val="003D0AD5"/>
    <w:rsid w:val="003D2606"/>
    <w:rsid w:val="003D33B2"/>
    <w:rsid w:val="003D6C4F"/>
    <w:rsid w:val="003D6C80"/>
    <w:rsid w:val="003E09B0"/>
    <w:rsid w:val="003E134D"/>
    <w:rsid w:val="003E2E44"/>
    <w:rsid w:val="003E3527"/>
    <w:rsid w:val="003E3599"/>
    <w:rsid w:val="003E415E"/>
    <w:rsid w:val="003E47EF"/>
    <w:rsid w:val="003E5EAE"/>
    <w:rsid w:val="003E6067"/>
    <w:rsid w:val="003E6A5D"/>
    <w:rsid w:val="003E7131"/>
    <w:rsid w:val="003E7E05"/>
    <w:rsid w:val="003E7F87"/>
    <w:rsid w:val="003F03A8"/>
    <w:rsid w:val="003F0EC5"/>
    <w:rsid w:val="003F0EDB"/>
    <w:rsid w:val="003F1E7E"/>
    <w:rsid w:val="003F1F6A"/>
    <w:rsid w:val="003F2994"/>
    <w:rsid w:val="003F38A3"/>
    <w:rsid w:val="003F3D1D"/>
    <w:rsid w:val="003F5C1C"/>
    <w:rsid w:val="003F5D04"/>
    <w:rsid w:val="003F71D2"/>
    <w:rsid w:val="003F723D"/>
    <w:rsid w:val="003F7FBA"/>
    <w:rsid w:val="004017EB"/>
    <w:rsid w:val="0040228F"/>
    <w:rsid w:val="00405A72"/>
    <w:rsid w:val="0040795E"/>
    <w:rsid w:val="004113C4"/>
    <w:rsid w:val="00412639"/>
    <w:rsid w:val="00413C89"/>
    <w:rsid w:val="00414378"/>
    <w:rsid w:val="00414B46"/>
    <w:rsid w:val="00415050"/>
    <w:rsid w:val="004150FC"/>
    <w:rsid w:val="0041538D"/>
    <w:rsid w:val="004157DC"/>
    <w:rsid w:val="00415E9B"/>
    <w:rsid w:val="004172FA"/>
    <w:rsid w:val="0042099E"/>
    <w:rsid w:val="00421B8F"/>
    <w:rsid w:val="004225E9"/>
    <w:rsid w:val="00423A99"/>
    <w:rsid w:val="00424B56"/>
    <w:rsid w:val="00427346"/>
    <w:rsid w:val="00427F51"/>
    <w:rsid w:val="004302CF"/>
    <w:rsid w:val="00431898"/>
    <w:rsid w:val="004324AF"/>
    <w:rsid w:val="00433F6B"/>
    <w:rsid w:val="00434E2A"/>
    <w:rsid w:val="0043579E"/>
    <w:rsid w:val="00436F88"/>
    <w:rsid w:val="0043718D"/>
    <w:rsid w:val="004412CC"/>
    <w:rsid w:val="004415BD"/>
    <w:rsid w:val="00441B1C"/>
    <w:rsid w:val="0044219E"/>
    <w:rsid w:val="00442581"/>
    <w:rsid w:val="00444BA0"/>
    <w:rsid w:val="00447038"/>
    <w:rsid w:val="00451DC8"/>
    <w:rsid w:val="004549B5"/>
    <w:rsid w:val="004553BA"/>
    <w:rsid w:val="00455645"/>
    <w:rsid w:val="0045576C"/>
    <w:rsid w:val="004557EE"/>
    <w:rsid w:val="00455AF5"/>
    <w:rsid w:val="004607C3"/>
    <w:rsid w:val="00463D6D"/>
    <w:rsid w:val="004649F1"/>
    <w:rsid w:val="00465DF9"/>
    <w:rsid w:val="0046662C"/>
    <w:rsid w:val="00466F83"/>
    <w:rsid w:val="00470588"/>
    <w:rsid w:val="00470FE1"/>
    <w:rsid w:val="004716C6"/>
    <w:rsid w:val="00471ADC"/>
    <w:rsid w:val="00474B04"/>
    <w:rsid w:val="00475072"/>
    <w:rsid w:val="004753B7"/>
    <w:rsid w:val="004753FA"/>
    <w:rsid w:val="004754FA"/>
    <w:rsid w:val="00475981"/>
    <w:rsid w:val="00475BBF"/>
    <w:rsid w:val="00475E52"/>
    <w:rsid w:val="00475EB4"/>
    <w:rsid w:val="0048152F"/>
    <w:rsid w:val="0048190F"/>
    <w:rsid w:val="004823F8"/>
    <w:rsid w:val="004843C0"/>
    <w:rsid w:val="004850E7"/>
    <w:rsid w:val="004864FC"/>
    <w:rsid w:val="004868A5"/>
    <w:rsid w:val="00486C0A"/>
    <w:rsid w:val="0049090B"/>
    <w:rsid w:val="00492226"/>
    <w:rsid w:val="004932AC"/>
    <w:rsid w:val="00493412"/>
    <w:rsid w:val="00493A1C"/>
    <w:rsid w:val="004944F1"/>
    <w:rsid w:val="004946E9"/>
    <w:rsid w:val="00495C29"/>
    <w:rsid w:val="004961A9"/>
    <w:rsid w:val="004A0227"/>
    <w:rsid w:val="004A29EC"/>
    <w:rsid w:val="004A3149"/>
    <w:rsid w:val="004A435A"/>
    <w:rsid w:val="004A52E9"/>
    <w:rsid w:val="004A5AC2"/>
    <w:rsid w:val="004A67E1"/>
    <w:rsid w:val="004A6AF1"/>
    <w:rsid w:val="004A7F97"/>
    <w:rsid w:val="004A7FEB"/>
    <w:rsid w:val="004B2485"/>
    <w:rsid w:val="004B31DC"/>
    <w:rsid w:val="004B37CC"/>
    <w:rsid w:val="004B6BF1"/>
    <w:rsid w:val="004C01F4"/>
    <w:rsid w:val="004C1B1B"/>
    <w:rsid w:val="004C246C"/>
    <w:rsid w:val="004C2F18"/>
    <w:rsid w:val="004C3094"/>
    <w:rsid w:val="004C4684"/>
    <w:rsid w:val="004C5CFD"/>
    <w:rsid w:val="004C6036"/>
    <w:rsid w:val="004C6C41"/>
    <w:rsid w:val="004C733F"/>
    <w:rsid w:val="004C7A1C"/>
    <w:rsid w:val="004D150F"/>
    <w:rsid w:val="004D2983"/>
    <w:rsid w:val="004D3F45"/>
    <w:rsid w:val="004D4F99"/>
    <w:rsid w:val="004D5663"/>
    <w:rsid w:val="004D6614"/>
    <w:rsid w:val="004D6756"/>
    <w:rsid w:val="004E03F3"/>
    <w:rsid w:val="004E05AE"/>
    <w:rsid w:val="004E0863"/>
    <w:rsid w:val="004E1269"/>
    <w:rsid w:val="004E2071"/>
    <w:rsid w:val="004E28B8"/>
    <w:rsid w:val="004E3EF2"/>
    <w:rsid w:val="004E53E4"/>
    <w:rsid w:val="004E55FE"/>
    <w:rsid w:val="004E70BD"/>
    <w:rsid w:val="004E723C"/>
    <w:rsid w:val="004E7584"/>
    <w:rsid w:val="004E7C20"/>
    <w:rsid w:val="004E7E5C"/>
    <w:rsid w:val="004F2F60"/>
    <w:rsid w:val="004F44AF"/>
    <w:rsid w:val="004F5DEC"/>
    <w:rsid w:val="004F675A"/>
    <w:rsid w:val="004F6A7E"/>
    <w:rsid w:val="004F6B02"/>
    <w:rsid w:val="005004CD"/>
    <w:rsid w:val="00501595"/>
    <w:rsid w:val="00501DC6"/>
    <w:rsid w:val="00502118"/>
    <w:rsid w:val="0050389E"/>
    <w:rsid w:val="00504A0E"/>
    <w:rsid w:val="005052F4"/>
    <w:rsid w:val="00505E02"/>
    <w:rsid w:val="00506AD4"/>
    <w:rsid w:val="00507F00"/>
    <w:rsid w:val="00510E04"/>
    <w:rsid w:val="00511591"/>
    <w:rsid w:val="00511E19"/>
    <w:rsid w:val="005128EC"/>
    <w:rsid w:val="00513F6A"/>
    <w:rsid w:val="005140A6"/>
    <w:rsid w:val="0051529B"/>
    <w:rsid w:val="00515544"/>
    <w:rsid w:val="00515EA9"/>
    <w:rsid w:val="0051785F"/>
    <w:rsid w:val="00517AFD"/>
    <w:rsid w:val="00517C40"/>
    <w:rsid w:val="0052005E"/>
    <w:rsid w:val="00521D58"/>
    <w:rsid w:val="0052478B"/>
    <w:rsid w:val="0052699A"/>
    <w:rsid w:val="00526EAE"/>
    <w:rsid w:val="0052753E"/>
    <w:rsid w:val="00530DF6"/>
    <w:rsid w:val="00532062"/>
    <w:rsid w:val="005320E5"/>
    <w:rsid w:val="00533159"/>
    <w:rsid w:val="00533318"/>
    <w:rsid w:val="00533BCA"/>
    <w:rsid w:val="0053518F"/>
    <w:rsid w:val="005362BA"/>
    <w:rsid w:val="00536A91"/>
    <w:rsid w:val="005373A6"/>
    <w:rsid w:val="00537544"/>
    <w:rsid w:val="00540490"/>
    <w:rsid w:val="00540D63"/>
    <w:rsid w:val="00543BA9"/>
    <w:rsid w:val="00543D79"/>
    <w:rsid w:val="00545CCA"/>
    <w:rsid w:val="00550B7E"/>
    <w:rsid w:val="0055279B"/>
    <w:rsid w:val="00552824"/>
    <w:rsid w:val="005540A8"/>
    <w:rsid w:val="00555AE0"/>
    <w:rsid w:val="00555B41"/>
    <w:rsid w:val="00556AE9"/>
    <w:rsid w:val="005609F9"/>
    <w:rsid w:val="00562B80"/>
    <w:rsid w:val="00562E0C"/>
    <w:rsid w:val="005633B1"/>
    <w:rsid w:val="005633E9"/>
    <w:rsid w:val="00563EE4"/>
    <w:rsid w:val="00565C9C"/>
    <w:rsid w:val="00566D40"/>
    <w:rsid w:val="0057034E"/>
    <w:rsid w:val="0057258C"/>
    <w:rsid w:val="00572A72"/>
    <w:rsid w:val="00575A19"/>
    <w:rsid w:val="005768BC"/>
    <w:rsid w:val="005818D3"/>
    <w:rsid w:val="00585C23"/>
    <w:rsid w:val="005867CB"/>
    <w:rsid w:val="00590E65"/>
    <w:rsid w:val="00590F0E"/>
    <w:rsid w:val="00594165"/>
    <w:rsid w:val="00594F82"/>
    <w:rsid w:val="005959E3"/>
    <w:rsid w:val="00596099"/>
    <w:rsid w:val="00596964"/>
    <w:rsid w:val="00596F2A"/>
    <w:rsid w:val="0059757F"/>
    <w:rsid w:val="00597BFE"/>
    <w:rsid w:val="00597C58"/>
    <w:rsid w:val="00597DA9"/>
    <w:rsid w:val="005A0F78"/>
    <w:rsid w:val="005A1FA1"/>
    <w:rsid w:val="005A33D1"/>
    <w:rsid w:val="005A344D"/>
    <w:rsid w:val="005A3C3B"/>
    <w:rsid w:val="005A4245"/>
    <w:rsid w:val="005A4657"/>
    <w:rsid w:val="005A49FB"/>
    <w:rsid w:val="005A7D58"/>
    <w:rsid w:val="005B0138"/>
    <w:rsid w:val="005B075E"/>
    <w:rsid w:val="005B115E"/>
    <w:rsid w:val="005B17E5"/>
    <w:rsid w:val="005B200F"/>
    <w:rsid w:val="005B2ECC"/>
    <w:rsid w:val="005B2F46"/>
    <w:rsid w:val="005B5011"/>
    <w:rsid w:val="005B504A"/>
    <w:rsid w:val="005B68AC"/>
    <w:rsid w:val="005B6D88"/>
    <w:rsid w:val="005B7CFE"/>
    <w:rsid w:val="005C18DA"/>
    <w:rsid w:val="005C1B20"/>
    <w:rsid w:val="005C1F34"/>
    <w:rsid w:val="005C5637"/>
    <w:rsid w:val="005C5649"/>
    <w:rsid w:val="005C598D"/>
    <w:rsid w:val="005C5D0C"/>
    <w:rsid w:val="005C6259"/>
    <w:rsid w:val="005C6D94"/>
    <w:rsid w:val="005C70DB"/>
    <w:rsid w:val="005C7FDE"/>
    <w:rsid w:val="005D2E75"/>
    <w:rsid w:val="005D3D19"/>
    <w:rsid w:val="005D5A23"/>
    <w:rsid w:val="005D7D43"/>
    <w:rsid w:val="005E02B6"/>
    <w:rsid w:val="005E0354"/>
    <w:rsid w:val="005E0EAA"/>
    <w:rsid w:val="005E0EFA"/>
    <w:rsid w:val="005E466F"/>
    <w:rsid w:val="005E4B0F"/>
    <w:rsid w:val="005E50E9"/>
    <w:rsid w:val="005E5F7E"/>
    <w:rsid w:val="005E60B0"/>
    <w:rsid w:val="005E65F8"/>
    <w:rsid w:val="005E6CD1"/>
    <w:rsid w:val="005E727E"/>
    <w:rsid w:val="005E7545"/>
    <w:rsid w:val="005E78CA"/>
    <w:rsid w:val="005F006D"/>
    <w:rsid w:val="005F0AE9"/>
    <w:rsid w:val="005F1CE4"/>
    <w:rsid w:val="005F243E"/>
    <w:rsid w:val="005F318A"/>
    <w:rsid w:val="005F4EEA"/>
    <w:rsid w:val="005F64B0"/>
    <w:rsid w:val="005F6FE0"/>
    <w:rsid w:val="005F745C"/>
    <w:rsid w:val="00601051"/>
    <w:rsid w:val="006010D7"/>
    <w:rsid w:val="006020E1"/>
    <w:rsid w:val="00602408"/>
    <w:rsid w:val="00602F61"/>
    <w:rsid w:val="006034C9"/>
    <w:rsid w:val="0060389A"/>
    <w:rsid w:val="00603D67"/>
    <w:rsid w:val="006053F7"/>
    <w:rsid w:val="00605AF6"/>
    <w:rsid w:val="006060FC"/>
    <w:rsid w:val="00606A42"/>
    <w:rsid w:val="00606E23"/>
    <w:rsid w:val="00607602"/>
    <w:rsid w:val="006077C3"/>
    <w:rsid w:val="006105BD"/>
    <w:rsid w:val="00612BAE"/>
    <w:rsid w:val="00615109"/>
    <w:rsid w:val="006156C8"/>
    <w:rsid w:val="00616F2A"/>
    <w:rsid w:val="006173FF"/>
    <w:rsid w:val="0062103C"/>
    <w:rsid w:val="00621C93"/>
    <w:rsid w:val="006230AF"/>
    <w:rsid w:val="0062452E"/>
    <w:rsid w:val="00625B21"/>
    <w:rsid w:val="00625DE3"/>
    <w:rsid w:val="006268B8"/>
    <w:rsid w:val="00627FFE"/>
    <w:rsid w:val="00631E16"/>
    <w:rsid w:val="0063246B"/>
    <w:rsid w:val="00632B37"/>
    <w:rsid w:val="0063399F"/>
    <w:rsid w:val="00634BB5"/>
    <w:rsid w:val="006357CF"/>
    <w:rsid w:val="00635AD9"/>
    <w:rsid w:val="006400F4"/>
    <w:rsid w:val="006404FD"/>
    <w:rsid w:val="00640C24"/>
    <w:rsid w:val="00640C64"/>
    <w:rsid w:val="00641AB4"/>
    <w:rsid w:val="006423A0"/>
    <w:rsid w:val="00644644"/>
    <w:rsid w:val="006447FE"/>
    <w:rsid w:val="00645300"/>
    <w:rsid w:val="0064547F"/>
    <w:rsid w:val="00646D42"/>
    <w:rsid w:val="006479F8"/>
    <w:rsid w:val="00647EE5"/>
    <w:rsid w:val="006500CF"/>
    <w:rsid w:val="0065020C"/>
    <w:rsid w:val="00650925"/>
    <w:rsid w:val="0065309C"/>
    <w:rsid w:val="0065325C"/>
    <w:rsid w:val="00654811"/>
    <w:rsid w:val="00654849"/>
    <w:rsid w:val="006557BE"/>
    <w:rsid w:val="0065725C"/>
    <w:rsid w:val="00657E44"/>
    <w:rsid w:val="006618FD"/>
    <w:rsid w:val="006639C4"/>
    <w:rsid w:val="00663BFF"/>
    <w:rsid w:val="00664E9A"/>
    <w:rsid w:val="00665422"/>
    <w:rsid w:val="00671C3A"/>
    <w:rsid w:val="0067277D"/>
    <w:rsid w:val="0067306B"/>
    <w:rsid w:val="0067764D"/>
    <w:rsid w:val="006801B9"/>
    <w:rsid w:val="00681C88"/>
    <w:rsid w:val="00682606"/>
    <w:rsid w:val="006830FA"/>
    <w:rsid w:val="006834CF"/>
    <w:rsid w:val="00683821"/>
    <w:rsid w:val="00691A39"/>
    <w:rsid w:val="00692A4C"/>
    <w:rsid w:val="00693385"/>
    <w:rsid w:val="006939F7"/>
    <w:rsid w:val="006942D5"/>
    <w:rsid w:val="00694D14"/>
    <w:rsid w:val="00694EC8"/>
    <w:rsid w:val="006956B6"/>
    <w:rsid w:val="006964B9"/>
    <w:rsid w:val="00696603"/>
    <w:rsid w:val="00697C9C"/>
    <w:rsid w:val="006A209B"/>
    <w:rsid w:val="006A2D07"/>
    <w:rsid w:val="006A41AF"/>
    <w:rsid w:val="006A4BAA"/>
    <w:rsid w:val="006A5FA3"/>
    <w:rsid w:val="006A73AA"/>
    <w:rsid w:val="006B3DE1"/>
    <w:rsid w:val="006B4556"/>
    <w:rsid w:val="006B5538"/>
    <w:rsid w:val="006B5C6F"/>
    <w:rsid w:val="006B5E07"/>
    <w:rsid w:val="006C00F2"/>
    <w:rsid w:val="006C1028"/>
    <w:rsid w:val="006C14B3"/>
    <w:rsid w:val="006C2ECE"/>
    <w:rsid w:val="006C2F60"/>
    <w:rsid w:val="006C3E5F"/>
    <w:rsid w:val="006C42EF"/>
    <w:rsid w:val="006C4510"/>
    <w:rsid w:val="006C53C7"/>
    <w:rsid w:val="006C56CC"/>
    <w:rsid w:val="006C5DB2"/>
    <w:rsid w:val="006C7077"/>
    <w:rsid w:val="006D0003"/>
    <w:rsid w:val="006D165E"/>
    <w:rsid w:val="006D196C"/>
    <w:rsid w:val="006D211F"/>
    <w:rsid w:val="006D2A82"/>
    <w:rsid w:val="006D405B"/>
    <w:rsid w:val="006D4281"/>
    <w:rsid w:val="006D4912"/>
    <w:rsid w:val="006D4B2D"/>
    <w:rsid w:val="006D4D7D"/>
    <w:rsid w:val="006D63B9"/>
    <w:rsid w:val="006D7617"/>
    <w:rsid w:val="006E2758"/>
    <w:rsid w:val="006E462B"/>
    <w:rsid w:val="006E50C6"/>
    <w:rsid w:val="006F01B0"/>
    <w:rsid w:val="006F08BF"/>
    <w:rsid w:val="006F127A"/>
    <w:rsid w:val="006F239F"/>
    <w:rsid w:val="006F2863"/>
    <w:rsid w:val="006F2A9E"/>
    <w:rsid w:val="006F3755"/>
    <w:rsid w:val="006F5574"/>
    <w:rsid w:val="006F5DB2"/>
    <w:rsid w:val="006F5DC0"/>
    <w:rsid w:val="006F70D5"/>
    <w:rsid w:val="00700BF1"/>
    <w:rsid w:val="00700C2D"/>
    <w:rsid w:val="007032E5"/>
    <w:rsid w:val="00703D5C"/>
    <w:rsid w:val="00704CA8"/>
    <w:rsid w:val="00705A0D"/>
    <w:rsid w:val="007065D0"/>
    <w:rsid w:val="00710271"/>
    <w:rsid w:val="007122FD"/>
    <w:rsid w:val="007127C4"/>
    <w:rsid w:val="00713DFA"/>
    <w:rsid w:val="007151B5"/>
    <w:rsid w:val="0071628A"/>
    <w:rsid w:val="00717FE5"/>
    <w:rsid w:val="007200D9"/>
    <w:rsid w:val="00721726"/>
    <w:rsid w:val="00722740"/>
    <w:rsid w:val="00724287"/>
    <w:rsid w:val="007263CA"/>
    <w:rsid w:val="00726C6C"/>
    <w:rsid w:val="00726DFC"/>
    <w:rsid w:val="00734A03"/>
    <w:rsid w:val="007367F1"/>
    <w:rsid w:val="00737B46"/>
    <w:rsid w:val="00740145"/>
    <w:rsid w:val="0074062A"/>
    <w:rsid w:val="00741A0E"/>
    <w:rsid w:val="007420C8"/>
    <w:rsid w:val="007421A6"/>
    <w:rsid w:val="00742984"/>
    <w:rsid w:val="007441D5"/>
    <w:rsid w:val="007444D3"/>
    <w:rsid w:val="00744D04"/>
    <w:rsid w:val="00744E14"/>
    <w:rsid w:val="0074769C"/>
    <w:rsid w:val="007477BF"/>
    <w:rsid w:val="00751B7D"/>
    <w:rsid w:val="00751F29"/>
    <w:rsid w:val="0075294A"/>
    <w:rsid w:val="00752C7F"/>
    <w:rsid w:val="00752D9E"/>
    <w:rsid w:val="00754E3E"/>
    <w:rsid w:val="00757334"/>
    <w:rsid w:val="007577A0"/>
    <w:rsid w:val="00762855"/>
    <w:rsid w:val="00763695"/>
    <w:rsid w:val="00766311"/>
    <w:rsid w:val="007666DA"/>
    <w:rsid w:val="00767239"/>
    <w:rsid w:val="00767396"/>
    <w:rsid w:val="007703CF"/>
    <w:rsid w:val="00770874"/>
    <w:rsid w:val="0077169E"/>
    <w:rsid w:val="0077307C"/>
    <w:rsid w:val="00773F5B"/>
    <w:rsid w:val="0077414A"/>
    <w:rsid w:val="00774236"/>
    <w:rsid w:val="007742EF"/>
    <w:rsid w:val="00774380"/>
    <w:rsid w:val="00774702"/>
    <w:rsid w:val="00774B38"/>
    <w:rsid w:val="00775223"/>
    <w:rsid w:val="00775C32"/>
    <w:rsid w:val="00776E32"/>
    <w:rsid w:val="00776F5B"/>
    <w:rsid w:val="00781363"/>
    <w:rsid w:val="007819CC"/>
    <w:rsid w:val="00785112"/>
    <w:rsid w:val="0078548E"/>
    <w:rsid w:val="007863AC"/>
    <w:rsid w:val="007867E7"/>
    <w:rsid w:val="00787245"/>
    <w:rsid w:val="00790EDC"/>
    <w:rsid w:val="007910D2"/>
    <w:rsid w:val="00792262"/>
    <w:rsid w:val="007926FE"/>
    <w:rsid w:val="00797EFE"/>
    <w:rsid w:val="007A1243"/>
    <w:rsid w:val="007A214B"/>
    <w:rsid w:val="007A4BAF"/>
    <w:rsid w:val="007A62A5"/>
    <w:rsid w:val="007A643B"/>
    <w:rsid w:val="007A7727"/>
    <w:rsid w:val="007A7975"/>
    <w:rsid w:val="007B03B1"/>
    <w:rsid w:val="007B0D43"/>
    <w:rsid w:val="007B0D88"/>
    <w:rsid w:val="007B15B1"/>
    <w:rsid w:val="007B1BFA"/>
    <w:rsid w:val="007B2CB1"/>
    <w:rsid w:val="007B338E"/>
    <w:rsid w:val="007B35D5"/>
    <w:rsid w:val="007B622D"/>
    <w:rsid w:val="007B78CF"/>
    <w:rsid w:val="007B7D33"/>
    <w:rsid w:val="007C08B7"/>
    <w:rsid w:val="007C134F"/>
    <w:rsid w:val="007C3077"/>
    <w:rsid w:val="007C4EEA"/>
    <w:rsid w:val="007C7CE6"/>
    <w:rsid w:val="007D04F3"/>
    <w:rsid w:val="007D197F"/>
    <w:rsid w:val="007D2043"/>
    <w:rsid w:val="007D25F0"/>
    <w:rsid w:val="007D2EB2"/>
    <w:rsid w:val="007D32C5"/>
    <w:rsid w:val="007D6D5A"/>
    <w:rsid w:val="007D6DE2"/>
    <w:rsid w:val="007E090D"/>
    <w:rsid w:val="007E4CA5"/>
    <w:rsid w:val="007E6F8B"/>
    <w:rsid w:val="007F071B"/>
    <w:rsid w:val="007F0BBB"/>
    <w:rsid w:val="007F2EDB"/>
    <w:rsid w:val="007F4EEE"/>
    <w:rsid w:val="007F5CA3"/>
    <w:rsid w:val="007F6CD2"/>
    <w:rsid w:val="007F6EA1"/>
    <w:rsid w:val="00800949"/>
    <w:rsid w:val="00801964"/>
    <w:rsid w:val="00801CFE"/>
    <w:rsid w:val="00802AAC"/>
    <w:rsid w:val="00802ADE"/>
    <w:rsid w:val="00802C77"/>
    <w:rsid w:val="008039C0"/>
    <w:rsid w:val="00805100"/>
    <w:rsid w:val="00806AE8"/>
    <w:rsid w:val="0081144E"/>
    <w:rsid w:val="00811A5E"/>
    <w:rsid w:val="00812965"/>
    <w:rsid w:val="00812E4C"/>
    <w:rsid w:val="00812FCE"/>
    <w:rsid w:val="00813962"/>
    <w:rsid w:val="00814614"/>
    <w:rsid w:val="00814986"/>
    <w:rsid w:val="00816255"/>
    <w:rsid w:val="00816292"/>
    <w:rsid w:val="00817DE5"/>
    <w:rsid w:val="00823BE0"/>
    <w:rsid w:val="00824E1D"/>
    <w:rsid w:val="008252A5"/>
    <w:rsid w:val="008254D0"/>
    <w:rsid w:val="00826902"/>
    <w:rsid w:val="00826C49"/>
    <w:rsid w:val="00830480"/>
    <w:rsid w:val="008312CA"/>
    <w:rsid w:val="00832552"/>
    <w:rsid w:val="0083301B"/>
    <w:rsid w:val="0083437C"/>
    <w:rsid w:val="00834E61"/>
    <w:rsid w:val="00837EB1"/>
    <w:rsid w:val="00841218"/>
    <w:rsid w:val="00842DE6"/>
    <w:rsid w:val="008442C0"/>
    <w:rsid w:val="0084670E"/>
    <w:rsid w:val="00850905"/>
    <w:rsid w:val="00850BBA"/>
    <w:rsid w:val="0085212F"/>
    <w:rsid w:val="00854705"/>
    <w:rsid w:val="008564A2"/>
    <w:rsid w:val="00856B95"/>
    <w:rsid w:val="008602ED"/>
    <w:rsid w:val="00860BF0"/>
    <w:rsid w:val="00861CC5"/>
    <w:rsid w:val="00862927"/>
    <w:rsid w:val="00862EB6"/>
    <w:rsid w:val="008647C9"/>
    <w:rsid w:val="008654EE"/>
    <w:rsid w:val="008660A1"/>
    <w:rsid w:val="008674F9"/>
    <w:rsid w:val="0086771C"/>
    <w:rsid w:val="0087058B"/>
    <w:rsid w:val="00870726"/>
    <w:rsid w:val="00873D87"/>
    <w:rsid w:val="00874FEA"/>
    <w:rsid w:val="00875A26"/>
    <w:rsid w:val="00875FAA"/>
    <w:rsid w:val="008760FE"/>
    <w:rsid w:val="008763F3"/>
    <w:rsid w:val="008768CF"/>
    <w:rsid w:val="00876EA4"/>
    <w:rsid w:val="00876FBE"/>
    <w:rsid w:val="00877CD7"/>
    <w:rsid w:val="00880F4A"/>
    <w:rsid w:val="008818FC"/>
    <w:rsid w:val="0088268D"/>
    <w:rsid w:val="00882CEA"/>
    <w:rsid w:val="008830B3"/>
    <w:rsid w:val="008831C0"/>
    <w:rsid w:val="008844EE"/>
    <w:rsid w:val="00884E80"/>
    <w:rsid w:val="00885B90"/>
    <w:rsid w:val="008872B3"/>
    <w:rsid w:val="00891457"/>
    <w:rsid w:val="0089460E"/>
    <w:rsid w:val="00894AC4"/>
    <w:rsid w:val="008A080D"/>
    <w:rsid w:val="008A0E4B"/>
    <w:rsid w:val="008A0E68"/>
    <w:rsid w:val="008A24D0"/>
    <w:rsid w:val="008A24E8"/>
    <w:rsid w:val="008A2856"/>
    <w:rsid w:val="008A2A31"/>
    <w:rsid w:val="008A3044"/>
    <w:rsid w:val="008A3146"/>
    <w:rsid w:val="008A41B7"/>
    <w:rsid w:val="008A425A"/>
    <w:rsid w:val="008A4604"/>
    <w:rsid w:val="008A52B8"/>
    <w:rsid w:val="008A59CD"/>
    <w:rsid w:val="008A6656"/>
    <w:rsid w:val="008A6EDC"/>
    <w:rsid w:val="008A6F5F"/>
    <w:rsid w:val="008B0A3C"/>
    <w:rsid w:val="008B1297"/>
    <w:rsid w:val="008B18E0"/>
    <w:rsid w:val="008B199E"/>
    <w:rsid w:val="008B3436"/>
    <w:rsid w:val="008B3D53"/>
    <w:rsid w:val="008B4151"/>
    <w:rsid w:val="008C2245"/>
    <w:rsid w:val="008C2D02"/>
    <w:rsid w:val="008C37BF"/>
    <w:rsid w:val="008C3F00"/>
    <w:rsid w:val="008D0BE1"/>
    <w:rsid w:val="008D259D"/>
    <w:rsid w:val="008D3D36"/>
    <w:rsid w:val="008D3EC4"/>
    <w:rsid w:val="008D4084"/>
    <w:rsid w:val="008D41C5"/>
    <w:rsid w:val="008D613E"/>
    <w:rsid w:val="008D7825"/>
    <w:rsid w:val="008E0344"/>
    <w:rsid w:val="008E3E67"/>
    <w:rsid w:val="008E5733"/>
    <w:rsid w:val="008E5BDC"/>
    <w:rsid w:val="008E5EF8"/>
    <w:rsid w:val="008F0380"/>
    <w:rsid w:val="008F1B81"/>
    <w:rsid w:val="008F2105"/>
    <w:rsid w:val="008F2C36"/>
    <w:rsid w:val="008F3FBE"/>
    <w:rsid w:val="008F4D57"/>
    <w:rsid w:val="008F6133"/>
    <w:rsid w:val="008F6E60"/>
    <w:rsid w:val="00900B34"/>
    <w:rsid w:val="00900D30"/>
    <w:rsid w:val="00900EA0"/>
    <w:rsid w:val="00901AEB"/>
    <w:rsid w:val="0090223B"/>
    <w:rsid w:val="00902C61"/>
    <w:rsid w:val="0090482A"/>
    <w:rsid w:val="00904AEF"/>
    <w:rsid w:val="009057DC"/>
    <w:rsid w:val="00907F91"/>
    <w:rsid w:val="0091092D"/>
    <w:rsid w:val="009138BE"/>
    <w:rsid w:val="00914137"/>
    <w:rsid w:val="00916B98"/>
    <w:rsid w:val="009174AB"/>
    <w:rsid w:val="00917A7A"/>
    <w:rsid w:val="00917CE5"/>
    <w:rsid w:val="00920CEE"/>
    <w:rsid w:val="00921EEF"/>
    <w:rsid w:val="00923C52"/>
    <w:rsid w:val="00925D00"/>
    <w:rsid w:val="009262AD"/>
    <w:rsid w:val="009265D3"/>
    <w:rsid w:val="00926EC0"/>
    <w:rsid w:val="00930ECB"/>
    <w:rsid w:val="00932ED1"/>
    <w:rsid w:val="009330DF"/>
    <w:rsid w:val="00933DEE"/>
    <w:rsid w:val="0093575B"/>
    <w:rsid w:val="00935BA3"/>
    <w:rsid w:val="00936C2C"/>
    <w:rsid w:val="00940255"/>
    <w:rsid w:val="009408E3"/>
    <w:rsid w:val="00941C44"/>
    <w:rsid w:val="00942100"/>
    <w:rsid w:val="009429FC"/>
    <w:rsid w:val="00943C7A"/>
    <w:rsid w:val="009440D7"/>
    <w:rsid w:val="009442BF"/>
    <w:rsid w:val="009443A0"/>
    <w:rsid w:val="00944D2A"/>
    <w:rsid w:val="0094570B"/>
    <w:rsid w:val="00947179"/>
    <w:rsid w:val="00947B49"/>
    <w:rsid w:val="00947D34"/>
    <w:rsid w:val="00947E97"/>
    <w:rsid w:val="00950BD8"/>
    <w:rsid w:val="00950C5C"/>
    <w:rsid w:val="00951CCF"/>
    <w:rsid w:val="0095611D"/>
    <w:rsid w:val="009566EA"/>
    <w:rsid w:val="00957BEE"/>
    <w:rsid w:val="009612CE"/>
    <w:rsid w:val="0096148F"/>
    <w:rsid w:val="009618A6"/>
    <w:rsid w:val="00964341"/>
    <w:rsid w:val="009656DF"/>
    <w:rsid w:val="009677ED"/>
    <w:rsid w:val="00967C18"/>
    <w:rsid w:val="00967E9F"/>
    <w:rsid w:val="00967FD7"/>
    <w:rsid w:val="00972045"/>
    <w:rsid w:val="00972D29"/>
    <w:rsid w:val="00973691"/>
    <w:rsid w:val="00974DFA"/>
    <w:rsid w:val="00976E21"/>
    <w:rsid w:val="00976ED7"/>
    <w:rsid w:val="00977221"/>
    <w:rsid w:val="009772BB"/>
    <w:rsid w:val="00977461"/>
    <w:rsid w:val="0098056F"/>
    <w:rsid w:val="00980823"/>
    <w:rsid w:val="00991E9D"/>
    <w:rsid w:val="00993E2E"/>
    <w:rsid w:val="00994BE2"/>
    <w:rsid w:val="00996F13"/>
    <w:rsid w:val="00997514"/>
    <w:rsid w:val="009A29A2"/>
    <w:rsid w:val="009A2B10"/>
    <w:rsid w:val="009A3768"/>
    <w:rsid w:val="009A3D4B"/>
    <w:rsid w:val="009B1720"/>
    <w:rsid w:val="009B1C99"/>
    <w:rsid w:val="009B1E1E"/>
    <w:rsid w:val="009B341F"/>
    <w:rsid w:val="009B345A"/>
    <w:rsid w:val="009B3EFA"/>
    <w:rsid w:val="009B4B0B"/>
    <w:rsid w:val="009B69CA"/>
    <w:rsid w:val="009B6E9F"/>
    <w:rsid w:val="009B7F6D"/>
    <w:rsid w:val="009C0127"/>
    <w:rsid w:val="009C073E"/>
    <w:rsid w:val="009C3FDE"/>
    <w:rsid w:val="009C4341"/>
    <w:rsid w:val="009C5389"/>
    <w:rsid w:val="009C551E"/>
    <w:rsid w:val="009C56E8"/>
    <w:rsid w:val="009C6C13"/>
    <w:rsid w:val="009D1A11"/>
    <w:rsid w:val="009D24F7"/>
    <w:rsid w:val="009D25A5"/>
    <w:rsid w:val="009D27E8"/>
    <w:rsid w:val="009D3E22"/>
    <w:rsid w:val="009D6797"/>
    <w:rsid w:val="009D76E4"/>
    <w:rsid w:val="009E02E8"/>
    <w:rsid w:val="009E08C6"/>
    <w:rsid w:val="009E1270"/>
    <w:rsid w:val="009E1BC7"/>
    <w:rsid w:val="009E22E3"/>
    <w:rsid w:val="009E3184"/>
    <w:rsid w:val="009E3F50"/>
    <w:rsid w:val="009E432C"/>
    <w:rsid w:val="009E4608"/>
    <w:rsid w:val="009E4872"/>
    <w:rsid w:val="009E5844"/>
    <w:rsid w:val="009E61C2"/>
    <w:rsid w:val="009E72DC"/>
    <w:rsid w:val="009E76B6"/>
    <w:rsid w:val="009F20B8"/>
    <w:rsid w:val="009F3160"/>
    <w:rsid w:val="009F4ED2"/>
    <w:rsid w:val="009F5A67"/>
    <w:rsid w:val="009F67E5"/>
    <w:rsid w:val="009F6893"/>
    <w:rsid w:val="00A0077A"/>
    <w:rsid w:val="00A02E8A"/>
    <w:rsid w:val="00A02F57"/>
    <w:rsid w:val="00A03072"/>
    <w:rsid w:val="00A033E3"/>
    <w:rsid w:val="00A06762"/>
    <w:rsid w:val="00A06E6E"/>
    <w:rsid w:val="00A06EFC"/>
    <w:rsid w:val="00A07A2A"/>
    <w:rsid w:val="00A10ACE"/>
    <w:rsid w:val="00A13D6C"/>
    <w:rsid w:val="00A157E9"/>
    <w:rsid w:val="00A15EB0"/>
    <w:rsid w:val="00A1649A"/>
    <w:rsid w:val="00A16987"/>
    <w:rsid w:val="00A1734E"/>
    <w:rsid w:val="00A218EE"/>
    <w:rsid w:val="00A21B28"/>
    <w:rsid w:val="00A21FD6"/>
    <w:rsid w:val="00A2489A"/>
    <w:rsid w:val="00A24B8C"/>
    <w:rsid w:val="00A26611"/>
    <w:rsid w:val="00A27C8C"/>
    <w:rsid w:val="00A30525"/>
    <w:rsid w:val="00A30867"/>
    <w:rsid w:val="00A30F1B"/>
    <w:rsid w:val="00A31A74"/>
    <w:rsid w:val="00A32295"/>
    <w:rsid w:val="00A32C4A"/>
    <w:rsid w:val="00A32E19"/>
    <w:rsid w:val="00A34E47"/>
    <w:rsid w:val="00A37D42"/>
    <w:rsid w:val="00A403A7"/>
    <w:rsid w:val="00A40453"/>
    <w:rsid w:val="00A406FD"/>
    <w:rsid w:val="00A40AAF"/>
    <w:rsid w:val="00A41768"/>
    <w:rsid w:val="00A41789"/>
    <w:rsid w:val="00A4476E"/>
    <w:rsid w:val="00A46902"/>
    <w:rsid w:val="00A46934"/>
    <w:rsid w:val="00A46937"/>
    <w:rsid w:val="00A46EB3"/>
    <w:rsid w:val="00A47358"/>
    <w:rsid w:val="00A50631"/>
    <w:rsid w:val="00A51070"/>
    <w:rsid w:val="00A51A9B"/>
    <w:rsid w:val="00A5224F"/>
    <w:rsid w:val="00A550E0"/>
    <w:rsid w:val="00A56C6C"/>
    <w:rsid w:val="00A56CB7"/>
    <w:rsid w:val="00A56DB4"/>
    <w:rsid w:val="00A579F9"/>
    <w:rsid w:val="00A57CA9"/>
    <w:rsid w:val="00A6040F"/>
    <w:rsid w:val="00A60C42"/>
    <w:rsid w:val="00A61045"/>
    <w:rsid w:val="00A612D4"/>
    <w:rsid w:val="00A61856"/>
    <w:rsid w:val="00A61C81"/>
    <w:rsid w:val="00A620A2"/>
    <w:rsid w:val="00A62163"/>
    <w:rsid w:val="00A63FED"/>
    <w:rsid w:val="00A64173"/>
    <w:rsid w:val="00A6796B"/>
    <w:rsid w:val="00A71177"/>
    <w:rsid w:val="00A716D1"/>
    <w:rsid w:val="00A71984"/>
    <w:rsid w:val="00A7606A"/>
    <w:rsid w:val="00A8049B"/>
    <w:rsid w:val="00A80589"/>
    <w:rsid w:val="00A80AB6"/>
    <w:rsid w:val="00A81933"/>
    <w:rsid w:val="00A82388"/>
    <w:rsid w:val="00A82F36"/>
    <w:rsid w:val="00A84457"/>
    <w:rsid w:val="00A86C53"/>
    <w:rsid w:val="00A86DFE"/>
    <w:rsid w:val="00A87D8D"/>
    <w:rsid w:val="00A9092F"/>
    <w:rsid w:val="00A91B4B"/>
    <w:rsid w:val="00A92514"/>
    <w:rsid w:val="00A96624"/>
    <w:rsid w:val="00AA0303"/>
    <w:rsid w:val="00AA0A48"/>
    <w:rsid w:val="00AA297F"/>
    <w:rsid w:val="00AA29E4"/>
    <w:rsid w:val="00AA3284"/>
    <w:rsid w:val="00AA3353"/>
    <w:rsid w:val="00AA39DC"/>
    <w:rsid w:val="00AA5409"/>
    <w:rsid w:val="00AA54B1"/>
    <w:rsid w:val="00AA672C"/>
    <w:rsid w:val="00AB0E62"/>
    <w:rsid w:val="00AB28EE"/>
    <w:rsid w:val="00AB3027"/>
    <w:rsid w:val="00AB3593"/>
    <w:rsid w:val="00AB467C"/>
    <w:rsid w:val="00AB6068"/>
    <w:rsid w:val="00AB7C51"/>
    <w:rsid w:val="00AC0E8B"/>
    <w:rsid w:val="00AC1A66"/>
    <w:rsid w:val="00AC22CA"/>
    <w:rsid w:val="00AC38E0"/>
    <w:rsid w:val="00AC435D"/>
    <w:rsid w:val="00AC43A2"/>
    <w:rsid w:val="00AC5B21"/>
    <w:rsid w:val="00AC66A6"/>
    <w:rsid w:val="00AD13C4"/>
    <w:rsid w:val="00AD1810"/>
    <w:rsid w:val="00AD2420"/>
    <w:rsid w:val="00AD3541"/>
    <w:rsid w:val="00AD3F73"/>
    <w:rsid w:val="00AD6609"/>
    <w:rsid w:val="00AD7076"/>
    <w:rsid w:val="00AD7225"/>
    <w:rsid w:val="00AE2461"/>
    <w:rsid w:val="00AE2DAB"/>
    <w:rsid w:val="00AE566A"/>
    <w:rsid w:val="00AF20B1"/>
    <w:rsid w:val="00AF221E"/>
    <w:rsid w:val="00AF2971"/>
    <w:rsid w:val="00AF2BA5"/>
    <w:rsid w:val="00AF3CC1"/>
    <w:rsid w:val="00AF467B"/>
    <w:rsid w:val="00AF4832"/>
    <w:rsid w:val="00AF5714"/>
    <w:rsid w:val="00AF5743"/>
    <w:rsid w:val="00AF6396"/>
    <w:rsid w:val="00B017D7"/>
    <w:rsid w:val="00B01C6A"/>
    <w:rsid w:val="00B01D0E"/>
    <w:rsid w:val="00B037FC"/>
    <w:rsid w:val="00B03DC5"/>
    <w:rsid w:val="00B0559B"/>
    <w:rsid w:val="00B059B6"/>
    <w:rsid w:val="00B05DCC"/>
    <w:rsid w:val="00B067E2"/>
    <w:rsid w:val="00B06C79"/>
    <w:rsid w:val="00B06FF5"/>
    <w:rsid w:val="00B0733A"/>
    <w:rsid w:val="00B0758B"/>
    <w:rsid w:val="00B1040A"/>
    <w:rsid w:val="00B11C22"/>
    <w:rsid w:val="00B12271"/>
    <w:rsid w:val="00B13A9A"/>
    <w:rsid w:val="00B14487"/>
    <w:rsid w:val="00B15093"/>
    <w:rsid w:val="00B15ADD"/>
    <w:rsid w:val="00B16504"/>
    <w:rsid w:val="00B16B25"/>
    <w:rsid w:val="00B17022"/>
    <w:rsid w:val="00B20D76"/>
    <w:rsid w:val="00B20DF2"/>
    <w:rsid w:val="00B20ECF"/>
    <w:rsid w:val="00B2133F"/>
    <w:rsid w:val="00B21A68"/>
    <w:rsid w:val="00B22931"/>
    <w:rsid w:val="00B2297B"/>
    <w:rsid w:val="00B2298D"/>
    <w:rsid w:val="00B22C22"/>
    <w:rsid w:val="00B23220"/>
    <w:rsid w:val="00B30A57"/>
    <w:rsid w:val="00B32347"/>
    <w:rsid w:val="00B3379C"/>
    <w:rsid w:val="00B341F4"/>
    <w:rsid w:val="00B34725"/>
    <w:rsid w:val="00B34FAB"/>
    <w:rsid w:val="00B35E67"/>
    <w:rsid w:val="00B36298"/>
    <w:rsid w:val="00B408B7"/>
    <w:rsid w:val="00B41099"/>
    <w:rsid w:val="00B41599"/>
    <w:rsid w:val="00B448D4"/>
    <w:rsid w:val="00B44F45"/>
    <w:rsid w:val="00B45699"/>
    <w:rsid w:val="00B46233"/>
    <w:rsid w:val="00B462A9"/>
    <w:rsid w:val="00B47B33"/>
    <w:rsid w:val="00B5101B"/>
    <w:rsid w:val="00B5215D"/>
    <w:rsid w:val="00B55A02"/>
    <w:rsid w:val="00B57285"/>
    <w:rsid w:val="00B60095"/>
    <w:rsid w:val="00B60E41"/>
    <w:rsid w:val="00B629E3"/>
    <w:rsid w:val="00B6649C"/>
    <w:rsid w:val="00B67C37"/>
    <w:rsid w:val="00B700E5"/>
    <w:rsid w:val="00B710AC"/>
    <w:rsid w:val="00B71B67"/>
    <w:rsid w:val="00B732E2"/>
    <w:rsid w:val="00B755F9"/>
    <w:rsid w:val="00B76F97"/>
    <w:rsid w:val="00B778D4"/>
    <w:rsid w:val="00B77E25"/>
    <w:rsid w:val="00B82DCE"/>
    <w:rsid w:val="00B840AB"/>
    <w:rsid w:val="00B85143"/>
    <w:rsid w:val="00B85998"/>
    <w:rsid w:val="00B87381"/>
    <w:rsid w:val="00B9143A"/>
    <w:rsid w:val="00B92F1B"/>
    <w:rsid w:val="00B93C5B"/>
    <w:rsid w:val="00B95B7B"/>
    <w:rsid w:val="00B96779"/>
    <w:rsid w:val="00BA1942"/>
    <w:rsid w:val="00BA359E"/>
    <w:rsid w:val="00BA4658"/>
    <w:rsid w:val="00BB372B"/>
    <w:rsid w:val="00BB3FF0"/>
    <w:rsid w:val="00BB7ADA"/>
    <w:rsid w:val="00BC1EEA"/>
    <w:rsid w:val="00BC42DE"/>
    <w:rsid w:val="00BC5A86"/>
    <w:rsid w:val="00BC6093"/>
    <w:rsid w:val="00BD103B"/>
    <w:rsid w:val="00BD16A3"/>
    <w:rsid w:val="00BD1882"/>
    <w:rsid w:val="00BD3A85"/>
    <w:rsid w:val="00BD40B0"/>
    <w:rsid w:val="00BD4A12"/>
    <w:rsid w:val="00BD6FF8"/>
    <w:rsid w:val="00BD74BF"/>
    <w:rsid w:val="00BD74C7"/>
    <w:rsid w:val="00BE10A8"/>
    <w:rsid w:val="00BE2EAE"/>
    <w:rsid w:val="00BE4255"/>
    <w:rsid w:val="00BE49ED"/>
    <w:rsid w:val="00BE6659"/>
    <w:rsid w:val="00BE6C39"/>
    <w:rsid w:val="00BF0DB1"/>
    <w:rsid w:val="00BF0FD9"/>
    <w:rsid w:val="00BF2DE3"/>
    <w:rsid w:val="00BF3B1F"/>
    <w:rsid w:val="00BF4007"/>
    <w:rsid w:val="00C00552"/>
    <w:rsid w:val="00C01DBE"/>
    <w:rsid w:val="00C03B08"/>
    <w:rsid w:val="00C04610"/>
    <w:rsid w:val="00C05566"/>
    <w:rsid w:val="00C055EB"/>
    <w:rsid w:val="00C056D1"/>
    <w:rsid w:val="00C07A82"/>
    <w:rsid w:val="00C07DCE"/>
    <w:rsid w:val="00C113BD"/>
    <w:rsid w:val="00C11C62"/>
    <w:rsid w:val="00C12B77"/>
    <w:rsid w:val="00C13361"/>
    <w:rsid w:val="00C1339D"/>
    <w:rsid w:val="00C16018"/>
    <w:rsid w:val="00C161FC"/>
    <w:rsid w:val="00C23791"/>
    <w:rsid w:val="00C26D9B"/>
    <w:rsid w:val="00C31560"/>
    <w:rsid w:val="00C3170A"/>
    <w:rsid w:val="00C325DD"/>
    <w:rsid w:val="00C32D07"/>
    <w:rsid w:val="00C3311F"/>
    <w:rsid w:val="00C34524"/>
    <w:rsid w:val="00C3586B"/>
    <w:rsid w:val="00C37EA0"/>
    <w:rsid w:val="00C41016"/>
    <w:rsid w:val="00C43E06"/>
    <w:rsid w:val="00C45696"/>
    <w:rsid w:val="00C46460"/>
    <w:rsid w:val="00C474A1"/>
    <w:rsid w:val="00C476FD"/>
    <w:rsid w:val="00C47A97"/>
    <w:rsid w:val="00C50072"/>
    <w:rsid w:val="00C51020"/>
    <w:rsid w:val="00C51A0E"/>
    <w:rsid w:val="00C5252D"/>
    <w:rsid w:val="00C5270F"/>
    <w:rsid w:val="00C5530B"/>
    <w:rsid w:val="00C56128"/>
    <w:rsid w:val="00C5676D"/>
    <w:rsid w:val="00C60C9F"/>
    <w:rsid w:val="00C61899"/>
    <w:rsid w:val="00C619B8"/>
    <w:rsid w:val="00C64105"/>
    <w:rsid w:val="00C650DF"/>
    <w:rsid w:val="00C653DF"/>
    <w:rsid w:val="00C65CF0"/>
    <w:rsid w:val="00C66264"/>
    <w:rsid w:val="00C70565"/>
    <w:rsid w:val="00C728C9"/>
    <w:rsid w:val="00C72FB5"/>
    <w:rsid w:val="00C74637"/>
    <w:rsid w:val="00C758FB"/>
    <w:rsid w:val="00C76CC2"/>
    <w:rsid w:val="00C7780A"/>
    <w:rsid w:val="00C81764"/>
    <w:rsid w:val="00C82017"/>
    <w:rsid w:val="00C83119"/>
    <w:rsid w:val="00C839F6"/>
    <w:rsid w:val="00C842DA"/>
    <w:rsid w:val="00C8447F"/>
    <w:rsid w:val="00C847AC"/>
    <w:rsid w:val="00C847F5"/>
    <w:rsid w:val="00C85FF5"/>
    <w:rsid w:val="00C866BE"/>
    <w:rsid w:val="00C866C2"/>
    <w:rsid w:val="00C9023A"/>
    <w:rsid w:val="00C91CF2"/>
    <w:rsid w:val="00C9451C"/>
    <w:rsid w:val="00C964BB"/>
    <w:rsid w:val="00C96582"/>
    <w:rsid w:val="00C97589"/>
    <w:rsid w:val="00CA032D"/>
    <w:rsid w:val="00CA2336"/>
    <w:rsid w:val="00CA3B1D"/>
    <w:rsid w:val="00CA4779"/>
    <w:rsid w:val="00CA59B1"/>
    <w:rsid w:val="00CA697E"/>
    <w:rsid w:val="00CA69E5"/>
    <w:rsid w:val="00CA6BAC"/>
    <w:rsid w:val="00CB28FA"/>
    <w:rsid w:val="00CB3233"/>
    <w:rsid w:val="00CB3D4B"/>
    <w:rsid w:val="00CB3F0D"/>
    <w:rsid w:val="00CB474A"/>
    <w:rsid w:val="00CB475B"/>
    <w:rsid w:val="00CB552D"/>
    <w:rsid w:val="00CB64D7"/>
    <w:rsid w:val="00CB7488"/>
    <w:rsid w:val="00CC0A45"/>
    <w:rsid w:val="00CC1FE4"/>
    <w:rsid w:val="00CC2403"/>
    <w:rsid w:val="00CC35D0"/>
    <w:rsid w:val="00CC5038"/>
    <w:rsid w:val="00CC7BDB"/>
    <w:rsid w:val="00CD04DB"/>
    <w:rsid w:val="00CD0629"/>
    <w:rsid w:val="00CD1937"/>
    <w:rsid w:val="00CD2746"/>
    <w:rsid w:val="00CD3323"/>
    <w:rsid w:val="00CD3CE8"/>
    <w:rsid w:val="00CD3E34"/>
    <w:rsid w:val="00CD4E44"/>
    <w:rsid w:val="00CD531B"/>
    <w:rsid w:val="00CD640E"/>
    <w:rsid w:val="00CE0186"/>
    <w:rsid w:val="00CE03D8"/>
    <w:rsid w:val="00CE1AEC"/>
    <w:rsid w:val="00CE1BD2"/>
    <w:rsid w:val="00CE2D4D"/>
    <w:rsid w:val="00CE37EE"/>
    <w:rsid w:val="00CE3F5F"/>
    <w:rsid w:val="00CE5419"/>
    <w:rsid w:val="00CE5A3A"/>
    <w:rsid w:val="00CE5C69"/>
    <w:rsid w:val="00CE5F9A"/>
    <w:rsid w:val="00CE6538"/>
    <w:rsid w:val="00CE73AB"/>
    <w:rsid w:val="00CE7F3A"/>
    <w:rsid w:val="00CF04A5"/>
    <w:rsid w:val="00CF1A8A"/>
    <w:rsid w:val="00CF37CB"/>
    <w:rsid w:val="00CF4B93"/>
    <w:rsid w:val="00CF711D"/>
    <w:rsid w:val="00CF7DD1"/>
    <w:rsid w:val="00D001E9"/>
    <w:rsid w:val="00D03AB1"/>
    <w:rsid w:val="00D047E3"/>
    <w:rsid w:val="00D04A5D"/>
    <w:rsid w:val="00D069F3"/>
    <w:rsid w:val="00D10081"/>
    <w:rsid w:val="00D12CB9"/>
    <w:rsid w:val="00D1364F"/>
    <w:rsid w:val="00D13B1F"/>
    <w:rsid w:val="00D15A49"/>
    <w:rsid w:val="00D15D86"/>
    <w:rsid w:val="00D16770"/>
    <w:rsid w:val="00D21619"/>
    <w:rsid w:val="00D236DA"/>
    <w:rsid w:val="00D2677C"/>
    <w:rsid w:val="00D2734C"/>
    <w:rsid w:val="00D309B5"/>
    <w:rsid w:val="00D30E41"/>
    <w:rsid w:val="00D31183"/>
    <w:rsid w:val="00D31537"/>
    <w:rsid w:val="00D32E1C"/>
    <w:rsid w:val="00D32F16"/>
    <w:rsid w:val="00D32FF6"/>
    <w:rsid w:val="00D347B8"/>
    <w:rsid w:val="00D34BBC"/>
    <w:rsid w:val="00D40B5F"/>
    <w:rsid w:val="00D40CE8"/>
    <w:rsid w:val="00D42329"/>
    <w:rsid w:val="00D426C9"/>
    <w:rsid w:val="00D42727"/>
    <w:rsid w:val="00D437C2"/>
    <w:rsid w:val="00D43BD8"/>
    <w:rsid w:val="00D47E5A"/>
    <w:rsid w:val="00D508C5"/>
    <w:rsid w:val="00D509B3"/>
    <w:rsid w:val="00D51800"/>
    <w:rsid w:val="00D51A57"/>
    <w:rsid w:val="00D52454"/>
    <w:rsid w:val="00D55E2C"/>
    <w:rsid w:val="00D56CA1"/>
    <w:rsid w:val="00D56E54"/>
    <w:rsid w:val="00D579FB"/>
    <w:rsid w:val="00D65A5E"/>
    <w:rsid w:val="00D66321"/>
    <w:rsid w:val="00D667E6"/>
    <w:rsid w:val="00D679D0"/>
    <w:rsid w:val="00D67A0C"/>
    <w:rsid w:val="00D67F7B"/>
    <w:rsid w:val="00D718F2"/>
    <w:rsid w:val="00D7264B"/>
    <w:rsid w:val="00D72689"/>
    <w:rsid w:val="00D72690"/>
    <w:rsid w:val="00D7531D"/>
    <w:rsid w:val="00D75573"/>
    <w:rsid w:val="00D75AF6"/>
    <w:rsid w:val="00D76B9E"/>
    <w:rsid w:val="00D80784"/>
    <w:rsid w:val="00D81D4E"/>
    <w:rsid w:val="00D82501"/>
    <w:rsid w:val="00D83DD2"/>
    <w:rsid w:val="00D841F7"/>
    <w:rsid w:val="00D8429F"/>
    <w:rsid w:val="00D845FE"/>
    <w:rsid w:val="00D8565C"/>
    <w:rsid w:val="00D85F67"/>
    <w:rsid w:val="00D86469"/>
    <w:rsid w:val="00D868E6"/>
    <w:rsid w:val="00D8765B"/>
    <w:rsid w:val="00D91617"/>
    <w:rsid w:val="00D92230"/>
    <w:rsid w:val="00D93041"/>
    <w:rsid w:val="00D96235"/>
    <w:rsid w:val="00D9781D"/>
    <w:rsid w:val="00DA0D80"/>
    <w:rsid w:val="00DA4D04"/>
    <w:rsid w:val="00DA5CA1"/>
    <w:rsid w:val="00DA70C6"/>
    <w:rsid w:val="00DA7BC7"/>
    <w:rsid w:val="00DB0498"/>
    <w:rsid w:val="00DB18C7"/>
    <w:rsid w:val="00DB1BD0"/>
    <w:rsid w:val="00DB2101"/>
    <w:rsid w:val="00DB22F8"/>
    <w:rsid w:val="00DB2DE7"/>
    <w:rsid w:val="00DB3027"/>
    <w:rsid w:val="00DB4081"/>
    <w:rsid w:val="00DB4333"/>
    <w:rsid w:val="00DB4794"/>
    <w:rsid w:val="00DB5CFD"/>
    <w:rsid w:val="00DB5E17"/>
    <w:rsid w:val="00DB667A"/>
    <w:rsid w:val="00DB73E5"/>
    <w:rsid w:val="00DB7516"/>
    <w:rsid w:val="00DC13E3"/>
    <w:rsid w:val="00DC1ABA"/>
    <w:rsid w:val="00DC1BF9"/>
    <w:rsid w:val="00DC369A"/>
    <w:rsid w:val="00DC3E41"/>
    <w:rsid w:val="00DC4BE7"/>
    <w:rsid w:val="00DC638F"/>
    <w:rsid w:val="00DC7E8B"/>
    <w:rsid w:val="00DC7F0C"/>
    <w:rsid w:val="00DD00F4"/>
    <w:rsid w:val="00DD140E"/>
    <w:rsid w:val="00DD145F"/>
    <w:rsid w:val="00DD1F55"/>
    <w:rsid w:val="00DD3FF0"/>
    <w:rsid w:val="00DD6004"/>
    <w:rsid w:val="00DD6B9E"/>
    <w:rsid w:val="00DD7C0B"/>
    <w:rsid w:val="00DE0055"/>
    <w:rsid w:val="00DE0746"/>
    <w:rsid w:val="00DE13E8"/>
    <w:rsid w:val="00DE1A0D"/>
    <w:rsid w:val="00DE1B47"/>
    <w:rsid w:val="00DE1BBD"/>
    <w:rsid w:val="00DE3993"/>
    <w:rsid w:val="00DE453F"/>
    <w:rsid w:val="00DE5885"/>
    <w:rsid w:val="00DE7F3C"/>
    <w:rsid w:val="00DF13D5"/>
    <w:rsid w:val="00DF234A"/>
    <w:rsid w:val="00DF28DA"/>
    <w:rsid w:val="00DF2B9F"/>
    <w:rsid w:val="00DF3253"/>
    <w:rsid w:val="00DF4240"/>
    <w:rsid w:val="00DF4A59"/>
    <w:rsid w:val="00DF4EED"/>
    <w:rsid w:val="00DF51DD"/>
    <w:rsid w:val="00DF6570"/>
    <w:rsid w:val="00DF750A"/>
    <w:rsid w:val="00E01297"/>
    <w:rsid w:val="00E02050"/>
    <w:rsid w:val="00E02FBC"/>
    <w:rsid w:val="00E0356B"/>
    <w:rsid w:val="00E03CD4"/>
    <w:rsid w:val="00E03EC9"/>
    <w:rsid w:val="00E046BE"/>
    <w:rsid w:val="00E048D6"/>
    <w:rsid w:val="00E07C79"/>
    <w:rsid w:val="00E10723"/>
    <w:rsid w:val="00E11887"/>
    <w:rsid w:val="00E147BA"/>
    <w:rsid w:val="00E14CD9"/>
    <w:rsid w:val="00E165F5"/>
    <w:rsid w:val="00E1790D"/>
    <w:rsid w:val="00E17991"/>
    <w:rsid w:val="00E213EE"/>
    <w:rsid w:val="00E21938"/>
    <w:rsid w:val="00E21EA8"/>
    <w:rsid w:val="00E22AC4"/>
    <w:rsid w:val="00E265D4"/>
    <w:rsid w:val="00E27A43"/>
    <w:rsid w:val="00E27B5A"/>
    <w:rsid w:val="00E31396"/>
    <w:rsid w:val="00E32874"/>
    <w:rsid w:val="00E338C2"/>
    <w:rsid w:val="00E355FB"/>
    <w:rsid w:val="00E37787"/>
    <w:rsid w:val="00E378D0"/>
    <w:rsid w:val="00E409AA"/>
    <w:rsid w:val="00E41A86"/>
    <w:rsid w:val="00E420F2"/>
    <w:rsid w:val="00E43A26"/>
    <w:rsid w:val="00E441D6"/>
    <w:rsid w:val="00E4596A"/>
    <w:rsid w:val="00E4641A"/>
    <w:rsid w:val="00E46952"/>
    <w:rsid w:val="00E46BC7"/>
    <w:rsid w:val="00E51039"/>
    <w:rsid w:val="00E51C9D"/>
    <w:rsid w:val="00E51F12"/>
    <w:rsid w:val="00E52226"/>
    <w:rsid w:val="00E539E0"/>
    <w:rsid w:val="00E53C42"/>
    <w:rsid w:val="00E5539B"/>
    <w:rsid w:val="00E55AB7"/>
    <w:rsid w:val="00E60821"/>
    <w:rsid w:val="00E60CCB"/>
    <w:rsid w:val="00E60FD0"/>
    <w:rsid w:val="00E610FB"/>
    <w:rsid w:val="00E63B46"/>
    <w:rsid w:val="00E64A8C"/>
    <w:rsid w:val="00E64BF2"/>
    <w:rsid w:val="00E65746"/>
    <w:rsid w:val="00E66C2B"/>
    <w:rsid w:val="00E672DA"/>
    <w:rsid w:val="00E7171A"/>
    <w:rsid w:val="00E719B5"/>
    <w:rsid w:val="00E73809"/>
    <w:rsid w:val="00E74C6A"/>
    <w:rsid w:val="00E74FD2"/>
    <w:rsid w:val="00E7791B"/>
    <w:rsid w:val="00E779CE"/>
    <w:rsid w:val="00E80748"/>
    <w:rsid w:val="00E81D33"/>
    <w:rsid w:val="00E82CC4"/>
    <w:rsid w:val="00E83E8F"/>
    <w:rsid w:val="00E86DDF"/>
    <w:rsid w:val="00E91C09"/>
    <w:rsid w:val="00E94E73"/>
    <w:rsid w:val="00E951D2"/>
    <w:rsid w:val="00E957BE"/>
    <w:rsid w:val="00E974BF"/>
    <w:rsid w:val="00E97712"/>
    <w:rsid w:val="00E979DB"/>
    <w:rsid w:val="00E97B31"/>
    <w:rsid w:val="00EA0EA0"/>
    <w:rsid w:val="00EA2110"/>
    <w:rsid w:val="00EA22BD"/>
    <w:rsid w:val="00EA2CF6"/>
    <w:rsid w:val="00EA2DF3"/>
    <w:rsid w:val="00EA4188"/>
    <w:rsid w:val="00EA6019"/>
    <w:rsid w:val="00EA7643"/>
    <w:rsid w:val="00EA7712"/>
    <w:rsid w:val="00EA7E2E"/>
    <w:rsid w:val="00EB1177"/>
    <w:rsid w:val="00EB2013"/>
    <w:rsid w:val="00EB23A2"/>
    <w:rsid w:val="00EB39EB"/>
    <w:rsid w:val="00EB4391"/>
    <w:rsid w:val="00EB5A10"/>
    <w:rsid w:val="00EB77F9"/>
    <w:rsid w:val="00EC06DE"/>
    <w:rsid w:val="00EC08F0"/>
    <w:rsid w:val="00EC0F61"/>
    <w:rsid w:val="00EC1797"/>
    <w:rsid w:val="00EC25B0"/>
    <w:rsid w:val="00EC679A"/>
    <w:rsid w:val="00EC6C25"/>
    <w:rsid w:val="00ED634E"/>
    <w:rsid w:val="00ED7DF1"/>
    <w:rsid w:val="00EE00AF"/>
    <w:rsid w:val="00EE0963"/>
    <w:rsid w:val="00EE0ADD"/>
    <w:rsid w:val="00EE2150"/>
    <w:rsid w:val="00EE32AB"/>
    <w:rsid w:val="00EE3987"/>
    <w:rsid w:val="00EE39FC"/>
    <w:rsid w:val="00EE48D0"/>
    <w:rsid w:val="00EE496A"/>
    <w:rsid w:val="00EE5046"/>
    <w:rsid w:val="00EE616A"/>
    <w:rsid w:val="00EE7077"/>
    <w:rsid w:val="00EE798C"/>
    <w:rsid w:val="00EF1E37"/>
    <w:rsid w:val="00EF1EF9"/>
    <w:rsid w:val="00EF46C6"/>
    <w:rsid w:val="00EF4B73"/>
    <w:rsid w:val="00EF4CBC"/>
    <w:rsid w:val="00F01226"/>
    <w:rsid w:val="00F016A4"/>
    <w:rsid w:val="00F02075"/>
    <w:rsid w:val="00F024BF"/>
    <w:rsid w:val="00F04898"/>
    <w:rsid w:val="00F05DDC"/>
    <w:rsid w:val="00F064AB"/>
    <w:rsid w:val="00F06D7F"/>
    <w:rsid w:val="00F070D8"/>
    <w:rsid w:val="00F0720C"/>
    <w:rsid w:val="00F07228"/>
    <w:rsid w:val="00F10ACD"/>
    <w:rsid w:val="00F11AA2"/>
    <w:rsid w:val="00F12BAB"/>
    <w:rsid w:val="00F132CD"/>
    <w:rsid w:val="00F1338D"/>
    <w:rsid w:val="00F13B88"/>
    <w:rsid w:val="00F13B93"/>
    <w:rsid w:val="00F13EA6"/>
    <w:rsid w:val="00F14283"/>
    <w:rsid w:val="00F14782"/>
    <w:rsid w:val="00F1591F"/>
    <w:rsid w:val="00F16CC9"/>
    <w:rsid w:val="00F17156"/>
    <w:rsid w:val="00F174D4"/>
    <w:rsid w:val="00F20D08"/>
    <w:rsid w:val="00F20F03"/>
    <w:rsid w:val="00F21BF4"/>
    <w:rsid w:val="00F22CFA"/>
    <w:rsid w:val="00F235B0"/>
    <w:rsid w:val="00F238E4"/>
    <w:rsid w:val="00F23C33"/>
    <w:rsid w:val="00F24A88"/>
    <w:rsid w:val="00F24EC7"/>
    <w:rsid w:val="00F25A51"/>
    <w:rsid w:val="00F25C00"/>
    <w:rsid w:val="00F2614F"/>
    <w:rsid w:val="00F2656B"/>
    <w:rsid w:val="00F26C53"/>
    <w:rsid w:val="00F2757A"/>
    <w:rsid w:val="00F32B8D"/>
    <w:rsid w:val="00F34C3A"/>
    <w:rsid w:val="00F34E38"/>
    <w:rsid w:val="00F41524"/>
    <w:rsid w:val="00F417DE"/>
    <w:rsid w:val="00F41B53"/>
    <w:rsid w:val="00F431AE"/>
    <w:rsid w:val="00F45259"/>
    <w:rsid w:val="00F47125"/>
    <w:rsid w:val="00F50746"/>
    <w:rsid w:val="00F5216C"/>
    <w:rsid w:val="00F543C6"/>
    <w:rsid w:val="00F55806"/>
    <w:rsid w:val="00F55A38"/>
    <w:rsid w:val="00F55D4A"/>
    <w:rsid w:val="00F569DC"/>
    <w:rsid w:val="00F56EB0"/>
    <w:rsid w:val="00F60EAA"/>
    <w:rsid w:val="00F6267F"/>
    <w:rsid w:val="00F631AF"/>
    <w:rsid w:val="00F6450F"/>
    <w:rsid w:val="00F64E0C"/>
    <w:rsid w:val="00F65090"/>
    <w:rsid w:val="00F651D8"/>
    <w:rsid w:val="00F6594F"/>
    <w:rsid w:val="00F7081C"/>
    <w:rsid w:val="00F70A2F"/>
    <w:rsid w:val="00F735C3"/>
    <w:rsid w:val="00F735EF"/>
    <w:rsid w:val="00F75E0D"/>
    <w:rsid w:val="00F76F84"/>
    <w:rsid w:val="00F77344"/>
    <w:rsid w:val="00F8179C"/>
    <w:rsid w:val="00F81A6E"/>
    <w:rsid w:val="00F84234"/>
    <w:rsid w:val="00F84322"/>
    <w:rsid w:val="00F85106"/>
    <w:rsid w:val="00F855B2"/>
    <w:rsid w:val="00F85A43"/>
    <w:rsid w:val="00F90267"/>
    <w:rsid w:val="00F90D94"/>
    <w:rsid w:val="00F921C5"/>
    <w:rsid w:val="00F956D1"/>
    <w:rsid w:val="00F9576C"/>
    <w:rsid w:val="00F9712E"/>
    <w:rsid w:val="00FA066A"/>
    <w:rsid w:val="00FA08C1"/>
    <w:rsid w:val="00FA5052"/>
    <w:rsid w:val="00FA5133"/>
    <w:rsid w:val="00FA5503"/>
    <w:rsid w:val="00FB04BC"/>
    <w:rsid w:val="00FB0EE1"/>
    <w:rsid w:val="00FB23F5"/>
    <w:rsid w:val="00FB25AA"/>
    <w:rsid w:val="00FB34A8"/>
    <w:rsid w:val="00FB6F47"/>
    <w:rsid w:val="00FC0628"/>
    <w:rsid w:val="00FC1059"/>
    <w:rsid w:val="00FC160B"/>
    <w:rsid w:val="00FC1C69"/>
    <w:rsid w:val="00FC238E"/>
    <w:rsid w:val="00FC30A1"/>
    <w:rsid w:val="00FC58D3"/>
    <w:rsid w:val="00FC5C04"/>
    <w:rsid w:val="00FC66D9"/>
    <w:rsid w:val="00FC76E4"/>
    <w:rsid w:val="00FC7987"/>
    <w:rsid w:val="00FC7BED"/>
    <w:rsid w:val="00FC7D9A"/>
    <w:rsid w:val="00FD1DDC"/>
    <w:rsid w:val="00FD1EBA"/>
    <w:rsid w:val="00FD23B9"/>
    <w:rsid w:val="00FD26A5"/>
    <w:rsid w:val="00FD26CD"/>
    <w:rsid w:val="00FD30E7"/>
    <w:rsid w:val="00FD32E5"/>
    <w:rsid w:val="00FD3D8B"/>
    <w:rsid w:val="00FD3F56"/>
    <w:rsid w:val="00FD47E0"/>
    <w:rsid w:val="00FE00CC"/>
    <w:rsid w:val="00FE1F9C"/>
    <w:rsid w:val="00FE22F0"/>
    <w:rsid w:val="00FE26DA"/>
    <w:rsid w:val="00FE5674"/>
    <w:rsid w:val="00FF0269"/>
    <w:rsid w:val="00FF0415"/>
    <w:rsid w:val="00FF18E2"/>
    <w:rsid w:val="00FF3408"/>
    <w:rsid w:val="00FF385E"/>
    <w:rsid w:val="00FF3A0A"/>
    <w:rsid w:val="00FF4D9B"/>
    <w:rsid w:val="00FF5C54"/>
    <w:rsid w:val="00FF731F"/>
    <w:rsid w:val="01052B52"/>
    <w:rsid w:val="0109344D"/>
    <w:rsid w:val="01226240"/>
    <w:rsid w:val="01392792"/>
    <w:rsid w:val="01505F15"/>
    <w:rsid w:val="016E6B4C"/>
    <w:rsid w:val="01D47BB1"/>
    <w:rsid w:val="02367707"/>
    <w:rsid w:val="02564B1B"/>
    <w:rsid w:val="025C49EE"/>
    <w:rsid w:val="02766009"/>
    <w:rsid w:val="02AE21E3"/>
    <w:rsid w:val="02CA20EA"/>
    <w:rsid w:val="0314140F"/>
    <w:rsid w:val="031E4411"/>
    <w:rsid w:val="031F1749"/>
    <w:rsid w:val="032A0775"/>
    <w:rsid w:val="038325D2"/>
    <w:rsid w:val="03C74DEA"/>
    <w:rsid w:val="042679EE"/>
    <w:rsid w:val="04334C7A"/>
    <w:rsid w:val="044E27F6"/>
    <w:rsid w:val="0462668B"/>
    <w:rsid w:val="047D1813"/>
    <w:rsid w:val="04835911"/>
    <w:rsid w:val="049169BC"/>
    <w:rsid w:val="04AF4F02"/>
    <w:rsid w:val="04F51692"/>
    <w:rsid w:val="056D05DF"/>
    <w:rsid w:val="058A76CD"/>
    <w:rsid w:val="05B6386C"/>
    <w:rsid w:val="062077BC"/>
    <w:rsid w:val="069A6B89"/>
    <w:rsid w:val="069C1C5C"/>
    <w:rsid w:val="069C7A93"/>
    <w:rsid w:val="06CA47CC"/>
    <w:rsid w:val="06E43BF0"/>
    <w:rsid w:val="07466557"/>
    <w:rsid w:val="08037F6B"/>
    <w:rsid w:val="083E714C"/>
    <w:rsid w:val="08C5312C"/>
    <w:rsid w:val="09081BF0"/>
    <w:rsid w:val="09175EEF"/>
    <w:rsid w:val="096379C3"/>
    <w:rsid w:val="099969C4"/>
    <w:rsid w:val="09D3555F"/>
    <w:rsid w:val="0A011BCE"/>
    <w:rsid w:val="0A484412"/>
    <w:rsid w:val="0A535694"/>
    <w:rsid w:val="0A975339"/>
    <w:rsid w:val="0AF71DB6"/>
    <w:rsid w:val="0B884150"/>
    <w:rsid w:val="0B8E420A"/>
    <w:rsid w:val="0B8F4C42"/>
    <w:rsid w:val="0BEB0385"/>
    <w:rsid w:val="0C5E6D7E"/>
    <w:rsid w:val="0CE05BCB"/>
    <w:rsid w:val="0D1F71D9"/>
    <w:rsid w:val="0D6A5348"/>
    <w:rsid w:val="0D90430B"/>
    <w:rsid w:val="0DAE649D"/>
    <w:rsid w:val="0DF54094"/>
    <w:rsid w:val="0E1725D6"/>
    <w:rsid w:val="0E243461"/>
    <w:rsid w:val="0E607DAF"/>
    <w:rsid w:val="0E6E568E"/>
    <w:rsid w:val="0EE21188"/>
    <w:rsid w:val="0F6018E6"/>
    <w:rsid w:val="0F6F1034"/>
    <w:rsid w:val="10CB06DF"/>
    <w:rsid w:val="10CD401E"/>
    <w:rsid w:val="11104506"/>
    <w:rsid w:val="11404473"/>
    <w:rsid w:val="114A7FCE"/>
    <w:rsid w:val="11532E7C"/>
    <w:rsid w:val="1160324F"/>
    <w:rsid w:val="11A55F03"/>
    <w:rsid w:val="12045C39"/>
    <w:rsid w:val="133F09B0"/>
    <w:rsid w:val="13480CA9"/>
    <w:rsid w:val="13F45072"/>
    <w:rsid w:val="141A59CE"/>
    <w:rsid w:val="142D6129"/>
    <w:rsid w:val="145B0A5C"/>
    <w:rsid w:val="14A036DE"/>
    <w:rsid w:val="14F61726"/>
    <w:rsid w:val="14F674C3"/>
    <w:rsid w:val="151B0095"/>
    <w:rsid w:val="157740B6"/>
    <w:rsid w:val="15CE68FB"/>
    <w:rsid w:val="15DD5083"/>
    <w:rsid w:val="160903D6"/>
    <w:rsid w:val="163E4C1A"/>
    <w:rsid w:val="16C27E36"/>
    <w:rsid w:val="16D15EE7"/>
    <w:rsid w:val="16E44C89"/>
    <w:rsid w:val="171763FC"/>
    <w:rsid w:val="172433D4"/>
    <w:rsid w:val="1727233C"/>
    <w:rsid w:val="174C3583"/>
    <w:rsid w:val="17B60D70"/>
    <w:rsid w:val="17FB5339"/>
    <w:rsid w:val="18061544"/>
    <w:rsid w:val="1821359C"/>
    <w:rsid w:val="185942E2"/>
    <w:rsid w:val="18730F52"/>
    <w:rsid w:val="18D27BB3"/>
    <w:rsid w:val="18E80BAD"/>
    <w:rsid w:val="191E23AE"/>
    <w:rsid w:val="19342468"/>
    <w:rsid w:val="193E16A3"/>
    <w:rsid w:val="1A3F3C1B"/>
    <w:rsid w:val="1A404C48"/>
    <w:rsid w:val="1AAC15B6"/>
    <w:rsid w:val="1B0E398D"/>
    <w:rsid w:val="1B34092A"/>
    <w:rsid w:val="1B350937"/>
    <w:rsid w:val="1BAA0812"/>
    <w:rsid w:val="1BE7247B"/>
    <w:rsid w:val="1C872AB9"/>
    <w:rsid w:val="1CE23F2B"/>
    <w:rsid w:val="1CE3645A"/>
    <w:rsid w:val="1D1E7B8F"/>
    <w:rsid w:val="1D8134EF"/>
    <w:rsid w:val="1D856F92"/>
    <w:rsid w:val="1DC43B8D"/>
    <w:rsid w:val="1E0823B6"/>
    <w:rsid w:val="1E0946AF"/>
    <w:rsid w:val="1E3500E2"/>
    <w:rsid w:val="1E3C44A5"/>
    <w:rsid w:val="1E5D7AC3"/>
    <w:rsid w:val="1E817640"/>
    <w:rsid w:val="20971A8C"/>
    <w:rsid w:val="214D0F8B"/>
    <w:rsid w:val="21D1000E"/>
    <w:rsid w:val="21F65FB4"/>
    <w:rsid w:val="22065D6C"/>
    <w:rsid w:val="227162B5"/>
    <w:rsid w:val="22B945A7"/>
    <w:rsid w:val="22C2691D"/>
    <w:rsid w:val="23283E30"/>
    <w:rsid w:val="23D646E5"/>
    <w:rsid w:val="23F76D49"/>
    <w:rsid w:val="24065B27"/>
    <w:rsid w:val="242B7E47"/>
    <w:rsid w:val="249F57E5"/>
    <w:rsid w:val="24BA77E2"/>
    <w:rsid w:val="25335288"/>
    <w:rsid w:val="253B26CA"/>
    <w:rsid w:val="25502F1B"/>
    <w:rsid w:val="2568112F"/>
    <w:rsid w:val="258601FE"/>
    <w:rsid w:val="26031625"/>
    <w:rsid w:val="26166779"/>
    <w:rsid w:val="26806B8A"/>
    <w:rsid w:val="26933546"/>
    <w:rsid w:val="26BB68BA"/>
    <w:rsid w:val="26CE0D51"/>
    <w:rsid w:val="27067640"/>
    <w:rsid w:val="271C3BEF"/>
    <w:rsid w:val="276E198C"/>
    <w:rsid w:val="278C389C"/>
    <w:rsid w:val="28325C10"/>
    <w:rsid w:val="284B6F24"/>
    <w:rsid w:val="285907EE"/>
    <w:rsid w:val="285F5D09"/>
    <w:rsid w:val="287D4234"/>
    <w:rsid w:val="289A2AA3"/>
    <w:rsid w:val="28BE1378"/>
    <w:rsid w:val="28E340BB"/>
    <w:rsid w:val="29266163"/>
    <w:rsid w:val="295D5C86"/>
    <w:rsid w:val="29854B23"/>
    <w:rsid w:val="2A646439"/>
    <w:rsid w:val="2AD61431"/>
    <w:rsid w:val="2BBE1093"/>
    <w:rsid w:val="2C131D74"/>
    <w:rsid w:val="2C196C2D"/>
    <w:rsid w:val="2C221950"/>
    <w:rsid w:val="2C281ACE"/>
    <w:rsid w:val="2C29790B"/>
    <w:rsid w:val="2C4D155A"/>
    <w:rsid w:val="2D004B68"/>
    <w:rsid w:val="2D27759C"/>
    <w:rsid w:val="2D4C771A"/>
    <w:rsid w:val="2D970EAB"/>
    <w:rsid w:val="2E284B7C"/>
    <w:rsid w:val="2E452044"/>
    <w:rsid w:val="2F06350B"/>
    <w:rsid w:val="2F3A3BDD"/>
    <w:rsid w:val="2FD774C3"/>
    <w:rsid w:val="2FEA7D66"/>
    <w:rsid w:val="307C56FE"/>
    <w:rsid w:val="30996018"/>
    <w:rsid w:val="30B579BF"/>
    <w:rsid w:val="30C815E9"/>
    <w:rsid w:val="3108508B"/>
    <w:rsid w:val="31B523B5"/>
    <w:rsid w:val="32024798"/>
    <w:rsid w:val="320F77E3"/>
    <w:rsid w:val="3264484C"/>
    <w:rsid w:val="32793E85"/>
    <w:rsid w:val="32B205D2"/>
    <w:rsid w:val="32D74EEF"/>
    <w:rsid w:val="32F90207"/>
    <w:rsid w:val="331F1994"/>
    <w:rsid w:val="33913AEE"/>
    <w:rsid w:val="33995FAC"/>
    <w:rsid w:val="33FF675D"/>
    <w:rsid w:val="34347FF0"/>
    <w:rsid w:val="34723234"/>
    <w:rsid w:val="349F0270"/>
    <w:rsid w:val="34C246DF"/>
    <w:rsid w:val="34CE1050"/>
    <w:rsid w:val="35214011"/>
    <w:rsid w:val="352C54C4"/>
    <w:rsid w:val="35520842"/>
    <w:rsid w:val="355C6657"/>
    <w:rsid w:val="358006D4"/>
    <w:rsid w:val="35A35EBB"/>
    <w:rsid w:val="36232553"/>
    <w:rsid w:val="362B319C"/>
    <w:rsid w:val="36422D60"/>
    <w:rsid w:val="36501EF7"/>
    <w:rsid w:val="368B003E"/>
    <w:rsid w:val="36CD551C"/>
    <w:rsid w:val="36D27433"/>
    <w:rsid w:val="36E106E5"/>
    <w:rsid w:val="36EE6B48"/>
    <w:rsid w:val="3709710F"/>
    <w:rsid w:val="373D070E"/>
    <w:rsid w:val="374B6088"/>
    <w:rsid w:val="37603B15"/>
    <w:rsid w:val="37CD61C8"/>
    <w:rsid w:val="38502F42"/>
    <w:rsid w:val="3865252D"/>
    <w:rsid w:val="386F7D8F"/>
    <w:rsid w:val="38BD4B89"/>
    <w:rsid w:val="393A3DDE"/>
    <w:rsid w:val="39967482"/>
    <w:rsid w:val="39BE6703"/>
    <w:rsid w:val="39D23390"/>
    <w:rsid w:val="3A050A91"/>
    <w:rsid w:val="3A5D5BA2"/>
    <w:rsid w:val="3A660603"/>
    <w:rsid w:val="3A822B4F"/>
    <w:rsid w:val="3AD30C41"/>
    <w:rsid w:val="3B3D5027"/>
    <w:rsid w:val="3BAE3989"/>
    <w:rsid w:val="3C24132F"/>
    <w:rsid w:val="3C59632E"/>
    <w:rsid w:val="3C7D1B1B"/>
    <w:rsid w:val="3C8C389F"/>
    <w:rsid w:val="3C8C71F3"/>
    <w:rsid w:val="3C9D5C4B"/>
    <w:rsid w:val="3D0719C8"/>
    <w:rsid w:val="3D6124B7"/>
    <w:rsid w:val="3D9B04F6"/>
    <w:rsid w:val="3DD74019"/>
    <w:rsid w:val="3E083824"/>
    <w:rsid w:val="3E410AE4"/>
    <w:rsid w:val="3E430358"/>
    <w:rsid w:val="3E746DD5"/>
    <w:rsid w:val="3EA41677"/>
    <w:rsid w:val="3EA41F59"/>
    <w:rsid w:val="3EAE5A4E"/>
    <w:rsid w:val="3EC76816"/>
    <w:rsid w:val="3F1A34AB"/>
    <w:rsid w:val="3F8034A9"/>
    <w:rsid w:val="40052AFA"/>
    <w:rsid w:val="40055B41"/>
    <w:rsid w:val="40476B0D"/>
    <w:rsid w:val="40556AC9"/>
    <w:rsid w:val="40633CF7"/>
    <w:rsid w:val="40BA23E6"/>
    <w:rsid w:val="40C40FBA"/>
    <w:rsid w:val="41173D7E"/>
    <w:rsid w:val="414C762B"/>
    <w:rsid w:val="41664E25"/>
    <w:rsid w:val="42981175"/>
    <w:rsid w:val="429A4C67"/>
    <w:rsid w:val="42CD2233"/>
    <w:rsid w:val="42DA49FB"/>
    <w:rsid w:val="442134DD"/>
    <w:rsid w:val="4436353C"/>
    <w:rsid w:val="448639EC"/>
    <w:rsid w:val="448F4B4F"/>
    <w:rsid w:val="449429EA"/>
    <w:rsid w:val="450D027B"/>
    <w:rsid w:val="45504BC5"/>
    <w:rsid w:val="459A6110"/>
    <w:rsid w:val="45EC2488"/>
    <w:rsid w:val="467E56A5"/>
    <w:rsid w:val="47D03B4C"/>
    <w:rsid w:val="47E2135F"/>
    <w:rsid w:val="481C22FC"/>
    <w:rsid w:val="48320B57"/>
    <w:rsid w:val="48985812"/>
    <w:rsid w:val="49177011"/>
    <w:rsid w:val="492D05A5"/>
    <w:rsid w:val="49BF498C"/>
    <w:rsid w:val="49C361B3"/>
    <w:rsid w:val="4A6161D4"/>
    <w:rsid w:val="4AFB235C"/>
    <w:rsid w:val="4AFD12FD"/>
    <w:rsid w:val="4B1732F9"/>
    <w:rsid w:val="4B1978A9"/>
    <w:rsid w:val="4B257D5F"/>
    <w:rsid w:val="4B484FFC"/>
    <w:rsid w:val="4B7F6C73"/>
    <w:rsid w:val="4B977F95"/>
    <w:rsid w:val="4BBE4F95"/>
    <w:rsid w:val="4BCC5120"/>
    <w:rsid w:val="4BCD39B7"/>
    <w:rsid w:val="4BEC7784"/>
    <w:rsid w:val="4C116592"/>
    <w:rsid w:val="4C8C1A30"/>
    <w:rsid w:val="4CA67FA9"/>
    <w:rsid w:val="4CC63226"/>
    <w:rsid w:val="4D280A7E"/>
    <w:rsid w:val="4D49147B"/>
    <w:rsid w:val="4DA44E48"/>
    <w:rsid w:val="4DF53699"/>
    <w:rsid w:val="4E011F98"/>
    <w:rsid w:val="4E297819"/>
    <w:rsid w:val="4E9D76CC"/>
    <w:rsid w:val="4EA9408B"/>
    <w:rsid w:val="4EC76CBC"/>
    <w:rsid w:val="4EEF567B"/>
    <w:rsid w:val="4F316E93"/>
    <w:rsid w:val="4F997A35"/>
    <w:rsid w:val="4FBC5EC1"/>
    <w:rsid w:val="4FBF2ED9"/>
    <w:rsid w:val="4FCD438C"/>
    <w:rsid w:val="4FCD61F7"/>
    <w:rsid w:val="4FDA66A3"/>
    <w:rsid w:val="4FE24B6F"/>
    <w:rsid w:val="50181156"/>
    <w:rsid w:val="50361E44"/>
    <w:rsid w:val="503A73FC"/>
    <w:rsid w:val="504C637B"/>
    <w:rsid w:val="50904BED"/>
    <w:rsid w:val="50B75C85"/>
    <w:rsid w:val="50C81328"/>
    <w:rsid w:val="510A58A7"/>
    <w:rsid w:val="5155318D"/>
    <w:rsid w:val="518A2223"/>
    <w:rsid w:val="51925D7E"/>
    <w:rsid w:val="51A026FE"/>
    <w:rsid w:val="51CD2963"/>
    <w:rsid w:val="52332028"/>
    <w:rsid w:val="5234509B"/>
    <w:rsid w:val="52413B16"/>
    <w:rsid w:val="526546DC"/>
    <w:rsid w:val="52AF79C9"/>
    <w:rsid w:val="53045C12"/>
    <w:rsid w:val="53093E52"/>
    <w:rsid w:val="5365714B"/>
    <w:rsid w:val="53BA02DB"/>
    <w:rsid w:val="547F6863"/>
    <w:rsid w:val="5483555B"/>
    <w:rsid w:val="554000F2"/>
    <w:rsid w:val="56FC649F"/>
    <w:rsid w:val="57306A86"/>
    <w:rsid w:val="58034764"/>
    <w:rsid w:val="581A742B"/>
    <w:rsid w:val="582E1282"/>
    <w:rsid w:val="58676538"/>
    <w:rsid w:val="588748B3"/>
    <w:rsid w:val="58EC19F4"/>
    <w:rsid w:val="590373B7"/>
    <w:rsid w:val="5907359A"/>
    <w:rsid w:val="590A20C0"/>
    <w:rsid w:val="59104895"/>
    <w:rsid w:val="595127DB"/>
    <w:rsid w:val="595D4251"/>
    <w:rsid w:val="59922DB4"/>
    <w:rsid w:val="5A5629DF"/>
    <w:rsid w:val="5A752BDA"/>
    <w:rsid w:val="5AA64A54"/>
    <w:rsid w:val="5ACF4493"/>
    <w:rsid w:val="5AD253C6"/>
    <w:rsid w:val="5AF76AC9"/>
    <w:rsid w:val="5BD6038A"/>
    <w:rsid w:val="5C7F2C32"/>
    <w:rsid w:val="5CAD68A7"/>
    <w:rsid w:val="5CB173D5"/>
    <w:rsid w:val="5CD501A8"/>
    <w:rsid w:val="5CE21F54"/>
    <w:rsid w:val="5CE8608E"/>
    <w:rsid w:val="5D85263E"/>
    <w:rsid w:val="5DC12B0F"/>
    <w:rsid w:val="5E0E077B"/>
    <w:rsid w:val="5E5A5C2A"/>
    <w:rsid w:val="5EB768C0"/>
    <w:rsid w:val="5EC76EBC"/>
    <w:rsid w:val="5F27742B"/>
    <w:rsid w:val="5F416B8E"/>
    <w:rsid w:val="5FBF3F34"/>
    <w:rsid w:val="5FD4276A"/>
    <w:rsid w:val="60257A1C"/>
    <w:rsid w:val="602E07CE"/>
    <w:rsid w:val="608033D7"/>
    <w:rsid w:val="60A5288D"/>
    <w:rsid w:val="60D06013"/>
    <w:rsid w:val="616C661C"/>
    <w:rsid w:val="61763D66"/>
    <w:rsid w:val="61775F05"/>
    <w:rsid w:val="617C1311"/>
    <w:rsid w:val="61BD02AF"/>
    <w:rsid w:val="61CF3353"/>
    <w:rsid w:val="629801F3"/>
    <w:rsid w:val="633E4CE0"/>
    <w:rsid w:val="636C1820"/>
    <w:rsid w:val="639334D5"/>
    <w:rsid w:val="63BC7103"/>
    <w:rsid w:val="64011DD2"/>
    <w:rsid w:val="640B2BEA"/>
    <w:rsid w:val="64560710"/>
    <w:rsid w:val="64650F4E"/>
    <w:rsid w:val="647D024B"/>
    <w:rsid w:val="65126E5D"/>
    <w:rsid w:val="65CC3968"/>
    <w:rsid w:val="65F853BD"/>
    <w:rsid w:val="66046CB9"/>
    <w:rsid w:val="66063F75"/>
    <w:rsid w:val="66280187"/>
    <w:rsid w:val="6639196C"/>
    <w:rsid w:val="66403896"/>
    <w:rsid w:val="664654C4"/>
    <w:rsid w:val="664D0EA6"/>
    <w:rsid w:val="66661C02"/>
    <w:rsid w:val="667E332D"/>
    <w:rsid w:val="670E3CB3"/>
    <w:rsid w:val="6719727C"/>
    <w:rsid w:val="678215CB"/>
    <w:rsid w:val="679D71C9"/>
    <w:rsid w:val="67E91721"/>
    <w:rsid w:val="6815262B"/>
    <w:rsid w:val="685C53E2"/>
    <w:rsid w:val="688B7E99"/>
    <w:rsid w:val="68B40A6C"/>
    <w:rsid w:val="693500A0"/>
    <w:rsid w:val="693F5F01"/>
    <w:rsid w:val="696F7C4D"/>
    <w:rsid w:val="697119CE"/>
    <w:rsid w:val="697F367F"/>
    <w:rsid w:val="69BA450B"/>
    <w:rsid w:val="69E95812"/>
    <w:rsid w:val="6A005B97"/>
    <w:rsid w:val="6A4E472C"/>
    <w:rsid w:val="6A980073"/>
    <w:rsid w:val="6ABF0D55"/>
    <w:rsid w:val="6AF745E3"/>
    <w:rsid w:val="6B067853"/>
    <w:rsid w:val="6B221CCD"/>
    <w:rsid w:val="6B3D0167"/>
    <w:rsid w:val="6B5C6AE4"/>
    <w:rsid w:val="6B66623E"/>
    <w:rsid w:val="6B6728A8"/>
    <w:rsid w:val="6BA33119"/>
    <w:rsid w:val="6BBA7BAE"/>
    <w:rsid w:val="6C11484A"/>
    <w:rsid w:val="6C1506D8"/>
    <w:rsid w:val="6C245446"/>
    <w:rsid w:val="6C253579"/>
    <w:rsid w:val="6C423B7A"/>
    <w:rsid w:val="6C563408"/>
    <w:rsid w:val="6C9D70AC"/>
    <w:rsid w:val="6CD94758"/>
    <w:rsid w:val="6D0B6169"/>
    <w:rsid w:val="6D703898"/>
    <w:rsid w:val="6D78644A"/>
    <w:rsid w:val="6DA72E25"/>
    <w:rsid w:val="6DA81247"/>
    <w:rsid w:val="6DDC3A6C"/>
    <w:rsid w:val="6E6669C8"/>
    <w:rsid w:val="6E982E3E"/>
    <w:rsid w:val="6EA76FEE"/>
    <w:rsid w:val="6EA92116"/>
    <w:rsid w:val="6EAB759E"/>
    <w:rsid w:val="6FA44E22"/>
    <w:rsid w:val="6FB645DF"/>
    <w:rsid w:val="6FB75734"/>
    <w:rsid w:val="6FF5468C"/>
    <w:rsid w:val="70291255"/>
    <w:rsid w:val="703B1030"/>
    <w:rsid w:val="7043049A"/>
    <w:rsid w:val="705D5738"/>
    <w:rsid w:val="70D171F3"/>
    <w:rsid w:val="70F14C67"/>
    <w:rsid w:val="71200A94"/>
    <w:rsid w:val="713759DF"/>
    <w:rsid w:val="715776FB"/>
    <w:rsid w:val="71684312"/>
    <w:rsid w:val="71DC20F5"/>
    <w:rsid w:val="720F3F50"/>
    <w:rsid w:val="723D1E89"/>
    <w:rsid w:val="72641375"/>
    <w:rsid w:val="72A31FEB"/>
    <w:rsid w:val="72B22DA0"/>
    <w:rsid w:val="72F71196"/>
    <w:rsid w:val="733D4384"/>
    <w:rsid w:val="734C360E"/>
    <w:rsid w:val="73A06A75"/>
    <w:rsid w:val="73AB3126"/>
    <w:rsid w:val="73C904A4"/>
    <w:rsid w:val="740A4EF9"/>
    <w:rsid w:val="74491E77"/>
    <w:rsid w:val="745663E7"/>
    <w:rsid w:val="7471107A"/>
    <w:rsid w:val="748800A2"/>
    <w:rsid w:val="75237875"/>
    <w:rsid w:val="763B6B65"/>
    <w:rsid w:val="764023BA"/>
    <w:rsid w:val="768E627F"/>
    <w:rsid w:val="76AC52AD"/>
    <w:rsid w:val="76E00DE6"/>
    <w:rsid w:val="77131F56"/>
    <w:rsid w:val="771E0CAC"/>
    <w:rsid w:val="773562F1"/>
    <w:rsid w:val="77372D96"/>
    <w:rsid w:val="77563857"/>
    <w:rsid w:val="77F16E14"/>
    <w:rsid w:val="78161F64"/>
    <w:rsid w:val="785221B4"/>
    <w:rsid w:val="787F0859"/>
    <w:rsid w:val="788B4960"/>
    <w:rsid w:val="78B813C8"/>
    <w:rsid w:val="78F27AD5"/>
    <w:rsid w:val="79217C49"/>
    <w:rsid w:val="79246A5D"/>
    <w:rsid w:val="79433647"/>
    <w:rsid w:val="7943699A"/>
    <w:rsid w:val="7A9D12ED"/>
    <w:rsid w:val="7AB02FC5"/>
    <w:rsid w:val="7AFB2B9F"/>
    <w:rsid w:val="7B0C1557"/>
    <w:rsid w:val="7B101737"/>
    <w:rsid w:val="7B2C08A6"/>
    <w:rsid w:val="7B551B5E"/>
    <w:rsid w:val="7C534773"/>
    <w:rsid w:val="7CCA0853"/>
    <w:rsid w:val="7D055E14"/>
    <w:rsid w:val="7D212F97"/>
    <w:rsid w:val="7D340651"/>
    <w:rsid w:val="7D4873D8"/>
    <w:rsid w:val="7D823788"/>
    <w:rsid w:val="7E05450C"/>
    <w:rsid w:val="7E4256A7"/>
    <w:rsid w:val="7E91259B"/>
    <w:rsid w:val="7EA72783"/>
    <w:rsid w:val="7EAD395D"/>
    <w:rsid w:val="7EBF5758"/>
    <w:rsid w:val="7FF941F3"/>
    <w:rsid w:val="7FFB1C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ocked="1"/>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4"/>
    <w:qFormat/>
    <w:locked/>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Cambria" w:hAnsi="Cambria" w:eastAsia="黑体"/>
      <w:sz w:val="20"/>
    </w:rPr>
  </w:style>
  <w:style w:type="paragraph" w:styleId="4">
    <w:name w:val="Date"/>
    <w:basedOn w:val="1"/>
    <w:next w:val="1"/>
    <w:link w:val="22"/>
    <w:qFormat/>
    <w:uiPriority w:val="99"/>
    <w:pPr>
      <w:ind w:left="100" w:leftChars="2500"/>
    </w:pPr>
  </w:style>
  <w:style w:type="paragraph" w:styleId="5">
    <w:name w:val="Balloon Text"/>
    <w:basedOn w:val="1"/>
    <w:link w:val="29"/>
    <w:semiHidden/>
    <w:unhideWhenUsed/>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link w:val="32"/>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rFonts w:cs="Times New Roman"/>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paragraph" w:customStyle="1" w:styleId="15">
    <w:name w:val="p15"/>
    <w:basedOn w:val="1"/>
    <w:qFormat/>
    <w:uiPriority w:val="0"/>
    <w:pPr>
      <w:widowControl/>
    </w:pPr>
    <w:rPr>
      <w:rFonts w:ascii="Calibri" w:hAnsi="Calibri" w:cs="宋体"/>
      <w:kern w:val="0"/>
      <w:szCs w:val="21"/>
    </w:rPr>
  </w:style>
  <w:style w:type="paragraph" w:customStyle="1" w:styleId="16">
    <w:name w:val="p0"/>
    <w:basedOn w:val="1"/>
    <w:link w:val="26"/>
    <w:qFormat/>
    <w:uiPriority w:val="0"/>
    <w:pPr>
      <w:widowControl/>
    </w:pPr>
    <w:rPr>
      <w:rFonts w:ascii="Calibri" w:hAnsi="Calibri" w:cs="宋体"/>
      <w:kern w:val="0"/>
      <w:szCs w:val="21"/>
    </w:rPr>
  </w:style>
  <w:style w:type="paragraph" w:customStyle="1" w:styleId="17">
    <w:name w:val="p16"/>
    <w:qFormat/>
    <w:uiPriority w:val="99"/>
    <w:pPr>
      <w:snapToGrid w:val="0"/>
      <w:jc w:val="center"/>
    </w:pPr>
    <w:rPr>
      <w:rFonts w:ascii="方正黑体_GBK" w:hAnsi="方正黑体_GBK" w:eastAsia="宋体" w:cs="宋体"/>
      <w:sz w:val="32"/>
      <w:szCs w:val="32"/>
      <w:lang w:val="en-US" w:eastAsia="zh-CN" w:bidi="ar-SA"/>
    </w:rPr>
  </w:style>
  <w:style w:type="paragraph" w:customStyle="1" w:styleId="18">
    <w:name w:val="Char2"/>
    <w:basedOn w:val="1"/>
    <w:qFormat/>
    <w:uiPriority w:val="99"/>
    <w:rPr>
      <w:szCs w:val="24"/>
    </w:rPr>
  </w:style>
  <w:style w:type="paragraph" w:customStyle="1" w:styleId="19">
    <w:name w:val="无间隔1"/>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0">
    <w:name w:val="日期 Char"/>
    <w:basedOn w:val="11"/>
    <w:link w:val="4"/>
    <w:qFormat/>
    <w:locked/>
    <w:uiPriority w:val="99"/>
    <w:rPr>
      <w:rFonts w:cs="Times New Roman"/>
      <w:kern w:val="2"/>
      <w:sz w:val="21"/>
    </w:rPr>
  </w:style>
  <w:style w:type="character" w:customStyle="1" w:styleId="21">
    <w:name w:val="页眉 Char"/>
    <w:basedOn w:val="11"/>
    <w:link w:val="7"/>
    <w:semiHidden/>
    <w:qFormat/>
    <w:uiPriority w:val="99"/>
    <w:rPr>
      <w:sz w:val="18"/>
      <w:szCs w:val="18"/>
    </w:rPr>
  </w:style>
  <w:style w:type="character" w:customStyle="1" w:styleId="22">
    <w:name w:val="日期 Char1"/>
    <w:basedOn w:val="11"/>
    <w:link w:val="4"/>
    <w:semiHidden/>
    <w:qFormat/>
    <w:uiPriority w:val="99"/>
    <w:rPr>
      <w:szCs w:val="20"/>
    </w:rPr>
  </w:style>
  <w:style w:type="character" w:customStyle="1" w:styleId="23">
    <w:name w:val="页脚 Char"/>
    <w:basedOn w:val="11"/>
    <w:link w:val="6"/>
    <w:semiHidden/>
    <w:qFormat/>
    <w:uiPriority w:val="99"/>
    <w:rPr>
      <w:sz w:val="18"/>
      <w:szCs w:val="18"/>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p0 Char Char"/>
    <w:basedOn w:val="11"/>
    <w:link w:val="16"/>
    <w:qFormat/>
    <w:locked/>
    <w:uiPriority w:val="0"/>
    <w:rPr>
      <w:rFonts w:ascii="Calibri" w:hAnsi="Calibri" w:cs="宋体"/>
      <w:sz w:val="21"/>
      <w:szCs w:val="21"/>
    </w:rPr>
  </w:style>
  <w:style w:type="paragraph" w:customStyle="1" w:styleId="27">
    <w:name w:val="Char1 Char Char Char Char Char Char"/>
    <w:basedOn w:val="1"/>
    <w:qFormat/>
    <w:uiPriority w:val="0"/>
  </w:style>
  <w:style w:type="character" w:customStyle="1" w:styleId="28">
    <w:name w:val="15"/>
    <w:basedOn w:val="11"/>
    <w:qFormat/>
    <w:uiPriority w:val="0"/>
    <w:rPr>
      <w:rFonts w:hint="default" w:ascii="Times New Roman" w:hAnsi="Times New Roman" w:cs="Times New Roman"/>
      <w:b/>
      <w:bCs/>
    </w:rPr>
  </w:style>
  <w:style w:type="character" w:customStyle="1" w:styleId="29">
    <w:name w:val="批注框文本 Char"/>
    <w:basedOn w:val="11"/>
    <w:link w:val="5"/>
    <w:semiHidden/>
    <w:qFormat/>
    <w:uiPriority w:val="0"/>
    <w:rPr>
      <w:kern w:val="2"/>
      <w:sz w:val="18"/>
      <w:szCs w:val="18"/>
    </w:rPr>
  </w:style>
  <w:style w:type="paragraph" w:customStyle="1" w:styleId="30">
    <w:name w:val="列出段落1"/>
    <w:basedOn w:val="1"/>
    <w:qFormat/>
    <w:uiPriority w:val="34"/>
    <w:pPr>
      <w:ind w:firstLine="420" w:firstLineChars="200"/>
    </w:pPr>
    <w:rPr>
      <w:szCs w:val="24"/>
    </w:rPr>
  </w:style>
  <w:style w:type="character" w:customStyle="1" w:styleId="31">
    <w:name w:val="hei141"/>
    <w:basedOn w:val="11"/>
    <w:qFormat/>
    <w:uiPriority w:val="0"/>
    <w:rPr>
      <w:rFonts w:hint="eastAsia" w:ascii="宋体" w:hAnsi="宋体" w:eastAsia="宋体" w:cs="Times New Roman"/>
      <w:color w:val="000000"/>
      <w:sz w:val="21"/>
      <w:szCs w:val="21"/>
      <w:u w:val="none"/>
    </w:rPr>
  </w:style>
  <w:style w:type="character" w:customStyle="1" w:styleId="32">
    <w:name w:val="副标题 Char"/>
    <w:basedOn w:val="11"/>
    <w:link w:val="8"/>
    <w:qFormat/>
    <w:uiPriority w:val="0"/>
    <w:rPr>
      <w:rFonts w:asciiTheme="majorHAnsi" w:hAnsiTheme="majorHAnsi" w:cstheme="majorBidi"/>
      <w:b/>
      <w:bCs/>
      <w:kern w:val="28"/>
      <w:sz w:val="32"/>
      <w:szCs w:val="32"/>
    </w:rPr>
  </w:style>
  <w:style w:type="paragraph" w:styleId="33">
    <w:name w:val="List Paragraph"/>
    <w:basedOn w:val="1"/>
    <w:unhideWhenUsed/>
    <w:qFormat/>
    <w:uiPriority w:val="99"/>
    <w:pPr>
      <w:ind w:firstLine="420" w:firstLineChars="200"/>
    </w:pPr>
  </w:style>
  <w:style w:type="character" w:customStyle="1" w:styleId="34">
    <w:name w:val="标题 1 Char"/>
    <w:basedOn w:val="11"/>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3.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920" b="1" i="0" u="none" strike="noStrike" kern="1200" baseline="0">
                <a:solidFill>
                  <a:schemeClr val="tx1"/>
                </a:solidFill>
                <a:latin typeface="+mn-lt"/>
                <a:ea typeface="+mn-ea"/>
                <a:cs typeface="+mn-cs"/>
              </a:defRPr>
            </a:pPr>
            <a:r>
              <a:rPr sz="1600" b="0">
                <a:latin typeface="方正小标宋简体" panose="03000509000000000000" pitchFamily="4" charset="-122"/>
                <a:ea typeface="方正小标宋简体" panose="03000509000000000000" pitchFamily="4" charset="-122"/>
                <a:cs typeface="方正小标宋简体" panose="03000509000000000000" pitchFamily="4" charset="-122"/>
              </a:rPr>
              <a:t>2021年规模以上工业增加值行业构成（%）</a:t>
            </a:r>
            <a:endParaRPr sz="1920" b="0">
              <a:latin typeface="方正小标宋简体" panose="03000509000000000000" pitchFamily="4" charset="-122"/>
              <a:ea typeface="方正小标宋简体" panose="03000509000000000000" pitchFamily="4" charset="-122"/>
              <a:cs typeface="方正小标宋简体" panose="03000509000000000000" pitchFamily="4" charset="-122"/>
            </a:endParaRPr>
          </a:p>
          <a:p>
            <a:pPr defTabSz="914400">
              <a:defRPr lang="zh-CN" sz="1920" b="1" i="0" u="none" strike="noStrike" kern="1200" baseline="0">
                <a:solidFill>
                  <a:schemeClr val="tx1"/>
                </a:solidFill>
                <a:latin typeface="+mn-lt"/>
                <a:ea typeface="+mn-ea"/>
                <a:cs typeface="+mn-cs"/>
              </a:defRPr>
            </a:pPr>
            <a:r>
              <a:rPr sz="1400" b="0">
                <a:latin typeface="方正小标宋简体" panose="03000509000000000000" pitchFamily="4" charset="-122"/>
                <a:ea typeface="方正小标宋简体" panose="03000509000000000000" pitchFamily="4" charset="-122"/>
                <a:cs typeface="方正小标宋简体" panose="03000509000000000000" pitchFamily="4" charset="-122"/>
              </a:rPr>
              <a:t>（图一）</a:t>
            </a:r>
            <a:endParaRPr sz="1400" b="0">
              <a:latin typeface="方正小标宋简体" panose="03000509000000000000" pitchFamily="4" charset="-122"/>
              <a:ea typeface="方正小标宋简体" panose="03000509000000000000" pitchFamily="4" charset="-122"/>
              <a:cs typeface="方正小标宋简体" panose="03000509000000000000" pitchFamily="4" charset="-122"/>
            </a:endParaRPr>
          </a:p>
        </c:rich>
      </c:tx>
      <c:layout>
        <c:manualLayout>
          <c:xMode val="edge"/>
          <c:yMode val="edge"/>
          <c:x val="0.111927710843373"/>
          <c:y val="0.0228180262407302"/>
        </c:manualLayout>
      </c:layout>
      <c:overlay val="0"/>
    </c:title>
    <c:autoTitleDeleted val="0"/>
    <c:plotArea>
      <c:layout>
        <c:manualLayout>
          <c:layoutTarget val="inner"/>
          <c:xMode val="edge"/>
          <c:yMode val="edge"/>
          <c:x val="0.0831277108433735"/>
          <c:y val="0.232363567218102"/>
          <c:w val="0.454698795180723"/>
          <c:h val="0.717626925270964"/>
        </c:manualLayout>
      </c:layout>
      <c:pieChart>
        <c:varyColors val="1"/>
        <c:ser>
          <c:idx val="0"/>
          <c:order val="0"/>
          <c:tx>
            <c:strRef>
              <c:f>Sheet1!$B$1</c:f>
              <c:strCache>
                <c:ptCount val="1"/>
                <c:pt idx="0">
                  <c:v>2021年规模以上工业增加值行业构成（%）</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Sheet1!$A$2:$A$8</c:f>
              <c:strCache>
                <c:ptCount val="7"/>
                <c:pt idx="0">
                  <c:v>开采专业及辅助性活动</c:v>
                </c:pt>
                <c:pt idx="1">
                  <c:v>石油、煤炭及其他燃料加工业 </c:v>
                </c:pt>
                <c:pt idx="2">
                  <c:v>电力、热力生产和供应业</c:v>
                </c:pt>
                <c:pt idx="3">
                  <c:v>非金属矿物制品业</c:v>
                </c:pt>
                <c:pt idx="4">
                  <c:v>专用设备制造业 </c:v>
                </c:pt>
                <c:pt idx="5">
                  <c:v>电气机械和器材制造业 </c:v>
                </c:pt>
                <c:pt idx="6">
                  <c:v>其他</c:v>
                </c:pt>
              </c:strCache>
            </c:strRef>
          </c:cat>
          <c:val>
            <c:numRef>
              <c:f>Sheet1!$B$2:$B$8</c:f>
              <c:numCache>
                <c:formatCode>0.0%</c:formatCode>
                <c:ptCount val="7"/>
                <c:pt idx="0">
                  <c:v>0.489920097696053</c:v>
                </c:pt>
                <c:pt idx="1">
                  <c:v>0.184776391999186</c:v>
                </c:pt>
                <c:pt idx="2">
                  <c:v>0.08575709880907</c:v>
                </c:pt>
                <c:pt idx="3">
                  <c:v>0.0479902041816702</c:v>
                </c:pt>
                <c:pt idx="4">
                  <c:v>0.0427349510173587</c:v>
                </c:pt>
                <c:pt idx="5">
                  <c:v>0.0314484563705831</c:v>
                </c:pt>
                <c:pt idx="6">
                  <c:v>0.117</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4"/>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5"/>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6"/>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ayout>
        <c:manualLayout>
          <c:xMode val="edge"/>
          <c:yMode val="edge"/>
          <c:x val="0.648433734939759"/>
          <c:y val="0.351017303669899"/>
          <c:w val="0.347951807228916"/>
          <c:h val="0.449134816505039"/>
        </c:manualLayout>
      </c:layout>
      <c:overlay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sz="16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4930149860318"/>
          <c:y val="0.0945986725481322"/>
          <c:w val="0.932506985013956"/>
          <c:h val="0.665956025569807"/>
        </c:manualLayout>
      </c:layout>
      <c:barChart>
        <c:barDir val="col"/>
        <c:grouping val="stacked"/>
        <c:varyColors val="0"/>
        <c:ser>
          <c:idx val="0"/>
          <c:order val="0"/>
          <c:tx>
            <c:strRef>
              <c:f>Sheet1!$B$1</c:f>
              <c:strCache>
                <c:ptCount val="1"/>
                <c:pt idx="0">
                  <c:v>第一产业</c:v>
                </c:pt>
              </c:strCache>
            </c:strRef>
          </c:tx>
          <c:invertIfNegative val="0"/>
          <c:dLbls>
            <c:delete val="1"/>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0.1</c:v>
                </c:pt>
                <c:pt idx="1">
                  <c:v>0</c:v>
                </c:pt>
                <c:pt idx="2">
                  <c:v>0</c:v>
                </c:pt>
                <c:pt idx="3">
                  <c:v>0</c:v>
                </c:pt>
                <c:pt idx="4">
                  <c:v>0</c:v>
                </c:pt>
              </c:numCache>
            </c:numRef>
          </c:val>
        </c:ser>
        <c:ser>
          <c:idx val="1"/>
          <c:order val="1"/>
          <c:tx>
            <c:strRef>
              <c:f>Sheet1!$C$1</c:f>
              <c:strCache>
                <c:ptCount val="1"/>
                <c:pt idx="0">
                  <c:v>第二产业</c:v>
                </c:pt>
              </c:strCache>
            </c:strRef>
          </c:tx>
          <c:spPr>
            <a:solidFill>
              <a:srgbClr val="FFC000"/>
            </a:solidFill>
            <a:effectLst/>
          </c:spPr>
          <c:invertIfNegative val="0"/>
          <c:dLbls>
            <c:numFmt formatCode="#,##0.0_);\(#,##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General</c:formatCode>
                <c:ptCount val="5"/>
                <c:pt idx="0">
                  <c:v>78</c:v>
                </c:pt>
                <c:pt idx="1">
                  <c:v>70.6</c:v>
                </c:pt>
                <c:pt idx="2">
                  <c:v>76.2</c:v>
                </c:pt>
                <c:pt idx="3">
                  <c:v>64.6</c:v>
                </c:pt>
                <c:pt idx="4">
                  <c:v>63.5</c:v>
                </c:pt>
              </c:numCache>
            </c:numRef>
          </c:val>
        </c:ser>
        <c:ser>
          <c:idx val="2"/>
          <c:order val="2"/>
          <c:tx>
            <c:strRef>
              <c:f>Sheet1!$D$1</c:f>
              <c:strCache>
                <c:ptCount val="1"/>
                <c:pt idx="0">
                  <c:v>第三产业</c:v>
                </c:pt>
              </c:strCache>
            </c:strRef>
          </c:tx>
          <c:spPr>
            <a:solidFill>
              <a:schemeClr val="accent5"/>
            </a:solidFill>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Sheet1!$D$2:$D$6</c:f>
              <c:numCache>
                <c:formatCode>General</c:formatCode>
                <c:ptCount val="5"/>
                <c:pt idx="0">
                  <c:v>21.9</c:v>
                </c:pt>
                <c:pt idx="1">
                  <c:v>29.4</c:v>
                </c:pt>
                <c:pt idx="2">
                  <c:v>23.8</c:v>
                </c:pt>
                <c:pt idx="3">
                  <c:v>35.4</c:v>
                </c:pt>
                <c:pt idx="4">
                  <c:v>36.5</c:v>
                </c:pt>
              </c:numCache>
            </c:numRef>
          </c:val>
        </c:ser>
        <c:dLbls>
          <c:showLegendKey val="0"/>
          <c:showVal val="0"/>
          <c:showCatName val="0"/>
          <c:showSerName val="0"/>
          <c:showPercent val="0"/>
          <c:showBubbleSize val="0"/>
        </c:dLbls>
        <c:gapWidth val="150"/>
        <c:overlap val="100"/>
        <c:axId val="224575488"/>
        <c:axId val="224579968"/>
      </c:barChart>
      <c:catAx>
        <c:axId val="224575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224579968"/>
        <c:crossesAt val="0"/>
        <c:auto val="1"/>
        <c:lblAlgn val="ctr"/>
        <c:lblOffset val="100"/>
        <c:noMultiLvlLbl val="0"/>
      </c:catAx>
      <c:valAx>
        <c:axId val="224579968"/>
        <c:scaling>
          <c:orientation val="minMax"/>
          <c:max val="100"/>
          <c:min val="0"/>
        </c:scaling>
        <c:delete val="0"/>
        <c:axPos val="l"/>
        <c:numFmt formatCode="#,##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224575488"/>
        <c:crosses val="autoZero"/>
        <c:crossBetween val="between"/>
        <c:majorUnit val="20"/>
        <c:minorUnit val="20"/>
      </c:valAx>
    </c:plotArea>
    <c:legend>
      <c:legendPos val="b"/>
      <c:legendEntry>
        <c:idx val="0"/>
        <c:delete val="1"/>
      </c:legendEntry>
      <c:layout>
        <c:manualLayout>
          <c:xMode val="edge"/>
          <c:yMode val="edge"/>
          <c:x val="0.246343317959194"/>
          <c:y val="0.899278416749076"/>
          <c:w val="0.494394867308266"/>
          <c:h val="0.0817994262345114"/>
        </c:manualLayout>
      </c:layout>
      <c:overlay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gap"/>
    <c:showDLblsOverMax val="0"/>
  </c:chart>
  <c:spPr>
    <a:noFill/>
    <a:ln w="25400" cap="flat" cmpd="sng" algn="ctr">
      <a:noFill/>
      <a:prstDash val="solid"/>
      <a:round/>
    </a:ln>
    <a:effectLst/>
  </c:spPr>
  <c:txPr>
    <a:bodyPr/>
    <a:lstStyle/>
    <a:p>
      <a:pPr>
        <a:defRPr lang="zh-CN">
          <a:solidFill>
            <a:schemeClr val="dk1"/>
          </a:solidFill>
          <a:latin typeface="+mn-lt"/>
          <a:ea typeface="+mn-ea"/>
          <a:cs typeface="+mn-cs"/>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25887">
          <a:noFill/>
        </a:ln>
      </c:spPr>
      <c:tx>
        <c:rich>
          <a:bodyPr/>
          <a:lstStyle/>
          <a:p>
            <a:pPr>
              <a:defRPr/>
            </a:pPr>
          </a:p>
        </c:rich>
      </c:tx>
    </c:title>
    <c:autoTitleDeleted val="0"/>
    <c:plotArea>
      <c:layout>
        <c:manualLayout>
          <c:layoutTarget val="inner"/>
          <c:xMode val="edge"/>
          <c:yMode val="edge"/>
          <c:x val="0.0752468095352757"/>
          <c:y val="0.178329143897963"/>
          <c:w val="0.830122802793162"/>
          <c:h val="0.639377400444714"/>
        </c:manualLayout>
      </c:layout>
      <c:barChart>
        <c:barDir val="col"/>
        <c:grouping val="clustered"/>
        <c:varyColors val="0"/>
        <c:ser>
          <c:idx val="0"/>
          <c:order val="0"/>
          <c:tx>
            <c:strRef>
              <c:f>Sheet1!$B$1</c:f>
              <c:strCache>
                <c:ptCount val="1"/>
                <c:pt idx="0">
                  <c:v>零售额总量（亿元）</c:v>
                </c:pt>
              </c:strCache>
            </c:strRef>
          </c:tx>
          <c:spPr>
            <a:gradFill>
              <a:gsLst>
                <a:gs pos="0">
                  <a:srgbClr val="FECF40"/>
                </a:gs>
                <a:gs pos="100000">
                  <a:srgbClr val="846C21"/>
                </a:gs>
              </a:gsLst>
              <a:path path="shape">
                <a:fillToRect l="50000" t="50000" r="50000" b="50000"/>
              </a:path>
              <a:tileRect/>
            </a:gradFill>
            <a:ln w="12943">
              <a:noFill/>
            </a:ln>
            <a:effectLst>
              <a:outerShdw blurRad="76200" dir="18900000" sy="23000" kx="-1200000" algn="bl" rotWithShape="0">
                <a:prstClr val="black">
                  <a:alpha val="20000"/>
                </a:prstClr>
              </a:outerShdw>
            </a:effectLst>
            <a:scene3d>
              <a:camera prst="orthographicFront"/>
              <a:lightRig rig="threePt" dir="t"/>
            </a:scene3d>
            <a:sp3d prstMaterial="matte">
              <a:contourClr>
                <a:srgbClr val="000000"/>
              </a:contourClr>
            </a:sp3d>
          </c:spPr>
          <c:invertIfNegative val="0"/>
          <c:dLbls>
            <c:dLbl>
              <c:idx val="0"/>
              <c:layout>
                <c:manualLayout>
                  <c:x val="0"/>
                  <c:y val="0.001130844697599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42836503732242"/>
                  <c:y val="0.1927925397749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07861675727435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0789790512882"/>
                  <c:y val="-0.01125936235003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03013853944877"/>
                  <c:y val="0.01648334013844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887">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191.1</c:v>
                </c:pt>
                <c:pt idx="1">
                  <c:v>204.1</c:v>
                </c:pt>
                <c:pt idx="2">
                  <c:v>216.6</c:v>
                </c:pt>
                <c:pt idx="3" c:formatCode="0.0_ ;[Red]\-0.0\ ">
                  <c:v>190.9</c:v>
                </c:pt>
                <c:pt idx="4" c:formatCode="0.0_ ;[Red]\-0.0\ ">
                  <c:v>208.5</c:v>
                </c:pt>
              </c:numCache>
            </c:numRef>
          </c:val>
        </c:ser>
        <c:dLbls>
          <c:showLegendKey val="0"/>
          <c:showVal val="1"/>
          <c:showCatName val="0"/>
          <c:showSerName val="0"/>
          <c:showPercent val="0"/>
          <c:showBubbleSize val="0"/>
        </c:dLbls>
        <c:gapWidth val="150"/>
        <c:axId val="132656128"/>
        <c:axId val="132678400"/>
      </c:barChart>
      <c:lineChart>
        <c:grouping val="standard"/>
        <c:varyColors val="0"/>
        <c:ser>
          <c:idx val="1"/>
          <c:order val="1"/>
          <c:tx>
            <c:strRef>
              <c:f>Sheet1!#REF!</c:f>
              <c:strCache>
                <c:ptCount val="1"/>
                <c:pt idx="0">
                  <c:v/>
                </c:pt>
              </c:strCache>
            </c:strRef>
          </c:tx>
          <c:spPr>
            <a:ln w="29122" cap="rnd" cmpd="sng" algn="ctr">
              <a:noFill/>
              <a:prstDash val="solid"/>
              <a:round/>
            </a:ln>
          </c:spPr>
          <c:marker>
            <c:symbol val="none"/>
          </c:marker>
          <c:dLbls>
            <c:delete val="1"/>
          </c:dLbls>
          <c:cat>
            <c:strRef>
              <c:f>Sheet1!$A$2:$A$6</c:f>
              <c:strCache>
                <c:ptCount val="5"/>
                <c:pt idx="0">
                  <c:v>2017年</c:v>
                </c:pt>
                <c:pt idx="1">
                  <c:v>2018年</c:v>
                </c:pt>
                <c:pt idx="2">
                  <c:v>2019年</c:v>
                </c:pt>
                <c:pt idx="3">
                  <c:v>2020年</c:v>
                </c:pt>
                <c:pt idx="4">
                  <c:v>2021年</c:v>
                </c:pt>
              </c:strCache>
            </c:strRef>
          </c:cat>
          <c:val>
            <c:numRef>
              <c:f>Sheet1!#REF!</c:f>
              <c:numCache>
                <c:formatCode>General</c:formatCode>
                <c:ptCount val="1"/>
                <c:pt idx="0">
                  <c:v>1</c:v>
                </c:pt>
              </c:numCache>
            </c:numRef>
          </c:val>
          <c:smooth val="0"/>
        </c:ser>
        <c:ser>
          <c:idx val="2"/>
          <c:order val="2"/>
          <c:tx>
            <c:strRef>
              <c:f>Sheet1!#REF!</c:f>
              <c:strCache>
                <c:ptCount val="1"/>
                <c:pt idx="0">
                  <c:v/>
                </c:pt>
              </c:strCache>
            </c:strRef>
          </c:tx>
          <c:spPr>
            <a:ln w="29122" cap="rnd" cmpd="sng" algn="ctr">
              <a:noFill/>
              <a:prstDash val="solid"/>
              <a:round/>
            </a:ln>
          </c:spPr>
          <c:marker>
            <c:symbol val="none"/>
          </c:marker>
          <c:dLbls>
            <c:delete val="1"/>
          </c:dLbls>
          <c:cat>
            <c:strRef>
              <c:f>Sheet1!$A$2:$A$6</c:f>
              <c:strCache>
                <c:ptCount val="5"/>
                <c:pt idx="0">
                  <c:v>2017年</c:v>
                </c:pt>
                <c:pt idx="1">
                  <c:v>2018年</c:v>
                </c:pt>
                <c:pt idx="2">
                  <c:v>2019年</c:v>
                </c:pt>
                <c:pt idx="3">
                  <c:v>2020年</c:v>
                </c:pt>
                <c:pt idx="4">
                  <c:v>2021年</c:v>
                </c:pt>
              </c:strCache>
            </c:strRef>
          </c:cat>
          <c:val>
            <c:numRef>
              <c:f>Sheet1!#REF!</c:f>
              <c:numCache>
                <c:formatCode>General</c:formatCode>
                <c:ptCount val="1"/>
                <c:pt idx="0">
                  <c:v>1</c:v>
                </c:pt>
              </c:numCache>
            </c:numRef>
          </c:val>
          <c:smooth val="0"/>
        </c:ser>
        <c:ser>
          <c:idx val="3"/>
          <c:order val="3"/>
          <c:tx>
            <c:strRef>
              <c:f>Sheet1!#REF!</c:f>
              <c:strCache>
                <c:ptCount val="1"/>
                <c:pt idx="0">
                  <c:v/>
                </c:pt>
              </c:strCache>
            </c:strRef>
          </c:tx>
          <c:spPr>
            <a:ln w="29122" cap="rnd" cmpd="sng" algn="ctr">
              <a:noFill/>
              <a:prstDash val="solid"/>
              <a:round/>
            </a:ln>
          </c:spPr>
          <c:marker>
            <c:symbol val="none"/>
          </c:marker>
          <c:dLbls>
            <c:delete val="1"/>
          </c:dLbls>
          <c:cat>
            <c:strRef>
              <c:f>Sheet1!$A$2:$A$6</c:f>
              <c:strCache>
                <c:ptCount val="5"/>
                <c:pt idx="0">
                  <c:v>2017年</c:v>
                </c:pt>
                <c:pt idx="1">
                  <c:v>2018年</c:v>
                </c:pt>
                <c:pt idx="2">
                  <c:v>2019年</c:v>
                </c:pt>
                <c:pt idx="3">
                  <c:v>2020年</c:v>
                </c:pt>
                <c:pt idx="4">
                  <c:v>2021年</c:v>
                </c:pt>
              </c:strCache>
            </c:strRef>
          </c:cat>
          <c:val>
            <c:numRef>
              <c:f>Sheet1!#REF!</c:f>
              <c:numCache>
                <c:formatCode>General</c:formatCode>
                <c:ptCount val="1"/>
                <c:pt idx="0">
                  <c:v>1</c:v>
                </c:pt>
              </c:numCache>
            </c:numRef>
          </c:val>
          <c:smooth val="0"/>
        </c:ser>
        <c:ser>
          <c:idx val="4"/>
          <c:order val="4"/>
          <c:tx>
            <c:strRef>
              <c:f>Sheet1!$C$1</c:f>
              <c:strCache>
                <c:ptCount val="1"/>
                <c:pt idx="0">
                  <c:v>增速(%)</c:v>
                </c:pt>
              </c:strCache>
            </c:strRef>
          </c:tx>
          <c:spPr>
            <a:ln w="19414" cap="rnd" cmpd="sng" algn="ctr">
              <a:solidFill>
                <a:schemeClr val="tx1"/>
              </a:solidFill>
              <a:prstDash val="solid"/>
              <a:round/>
            </a:ln>
          </c:spPr>
          <c:marker>
            <c:symbol val="circle"/>
            <c:size val="5"/>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1"/>
                <a:tileRect/>
              </a:gra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dPt>
            <c:idx val="1"/>
            <c:marker>
              <c:symbol val="circle"/>
              <c:size val="5"/>
              <c:spPr>
                <a:solidFill>
                  <a:schemeClr val="accent1">
                    <a:lumMod val="75000"/>
                  </a:schemeClr>
                </a:soli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bubble3D val="0"/>
          </c:dPt>
          <c:dPt>
            <c:idx val="2"/>
            <c:marker>
              <c:symbol val="circle"/>
              <c:size val="5"/>
              <c:spPr>
                <a:solidFill>
                  <a:srgbClr val="0070C0"/>
                </a:solidFill>
                <a:ln w="0" cap="flat" cmpd="sng" algn="ctr">
                  <a:gradFill>
                    <a:gsLst>
                      <a:gs pos="0">
                        <a:srgbClr val="000000"/>
                      </a:gs>
                      <a:gs pos="39999">
                        <a:srgbClr val="0A128C"/>
                      </a:gs>
                      <a:gs pos="70000">
                        <a:srgbClr val="181CC7"/>
                      </a:gs>
                      <a:gs pos="88000">
                        <a:srgbClr val="7005D4"/>
                      </a:gs>
                      <a:gs pos="100000">
                        <a:srgbClr val="8C3D91"/>
                      </a:gs>
                    </a:gsLst>
                    <a:lin ang="5400000" scaled="0"/>
                  </a:gradFill>
                  <a:prstDash val="solid"/>
                  <a:round/>
                </a:ln>
              </c:spPr>
            </c:marker>
            <c:bubble3D val="0"/>
          </c:dPt>
          <c:dLbls>
            <c:dLbl>
              <c:idx val="0"/>
              <c:layout>
                <c:manualLayout>
                  <c:x val="-0.0385263664820612"/>
                  <c:y val="-0.0577915376676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70816277389839"/>
                  <c:y val="-0.075059770794859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8724553543496"/>
                  <c:y val="-0.050962256099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5427439797812"/>
                  <c:y val="-0.07414730597329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1639645754611"/>
                  <c:y val="-0.05941773901869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solidFill>
                <a:schemeClr val="accent1">
                  <a:lumMod val="60000"/>
                  <a:lumOff val="40000"/>
                </a:schemeClr>
              </a:solidFill>
              <a:ln w="12943">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0.0_ ;[Red]\-0.0\ </c:formatCode>
                <c:ptCount val="5"/>
                <c:pt idx="0">
                  <c:v>5.4</c:v>
                </c:pt>
                <c:pt idx="1">
                  <c:v>7.5</c:v>
                </c:pt>
                <c:pt idx="2">
                  <c:v>6.1</c:v>
                </c:pt>
                <c:pt idx="3">
                  <c:v>0.2</c:v>
                </c:pt>
                <c:pt idx="4">
                  <c:v>9.3</c:v>
                </c:pt>
              </c:numCache>
            </c:numRef>
          </c:val>
          <c:smooth val="0"/>
        </c:ser>
        <c:dLbls>
          <c:showLegendKey val="0"/>
          <c:showVal val="0"/>
          <c:showCatName val="0"/>
          <c:showSerName val="0"/>
          <c:showPercent val="0"/>
          <c:showBubbleSize val="0"/>
        </c:dLbls>
        <c:hiLowLines>
          <c:spPr>
            <a:ln w="9525" cap="flat" cmpd="sng" algn="ctr">
              <a:noFill/>
              <a:prstDash val="solid"/>
              <a:round/>
            </a:ln>
          </c:spPr>
        </c:hiLowLines>
        <c:marker val="1"/>
        <c:smooth val="0"/>
        <c:axId val="132679936"/>
        <c:axId val="132694016"/>
      </c:lineChart>
      <c:catAx>
        <c:axId val="132656128"/>
        <c:scaling>
          <c:orientation val="minMax"/>
        </c:scaling>
        <c:delete val="0"/>
        <c:axPos val="b"/>
        <c:numFmt formatCode="m\/d\/yyyy"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78400"/>
        <c:crosses val="autoZero"/>
        <c:auto val="1"/>
        <c:lblAlgn val="ctr"/>
        <c:lblOffset val="100"/>
        <c:noMultiLvlLbl val="0"/>
      </c:catAx>
      <c:valAx>
        <c:axId val="132678400"/>
        <c:scaling>
          <c:orientation val="minMax"/>
        </c:scaling>
        <c:delete val="0"/>
        <c:axPos val="l"/>
        <c:majorGridlines>
          <c:spPr>
            <a:ln w="0" cap="flat" cmpd="sng" algn="ctr">
              <a:solidFill>
                <a:schemeClr val="bg1">
                  <a:lumMod val="85000"/>
                </a:schemeClr>
              </a:solidFill>
              <a:prstDash val="solid"/>
              <a:round/>
            </a:ln>
            <a:effectLst/>
          </c:spPr>
        </c:majorGridlines>
        <c:numFmt formatCode="General" sourceLinked="1"/>
        <c:majorTickMark val="out"/>
        <c:minorTickMark val="none"/>
        <c:tickLblPos val="nextTo"/>
        <c:spPr>
          <a:noFill/>
          <a:ln w="9525" cap="flat" cmpd="sng" algn="ctr">
            <a:solidFill>
              <a:schemeClr val="dk1">
                <a:shade val="95000"/>
                <a:satMod val="105000"/>
              </a:schemeClr>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6128"/>
        <c:crosses val="autoZero"/>
        <c:crossBetween val="between"/>
      </c:valAx>
      <c:catAx>
        <c:axId val="132679936"/>
        <c:scaling>
          <c:orientation val="minMax"/>
        </c:scaling>
        <c:delete val="1"/>
        <c:axPos val="b"/>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94016"/>
        <c:crosses val="autoZero"/>
        <c:auto val="1"/>
        <c:lblAlgn val="ctr"/>
        <c:lblOffset val="100"/>
        <c:noMultiLvlLbl val="0"/>
      </c:catAx>
      <c:valAx>
        <c:axId val="132694016"/>
        <c:scaling>
          <c:orientation val="minMax"/>
        </c:scaling>
        <c:delete val="0"/>
        <c:axPos val="r"/>
        <c:numFmt formatCode="0.0_);\(0.0\)" sourceLinked="0"/>
        <c:majorTickMark val="out"/>
        <c:minorTickMark val="none"/>
        <c:tickLblPos val="nextTo"/>
        <c:spPr>
          <a:noFill/>
          <a:ln w="12943"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79936"/>
        <c:crosses val="max"/>
        <c:crossBetween val="between"/>
      </c:valAx>
      <c:spPr>
        <a:noFill/>
        <a:ln>
          <a:noFill/>
        </a:ln>
      </c:spPr>
    </c:plotArea>
    <c:legend>
      <c:legendPos val="r"/>
      <c:legendEntry>
        <c:idx val="1"/>
        <c:delete val="1"/>
      </c:legendEntry>
      <c:legendEntry>
        <c:idx val="2"/>
        <c:delete val="1"/>
      </c:legendEntry>
      <c:legendEntry>
        <c:idx val="3"/>
        <c:delete val="1"/>
      </c:legendEntry>
      <c:layout>
        <c:manualLayout>
          <c:xMode val="edge"/>
          <c:yMode val="edge"/>
          <c:x val="0.258563095465124"/>
          <c:y val="0.916769309156529"/>
          <c:w val="0.477272773832135"/>
          <c:h val="0.070380914055835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8457745671368"/>
          <c:y val="0.176199709161415"/>
          <c:w val="0.922531819745442"/>
          <c:h val="0.652544837615124"/>
        </c:manualLayout>
      </c:layout>
      <c:barChart>
        <c:barDir val="col"/>
        <c:grouping val="clustered"/>
        <c:varyColors val="0"/>
        <c:ser>
          <c:idx val="1"/>
          <c:order val="0"/>
          <c:tx>
            <c:strRef>
              <c:f>Sheet1!$C$1</c:f>
              <c:strCache>
                <c:ptCount val="1"/>
                <c:pt idx="0">
                  <c:v>一般公共预算收入</c:v>
                </c:pt>
              </c:strCache>
            </c:strRef>
          </c:tx>
          <c:spPr>
            <a:solidFill>
              <a:schemeClr val="accent2">
                <a:alpha val="70000"/>
              </a:schemeClr>
            </a:solidFill>
            <a:ln>
              <a:noFill/>
            </a:ln>
            <a:effectLst/>
          </c:spPr>
          <c:invertIfNegative val="0"/>
          <c:dLbls>
            <c:dLbl>
              <c:idx val="3"/>
              <c:layout>
                <c:manualLayout>
                  <c:x val="0.000402775489280693"/>
                  <c:y val="-0.004645516023518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General</c:formatCode>
                <c:ptCount val="5"/>
                <c:pt idx="0">
                  <c:v>18.9</c:v>
                </c:pt>
                <c:pt idx="1">
                  <c:v>18.2</c:v>
                </c:pt>
                <c:pt idx="2">
                  <c:v>20.4</c:v>
                </c:pt>
                <c:pt idx="3">
                  <c:v>19.9</c:v>
                </c:pt>
                <c:pt idx="4">
                  <c:v>19.3</c:v>
                </c:pt>
              </c:numCache>
            </c:numRef>
          </c:val>
        </c:ser>
        <c:ser>
          <c:idx val="2"/>
          <c:order val="1"/>
          <c:tx>
            <c:strRef>
              <c:f>Sheet1!$D$1</c:f>
              <c:strCache>
                <c:ptCount val="1"/>
                <c:pt idx="0">
                  <c:v>一般公共预算支出</c:v>
                </c:pt>
              </c:strCache>
            </c:strRef>
          </c:tx>
          <c:spPr>
            <a:solidFill>
              <a:schemeClr val="accent3">
                <a:alpha val="70000"/>
              </a:schemeClr>
            </a:solidFill>
            <a:ln>
              <a:noFill/>
            </a:ln>
            <a:effectLst/>
          </c:spPr>
          <c:invertIfNegative val="0"/>
          <c:dLbls>
            <c:dLbl>
              <c:idx val="3"/>
              <c:layout>
                <c:manualLayout>
                  <c:x val="0.01410934744268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Sheet1!$A$2:$A$6</c:f>
              <c:strCache>
                <c:ptCount val="5"/>
                <c:pt idx="0">
                  <c:v>2017年</c:v>
                </c:pt>
                <c:pt idx="1">
                  <c:v>2018年</c:v>
                </c:pt>
                <c:pt idx="2">
                  <c:v>2019年</c:v>
                </c:pt>
                <c:pt idx="3">
                  <c:v>2020年</c:v>
                </c:pt>
                <c:pt idx="4">
                  <c:v>2021年</c:v>
                </c:pt>
              </c:strCache>
            </c:strRef>
          </c:cat>
          <c:val>
            <c:numRef>
              <c:f>Sheet1!$D$2:$D$6</c:f>
              <c:numCache>
                <c:formatCode>General</c:formatCode>
                <c:ptCount val="5"/>
                <c:pt idx="0">
                  <c:v>22.5</c:v>
                </c:pt>
                <c:pt idx="1">
                  <c:v>22.9</c:v>
                </c:pt>
                <c:pt idx="2">
                  <c:v>22.3</c:v>
                </c:pt>
                <c:pt idx="3">
                  <c:v>22.4</c:v>
                </c:pt>
                <c:pt idx="4" c:formatCode="0.0_ ">
                  <c:v>20</c:v>
                </c:pt>
              </c:numCache>
            </c:numRef>
          </c:val>
        </c:ser>
        <c:dLbls>
          <c:showLegendKey val="0"/>
          <c:showVal val="1"/>
          <c:showCatName val="0"/>
          <c:showSerName val="0"/>
          <c:showPercent val="0"/>
          <c:showBubbleSize val="0"/>
        </c:dLbls>
        <c:gapWidth val="80"/>
        <c:overlap val="25"/>
        <c:axId val="167284096"/>
        <c:axId val="131867776"/>
      </c:barChart>
      <c:catAx>
        <c:axId val="167284096"/>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131867776"/>
        <c:crosses val="autoZero"/>
        <c:auto val="1"/>
        <c:lblAlgn val="ctr"/>
        <c:lblOffset val="100"/>
        <c:noMultiLvlLbl val="0"/>
      </c:catAx>
      <c:valAx>
        <c:axId val="1318677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167284096"/>
        <c:crosses val="autoZero"/>
        <c:crossBetween val="between"/>
      </c:valAx>
      <c:spPr>
        <a:noFill/>
        <a:ln>
          <a:noFill/>
        </a:ln>
        <a:effectLst/>
      </c:spPr>
    </c:plotArea>
    <c:legend>
      <c:legendPos val="b"/>
      <c:layout>
        <c:manualLayout>
          <c:xMode val="edge"/>
          <c:yMode val="edge"/>
          <c:x val="0.302602912510033"/>
          <c:y val="0.9120213281628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0.01184</cdr:x>
      <cdr:y>0.06382</cdr:y>
    </cdr:from>
    <cdr:to>
      <cdr:x>0.11024</cdr:x>
      <cdr:y>0.08229</cdr:y>
    </cdr:to>
    <cdr:sp>
      <cdr:nvSpPr>
        <cdr:cNvPr id="2" name="矩形 1"/>
        <cdr:cNvSpPr/>
      </cdr:nvSpPr>
      <cdr:spPr xmlns:a="http://schemas.openxmlformats.org/drawingml/2006/main">
        <a:xfrm xmlns:a="http://schemas.openxmlformats.org/drawingml/2006/main">
          <a:off x="57150" y="180975"/>
          <a:ext cx="495300" cy="51441"/>
        </a:xfrm>
        <a:prstGeom xmlns:a="http://schemas.openxmlformats.org/drawingml/2006/main" prst="rect">
          <a:avLst/>
        </a:prstGeom>
        <a:noFill/>
        <a:ln w="25400" cap="flat" cmpd="sng" algn="ctr">
          <a:solidFill>
            <a:sysClr val="window" lastClr="FFFFFF"/>
          </a:solidFill>
          <a:prstDash val="solid"/>
        </a:ln>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horz" wrap="none" lIns="45720" tIns="45720" rIns="45720" bIns="45720" anchor="t" anchorCtr="0">
          <a:normAutofit/>
        </a:bodyPr>
        <a:lstStyle>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a:r>
            <a:rPr lang="zh-CN" altLang="en-US" sz="1000" b="1">
              <a:solidFill>
                <a:sysClr val="windowText" lastClr="000000"/>
              </a:solidFill>
            </a:rPr>
            <a:t>亿元</a:t>
          </a:r>
          <a:endParaRPr lang="zh-CN" sz="1000" b="1">
            <a:solidFill>
              <a:sysClr val="windowText" lastClr="000000"/>
            </a:solidFill>
          </a:endParaRPr>
        </a:p>
      </cdr:txBody>
    </cdr:sp>
  </cdr:relSizeAnchor>
  <cdr:relSizeAnchor xmlns:cdr="http://schemas.openxmlformats.org/drawingml/2006/chartDrawing">
    <cdr:from>
      <cdr:x>0.85867</cdr:x>
      <cdr:y>0.05044</cdr:y>
    </cdr:from>
    <cdr:to>
      <cdr:x>0.98972</cdr:x>
      <cdr:y>0.09034</cdr:y>
    </cdr:to>
    <cdr:sp>
      <cdr:nvSpPr>
        <cdr:cNvPr id="3" name="矩形 2"/>
        <cdr:cNvSpPr/>
      </cdr:nvSpPr>
      <cdr:spPr xmlns:a="http://schemas.openxmlformats.org/drawingml/2006/main">
        <a:xfrm xmlns:a="http://schemas.openxmlformats.org/drawingml/2006/main">
          <a:off x="4578984" y="142875"/>
          <a:ext cx="647701" cy="114300"/>
        </a:xfrm>
        <a:prstGeom xmlns:a="http://schemas.openxmlformats.org/drawingml/2006/main" prst="rect">
          <a:avLst/>
        </a:prstGeom>
        <a:noFill/>
        <a:ln w="25400" cap="flat" cmpd="sng" algn="ctr">
          <a:solidFill>
            <a:sysClr val="window" lastClr="FFFFFF"/>
          </a:solidFill>
          <a:prstDash val="solid"/>
        </a:ln>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horz" wrap="none" lIns="45720" tIns="45720" rIns="45720" bIns="45720" anchor="t" anchorCtr="0">
          <a:normAutofit/>
        </a:bodyPr>
        <a:lstStyle>
          <a:lvl1pPr marL="0" indent="0">
            <a:defRPr sz="1100">
              <a:solidFill>
                <a:sysClr val="window" lastClr="FFFFFF"/>
              </a:solidFill>
              <a:latin typeface="Calibri" panose="020F0502020204030204"/>
            </a:defRPr>
          </a:lvl1pPr>
          <a:lvl2pPr marL="457200" indent="0">
            <a:defRPr sz="1100">
              <a:solidFill>
                <a:sysClr val="window" lastClr="FFFFFF"/>
              </a:solidFill>
              <a:latin typeface="Calibri" panose="020F0502020204030204"/>
            </a:defRPr>
          </a:lvl2pPr>
          <a:lvl3pPr marL="914400" indent="0">
            <a:defRPr sz="1100">
              <a:solidFill>
                <a:sysClr val="window" lastClr="FFFFFF"/>
              </a:solidFill>
              <a:latin typeface="Calibri" panose="020F0502020204030204"/>
            </a:defRPr>
          </a:lvl3pPr>
          <a:lvl4pPr marL="1371600" indent="0">
            <a:defRPr sz="1100">
              <a:solidFill>
                <a:sysClr val="window" lastClr="FFFFFF"/>
              </a:solidFill>
              <a:latin typeface="Calibri" panose="020F0502020204030204"/>
            </a:defRPr>
          </a:lvl4pPr>
          <a:lvl5pPr marL="1828800" indent="0">
            <a:defRPr sz="1100">
              <a:solidFill>
                <a:sysClr val="window" lastClr="FFFFFF"/>
              </a:solidFill>
              <a:latin typeface="Calibri" panose="020F0502020204030204"/>
            </a:defRPr>
          </a:lvl5pPr>
          <a:lvl6pPr marL="2286000" indent="0">
            <a:defRPr sz="1100">
              <a:solidFill>
                <a:sysClr val="window" lastClr="FFFFFF"/>
              </a:solidFill>
              <a:latin typeface="Calibri" panose="020F0502020204030204"/>
            </a:defRPr>
          </a:lvl6pPr>
          <a:lvl7pPr marL="2743200" indent="0">
            <a:defRPr sz="1100">
              <a:solidFill>
                <a:sysClr val="window" lastClr="FFFFFF"/>
              </a:solidFill>
              <a:latin typeface="Calibri" panose="020F0502020204030204"/>
            </a:defRPr>
          </a:lvl7pPr>
          <a:lvl8pPr marL="3200400" indent="0">
            <a:defRPr sz="1100">
              <a:solidFill>
                <a:sysClr val="window" lastClr="FFFFFF"/>
              </a:solidFill>
              <a:latin typeface="Calibri" panose="020F0502020204030204"/>
            </a:defRPr>
          </a:lvl8pPr>
          <a:lvl9pPr marL="3657600" indent="0">
            <a:defRPr sz="1100">
              <a:solidFill>
                <a:sysClr val="window" lastClr="FFFFFF"/>
              </a:solidFill>
              <a:latin typeface="Calibri" panose="020F0502020204030204"/>
            </a:defRPr>
          </a:lvl9pPr>
        </a:lstStyle>
        <a:p>
          <a:r>
            <a:rPr lang="zh-CN" altLang="en-US" sz="1000" b="1">
              <a:solidFill>
                <a:sysClr val="windowText" lastClr="000000"/>
              </a:solidFill>
            </a:rPr>
            <a:t>增速</a:t>
          </a:r>
          <a:r>
            <a:rPr lang="en-US" altLang="zh-CN" sz="1000" b="1">
              <a:solidFill>
                <a:sysClr val="windowText" lastClr="000000"/>
              </a:solidFill>
            </a:rPr>
            <a:t>%</a:t>
          </a:r>
          <a:endParaRPr lang="zh-CN" sz="10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0.80606</cdr:x>
      <cdr:y>0</cdr:y>
    </cdr:from>
    <cdr:to>
      <cdr:x>1</cdr:x>
      <cdr:y>0.08273</cdr:y>
    </cdr:to>
    <cdr:sp>
      <cdr:nvSpPr>
        <cdr:cNvPr id="2" name="矩形 1"/>
        <cdr:cNvSpPr/>
      </cdr:nvSpPr>
      <cdr:spPr xmlns:a="http://schemas.openxmlformats.org/drawingml/2006/main">
        <a:xfrm xmlns:a="http://schemas.openxmlformats.org/drawingml/2006/main">
          <a:off x="3800475" y="0"/>
          <a:ext cx="914400" cy="3238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sz="1100"/>
        </a:p>
      </cdr:txBody>
    </cdr:sp>
  </cdr:relSizeAnchor>
  <cdr:relSizeAnchor xmlns:cdr="http://schemas.openxmlformats.org/drawingml/2006/chartDrawing">
    <cdr:from>
      <cdr:x>0.02781</cdr:x>
      <cdr:y>0.03163</cdr:y>
    </cdr:from>
    <cdr:to>
      <cdr:x>0.09899</cdr:x>
      <cdr:y>0.12737</cdr:y>
    </cdr:to>
    <cdr:sp>
      <cdr:nvSpPr>
        <cdr:cNvPr id="3" name="矩形 2"/>
        <cdr:cNvSpPr/>
      </cdr:nvSpPr>
      <cdr:spPr xmlns:a="http://schemas.openxmlformats.org/drawingml/2006/main">
        <a:xfrm xmlns:a="http://schemas.openxmlformats.org/drawingml/2006/main" rot="16200000" flipH="1" flipV="1">
          <a:off x="131109" y="123826"/>
          <a:ext cx="335616" cy="374788"/>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sz="1100"/>
        </a:p>
      </cdr:txBody>
    </cdr:sp>
  </cdr:relSizeAnchor>
  <cdr:relSizeAnchor xmlns:cdr="http://schemas.openxmlformats.org/drawingml/2006/chartDrawing">
    <cdr:from>
      <cdr:x>0.87071</cdr:x>
      <cdr:y>0</cdr:y>
    </cdr:from>
    <cdr:to>
      <cdr:x>1</cdr:x>
      <cdr:y>0.07056</cdr:y>
    </cdr:to>
    <cdr:sp>
      <cdr:nvSpPr>
        <cdr:cNvPr id="4" name="矩形 3"/>
        <cdr:cNvSpPr/>
      </cdr:nvSpPr>
      <cdr:spPr xmlns:a="http://schemas.openxmlformats.org/drawingml/2006/main">
        <a:xfrm xmlns:a="http://schemas.openxmlformats.org/drawingml/2006/main">
          <a:off x="4105275" y="0"/>
          <a:ext cx="609600" cy="27622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zh-CN" altLang="en-US" sz="1000" b="1"/>
            <a:t>单位</a:t>
          </a:r>
          <a:r>
            <a:rPr lang="en-US" altLang="zh-CN" sz="1000" b="1"/>
            <a:t>%</a:t>
          </a:r>
          <a:endParaRPr lang="zh-CN" altLang="en-US" sz="1000" b="1"/>
        </a:p>
      </cdr:txBody>
    </cdr:sp>
  </cdr:relSizeAnchor>
</c:userShapes>
</file>

<file path=word/drawings/drawing3.xml><?xml version="1.0" encoding="utf-8"?>
<c:userShapes xmlns:c="http://schemas.openxmlformats.org/drawingml/2006/chart">
  <cdr:relSizeAnchor xmlns:cdr="http://schemas.openxmlformats.org/drawingml/2006/chartDrawing">
    <cdr:from>
      <cdr:x>0.07439</cdr:x>
      <cdr:y>0</cdr:y>
    </cdr:from>
    <cdr:to>
      <cdr:x>0.15514</cdr:x>
      <cdr:y>0.06516</cdr:y>
    </cdr:to>
    <cdr:sp>
      <cdr:nvSpPr>
        <cdr:cNvPr id="2" name="矩形 1"/>
        <cdr:cNvSpPr/>
      </cdr:nvSpPr>
      <cdr:spPr xmlns:a="http://schemas.openxmlformats.org/drawingml/2006/main">
        <a:xfrm xmlns:a="http://schemas.openxmlformats.org/drawingml/2006/main">
          <a:off x="409574" y="0"/>
          <a:ext cx="444541" cy="28053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亿元</a:t>
          </a:r>
          <a:endParaRPr lang="zh-CN" altLang="en-US" sz="1100" b="1"/>
        </a:p>
      </cdr:txBody>
    </cdr:sp>
  </cdr:relSizeAnchor>
  <cdr:relSizeAnchor xmlns:cdr="http://schemas.openxmlformats.org/drawingml/2006/chartDrawing">
    <cdr:from>
      <cdr:x>0.00843</cdr:x>
      <cdr:y>0</cdr:y>
    </cdr:from>
    <cdr:to>
      <cdr:x>0.17032</cdr:x>
      <cdr:y>0.13784</cdr:y>
    </cdr:to>
    <cdr:sp>
      <cdr:nvSpPr>
        <cdr:cNvPr id="3" name="矩形 2"/>
        <cdr:cNvSpPr/>
      </cdr:nvSpPr>
      <cdr:spPr xmlns:a="http://schemas.openxmlformats.org/drawingml/2006/main">
        <a:xfrm xmlns:a="http://schemas.openxmlformats.org/drawingml/2006/main">
          <a:off x="47625" y="0"/>
          <a:ext cx="914400" cy="5238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dr:relSizeAnchor xmlns:cdr="http://schemas.openxmlformats.org/drawingml/2006/chartDrawing">
    <cdr:from>
      <cdr:x>0.10287</cdr:x>
      <cdr:y>0.13283</cdr:y>
    </cdr:from>
    <cdr:to>
      <cdr:x>0.26476</cdr:x>
      <cdr:y>0.37343</cdr:y>
    </cdr:to>
    <cdr:sp>
      <cdr:nvSpPr>
        <cdr:cNvPr id="4" name="矩形 3"/>
        <cdr:cNvSpPr/>
      </cdr:nvSpPr>
      <cdr:spPr xmlns:a="http://schemas.openxmlformats.org/drawingml/2006/main">
        <a:xfrm xmlns:a="http://schemas.openxmlformats.org/drawingml/2006/main">
          <a:off x="581025" y="5048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dr:relSizeAnchor xmlns:cdr="http://schemas.openxmlformats.org/drawingml/2006/chartDrawing">
    <cdr:from>
      <cdr:x>0.83811</cdr:x>
      <cdr:y>0.01754</cdr:y>
    </cdr:from>
    <cdr:to>
      <cdr:x>1</cdr:x>
      <cdr:y>0.25815</cdr:y>
    </cdr:to>
    <cdr:sp>
      <cdr:nvSpPr>
        <cdr:cNvPr id="5" name="矩形 4"/>
        <cdr:cNvSpPr/>
      </cdr:nvSpPr>
      <cdr:spPr xmlns:a="http://schemas.openxmlformats.org/drawingml/2006/main">
        <a:xfrm xmlns:a="http://schemas.openxmlformats.org/drawingml/2006/main">
          <a:off x="5181600" y="6667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zh-CN" altLang="en-US"/>
        </a:p>
      </cdr:txBody>
    </cdr:sp>
  </cdr:relSizeAnchor>
</c:userShape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BEDB8-B6CF-4003-A7AA-BBE3A50A53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750</Words>
  <Characters>4276</Characters>
  <Lines>35</Lines>
  <Paragraphs>10</Paragraphs>
  <TotalTime>20</TotalTime>
  <ScaleCrop>false</ScaleCrop>
  <LinksUpToDate>false</LinksUpToDate>
  <CharactersWithSpaces>5016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2019-04-17T06:46:00Z</dcterms:created>
  <dc:creator>john</dc:creator>
  <cp:lastModifiedBy>圆</cp:lastModifiedBy>
  <cp:lastPrinted>2019-04-18T00:06:00Z</cp:lastPrinted>
  <dcterms:modified xsi:type="dcterms:W3CDTF">2022-03-22T08:20:39Z</dcterms:modified>
  <dc:title>根据年快报初步统计，现将2011年全区国民经济和社会发展情况公报如下：</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D395749EA5E544C481420B8FD5AD1DBD</vt:lpwstr>
  </property>
</Properties>
</file>