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42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val="en-US" w:eastAsia="zh-CN"/>
        </w:rPr>
        <w:t>2021年盘锦市本级预算调整方案（草案）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jc w:val="left"/>
        <w:textAlignment w:val="baseline"/>
        <w:outlineLvl w:val="9"/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5"/>
        <w:jc w:val="both"/>
        <w:textAlignment w:val="baseline"/>
        <w:outlineLvl w:val="9"/>
        <w:rPr>
          <w:rFonts w:hint="eastAsia" w:ascii="方正小标宋_GBK" w:hAnsi="方正小标宋_GBK" w:eastAsia="仿宋_GB2312" w:cs="方正小标宋_GBK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根据《预算法》和财政部《关于对地方政府债务实行限额管理的实施意见》（财预〔2015〕225 号），市财政局按照省财政厅核定的2021年我市新增债务限额和市本级预算收支执行情况，草拟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了《2021年盘锦市本级预算调整方案（草案）》，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具体情况如下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5"/>
        <w:jc w:val="both"/>
        <w:textAlignment w:val="baseline"/>
        <w:outlineLvl w:val="9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sz w:val="32"/>
          <w:szCs w:val="32"/>
        </w:rPr>
        <w:t>一、2021年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盘锦市本级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sz w:val="32"/>
          <w:szCs w:val="32"/>
        </w:rPr>
        <w:t>新增政府债务限额方案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按照国家对地方政府债务实行限额管理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规定，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经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省十三届人大常委会二十八次会议审议批准，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2021年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省财政厅核定我市新增债务限额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108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,000万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元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，其中：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一般债务5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0,000万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元，专项债务58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,000万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元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按照《预算法》规定，举借的政府债务应纳入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市本级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预算管理，具体调整如下：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一般公共预算收支增加5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0,000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元，通过发行新增一般债券筹集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重点支持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市本级发行的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盘锦港航道建设项目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（详见附件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1）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调整后，2021年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本级一般公共预算收支总规模为2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,62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466万元，仍保持收支平衡。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baseline"/>
        <w:outlineLvl w:val="9"/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政府性基金预算收支增加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58,000万元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，通过发行新增专项债券筹集。其中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本级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10,000万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元，重点支持渤海湾海洋牧场生态建设工程项目；转贷各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县区48,000万元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，重点投向交通基础设施、市政和产业园区基础设施、老旧小区改造等领域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（详见附件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1）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。调整后，2021年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本级政府性基金预算收支总规模为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238,532万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元，仍保持收支平衡。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5"/>
        <w:jc w:val="both"/>
        <w:textAlignment w:val="baseline"/>
        <w:outlineLvl w:val="9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二、2021年盘锦市本级预算调整方案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5"/>
        <w:jc w:val="both"/>
        <w:textAlignment w:val="baseline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调整2021年市本级政府性基金预算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5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收入预算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市八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届人大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次会议审议批准的2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021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本级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政府性基金预算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收入总计为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180,532万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加上新增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58,000万元政府专项债券收入，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本级政府性基金预算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收入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总规模为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238,532万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受国家出台一系列房地产市场调控政策影响，年初以来，土地市场持续低迷，土地出让规模下降。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建议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调减市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本级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政府性基金预算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30,000万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，全部为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国有土地使用权出让收入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调整后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收入总计为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208,532万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5"/>
        <w:jc w:val="both"/>
        <w:textAlignment w:val="baseline"/>
        <w:outlineLvl w:val="9"/>
        <w:rPr>
          <w:rFonts w:hint="eastAsia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支出预算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市八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届人大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次会议审议批准的20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本级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政府性基金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预算支出总计为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180,532万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元，加上新增58,000万元政府专项债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券支出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，2021年市本级政府性基金预算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支出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总规模为238,532万元。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由于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国有土地使用权出让收入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短收，年初预算安排的国有土地使用权出让相关支出，以及安排到一般公共预算的调出资金相应减少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建议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调减市本级政府性基金预算支出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30,000万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，其中：调减国有土地使用权出让相关支出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10,000万元（详见附件2）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，调减调出资金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20,000万元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调整后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支出总计为208,532万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5"/>
        <w:jc w:val="both"/>
        <w:textAlignment w:val="baseline"/>
        <w:outlineLvl w:val="9"/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调整后，20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年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本级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政府性基金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预算仍保持收支平衡。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5"/>
        <w:jc w:val="both"/>
        <w:textAlignment w:val="baseline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（二）调整2021年市本级国有资本经营预算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5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收入预算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市八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届人大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次会议审议批准的2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021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本级国有资本经营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预算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收入总计为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160,569万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受财政部暂停存量PPP项目入库审批严监管政策影响,年初计划未能如期实施。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建议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调减市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本级国有资本经营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预算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153,940万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，全部为其他国有资本经营预算收入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。调整后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收入总计为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6,629万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5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支出预算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市八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届人大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次会议审议批准的20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本级国有资本经营预算支出总计为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160,569万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由于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PPP项目未能如期实施，年初预算安排PPP运营费以及安排到一般公共预算的调出资金相应减少。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建议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本级国有资本经营预算支出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153,940万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。其中：调减其他国有资本经营预算支出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15,940万元，调减调出资金138,000万元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调整后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支出总计为6,629万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baseline"/>
        <w:outlineLvl w:val="9"/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调整后，20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本级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国有资本经营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预算仍保持收支平衡。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5"/>
        <w:jc w:val="both"/>
        <w:textAlignment w:val="baseline"/>
        <w:outlineLvl w:val="9"/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（三）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w w:val="100"/>
          <w:sz w:val="32"/>
          <w:szCs w:val="32"/>
        </w:rPr>
        <w:t>调整2021年市本级一般公共预算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5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收入预算。经市八届人大五次会议审议批准的2021年市本级一般公共预算收入总计为2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572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466万元，加上新增5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,000万元政府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一般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债券收入，2021年市本级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一般公共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预算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收入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总规模为2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,622,466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由于政府性基金预算和国有资本经营预算调出资金短收。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建议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减市本级一般公共预算调入资金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67,349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万元。调整后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收入总计为2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55,117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5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支出预算。经市八届人大五次会议审议批准的2021年市本级一般公共预算支出总计为2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572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466万元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，加上新增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50,000万元政府一般债券支出，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本级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一般公共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预算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支出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总规模为2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,622,466万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。由于调入资金减少，市本级两次压减市直预算单位支出。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建议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一般公共预算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67,349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（详见附件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3）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。调整后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支出总计为2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55,117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5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>调整后，2021年市本级一般公共预算仍保持收支平衡。</w:t>
      </w:r>
    </w:p>
    <w:p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附件：2021年盘锦市新增政府债务使用计划表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D00B8"/>
    <w:rsid w:val="01DD6D15"/>
    <w:rsid w:val="04496F1A"/>
    <w:rsid w:val="058C2CD9"/>
    <w:rsid w:val="07060EF3"/>
    <w:rsid w:val="080B25D3"/>
    <w:rsid w:val="08511A19"/>
    <w:rsid w:val="08662C89"/>
    <w:rsid w:val="11EF31D6"/>
    <w:rsid w:val="12CF7968"/>
    <w:rsid w:val="13096CBF"/>
    <w:rsid w:val="13FC6FA2"/>
    <w:rsid w:val="1482224B"/>
    <w:rsid w:val="15360252"/>
    <w:rsid w:val="16391F50"/>
    <w:rsid w:val="1FD8636B"/>
    <w:rsid w:val="219F4328"/>
    <w:rsid w:val="23010EFF"/>
    <w:rsid w:val="2A0541DA"/>
    <w:rsid w:val="2AC533B2"/>
    <w:rsid w:val="2E902ABA"/>
    <w:rsid w:val="301715E4"/>
    <w:rsid w:val="363F43D0"/>
    <w:rsid w:val="36B43DB8"/>
    <w:rsid w:val="37EC0A53"/>
    <w:rsid w:val="387A6BBE"/>
    <w:rsid w:val="399F3370"/>
    <w:rsid w:val="3D9D641E"/>
    <w:rsid w:val="43C74305"/>
    <w:rsid w:val="48ED00B8"/>
    <w:rsid w:val="498B0FAD"/>
    <w:rsid w:val="4A991DDA"/>
    <w:rsid w:val="4C932EB5"/>
    <w:rsid w:val="4E6C365D"/>
    <w:rsid w:val="4F4D0909"/>
    <w:rsid w:val="513E0D9E"/>
    <w:rsid w:val="51850833"/>
    <w:rsid w:val="52AF3E2F"/>
    <w:rsid w:val="53765C33"/>
    <w:rsid w:val="53911FBB"/>
    <w:rsid w:val="56FE2251"/>
    <w:rsid w:val="5D9B353A"/>
    <w:rsid w:val="60CC342C"/>
    <w:rsid w:val="646B1246"/>
    <w:rsid w:val="67826CF9"/>
    <w:rsid w:val="6A132BE9"/>
    <w:rsid w:val="6BC602C2"/>
    <w:rsid w:val="6CB15A76"/>
    <w:rsid w:val="6F3E73FA"/>
    <w:rsid w:val="77382C49"/>
    <w:rsid w:val="797C47FF"/>
    <w:rsid w:val="7BC0402A"/>
    <w:rsid w:val="7D977D14"/>
    <w:rsid w:val="7FF1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2021-11-08T06:03:00Z</dcterms:created>
  <dc:creator>詹姆斯  胖梨</dc:creator>
  <cp:lastModifiedBy>詹姆斯  胖梨</cp:lastModifiedBy>
  <cp:lastPrinted>2021-11-13T09:27:00Z</cp:lastPrinted>
  <dcterms:modified xsi:type="dcterms:W3CDTF">2022-02-18T06:57:12Z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0475696849EA48A489A13C8C82A28A2D</vt:lpwstr>
  </property>
</Properties>
</file>