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20" w:lineRule="exact"/>
        <w:ind w:right="5880" w:rightChars="2800"/>
        <w:jc w:val="distribute"/>
        <w:rPr>
          <w:rFonts w:ascii="黑体" w:hAnsi="黑体" w:eastAsia="黑体" w:cs="华文中宋"/>
          <w:sz w:val="24"/>
          <w:szCs w:val="22"/>
        </w:rPr>
      </w:pPr>
      <w:bookmarkStart w:id="0" w:name="OLE_LINK1"/>
      <w:r>
        <w:rPr>
          <w:rFonts w:hint="eastAsia" w:ascii="黑体" w:hAnsi="黑体" w:eastAsia="黑体" w:cs="华文中宋"/>
          <w:sz w:val="24"/>
        </w:rPr>
        <w:t>双台子区第十届人大常委会</w:t>
      </w:r>
    </w:p>
    <w:p>
      <w:pPr>
        <w:spacing w:after="318" w:afterLines="100" w:line="320" w:lineRule="exact"/>
        <w:ind w:right="5880" w:rightChars="2800"/>
        <w:jc w:val="distribute"/>
        <w:rPr>
          <w:rFonts w:hint="eastAsia" w:ascii="华文中宋" w:hAnsi="华文中宋" w:eastAsia="华文中宋" w:cs="华文中宋"/>
          <w:b/>
          <w:sz w:val="44"/>
          <w:szCs w:val="44"/>
        </w:rPr>
      </w:pPr>
      <w:r>
        <w:rPr>
          <w:rFonts w:hint="eastAsia" w:ascii="黑体" w:hAnsi="黑体" w:eastAsia="黑体" w:cs="黑体"/>
          <w:sz w:val="24"/>
        </w:rPr>
        <w:t>第一次会议材料</w:t>
      </w:r>
      <w:bookmarkEnd w:id="0"/>
    </w:p>
    <w:p>
      <w:pPr>
        <w:spacing w:line="70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关于盘锦市双台子区2021年财政预算执行</w:t>
      </w:r>
    </w:p>
    <w:p>
      <w:pPr>
        <w:spacing w:line="70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情况和2022年财政预算（草案）的报告</w:t>
      </w:r>
    </w:p>
    <w:p>
      <w:pPr>
        <w:pStyle w:val="4"/>
        <w:snapToGrid w:val="0"/>
        <w:spacing w:before="0" w:after="0" w:line="600" w:lineRule="exact"/>
        <w:rPr>
          <w:rFonts w:hint="eastAsia" w:ascii="楷体" w:hAnsi="楷体" w:eastAsia="楷体"/>
          <w:b w:val="0"/>
        </w:rPr>
      </w:pPr>
      <w:r>
        <w:rPr>
          <w:rFonts w:hint="eastAsia" w:ascii="仿宋_GB2312" w:eastAsia="仿宋_GB2312"/>
        </w:rPr>
        <w:t xml:space="preserve"> </w:t>
      </w:r>
    </w:p>
    <w:p>
      <w:pPr>
        <w:pStyle w:val="4"/>
        <w:snapToGrid w:val="0"/>
        <w:spacing w:before="0" w:after="0" w:line="600" w:lineRule="exact"/>
        <w:jc w:val="left"/>
        <w:rPr>
          <w:rFonts w:hint="eastAsia" w:ascii="楷体_GB2312" w:hAnsi="楷体_GB2312" w:eastAsia="楷体_GB2312" w:cs="楷体_GB2312"/>
          <w:b w:val="0"/>
        </w:rPr>
      </w:pPr>
      <w:r>
        <w:rPr>
          <w:rFonts w:hint="eastAsia" w:ascii="楷体" w:hAnsi="楷体" w:eastAsia="楷体"/>
          <w:b w:val="0"/>
        </w:rPr>
        <w:t xml:space="preserve">  </w:t>
      </w:r>
      <w:r>
        <w:rPr>
          <w:rFonts w:hint="eastAsia" w:ascii="楷体_GB2312" w:hAnsi="楷体_GB2312" w:eastAsia="楷体_GB2312" w:cs="楷体_GB2312"/>
          <w:b w:val="0"/>
        </w:rPr>
        <w:t xml:space="preserve"> ——2021年12月7日在盘锦市双台子区第十届人民代表大会第一次会议上</w:t>
      </w:r>
    </w:p>
    <w:p>
      <w:pPr>
        <w:pStyle w:val="4"/>
        <w:snapToGrid w:val="0"/>
        <w:spacing w:before="0" w:after="0" w:line="600" w:lineRule="exact"/>
        <w:rPr>
          <w:rFonts w:hint="eastAsia" w:ascii="楷体_GB2312" w:hAnsi="楷体_GB2312" w:eastAsia="楷体_GB2312" w:cs="楷体_GB2312"/>
          <w:b w:val="0"/>
        </w:rPr>
      </w:pPr>
      <w:r>
        <w:rPr>
          <w:rFonts w:hint="eastAsia" w:ascii="楷体_GB2312" w:hAnsi="楷体_GB2312" w:eastAsia="楷体_GB2312" w:cs="楷体_GB2312"/>
          <w:b w:val="0"/>
        </w:rPr>
        <w:t>盘锦市双台子区财政局  王二白</w:t>
      </w:r>
    </w:p>
    <w:p>
      <w:pPr>
        <w:snapToGrid w:val="0"/>
        <w:spacing w:line="339" w:lineRule="auto"/>
        <w:jc w:val="center"/>
        <w:rPr>
          <w:rFonts w:hint="eastAsia" w:ascii="楷体_GB2312" w:hAnsi="楷体_GB2312" w:eastAsia="楷体_GB2312" w:cs="楷体_GB2312"/>
          <w:sz w:val="32"/>
          <w:szCs w:val="32"/>
        </w:rPr>
      </w:pPr>
    </w:p>
    <w:p>
      <w:pPr>
        <w:snapToGrid w:val="0"/>
        <w:spacing w:line="339" w:lineRule="auto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主任、各位副主任、各位代表：</w:t>
      </w:r>
    </w:p>
    <w:p>
      <w:pPr>
        <w:pStyle w:val="2"/>
        <w:snapToGrid w:val="0"/>
        <w:spacing w:line="339" w:lineRule="auto"/>
        <w:ind w:firstLine="640" w:firstLineChars="200"/>
        <w:rPr>
          <w:rFonts w:hint="eastAsia" w:ascii="仿宋_GB2312"/>
          <w:szCs w:val="32"/>
        </w:rPr>
      </w:pPr>
      <w:r>
        <w:rPr>
          <w:rFonts w:hint="eastAsia" w:ascii="仿宋_GB2312"/>
          <w:szCs w:val="32"/>
        </w:rPr>
        <w:t>受区人民政府委托，现将双台子区2021年财政预算执行情况和2022年财政预算（草案）提请大会审议，并请区政协委员和其他列席会议的同志提出意见。</w:t>
      </w:r>
    </w:p>
    <w:p>
      <w:pPr>
        <w:snapToGrid w:val="0"/>
        <w:spacing w:line="339" w:lineRule="auto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一、2021年预算执行情况</w:t>
      </w:r>
    </w:p>
    <w:p>
      <w:pPr>
        <w:pStyle w:val="2"/>
        <w:snapToGrid w:val="0"/>
        <w:spacing w:line="339" w:lineRule="auto"/>
        <w:ind w:firstLine="640" w:firstLineChars="200"/>
        <w:rPr>
          <w:rFonts w:hint="eastAsia" w:ascii="仿宋_GB2312"/>
          <w:szCs w:val="32"/>
        </w:rPr>
      </w:pPr>
      <w:r>
        <w:rPr>
          <w:rFonts w:hint="eastAsia" w:ascii="仿宋_GB2312"/>
          <w:szCs w:val="32"/>
        </w:rPr>
        <w:t>2021年，在区委的正确领导下，在区人大、区政协的监督支持下，全区财政工作以习近平新时代中国特色社会主义思想为指导，严格执行区九届人大四次会议有关预算决议，聚焦全区高质量发展目标，积极推进重点领域改革，全力服务“六稳”“六保”工作大局，持续加大民生领域投入，在稳增长、促改革、调结构、惠民生、防风险中发挥积极作用，为推动全区经济高质量发展提供坚实保障。</w:t>
      </w:r>
    </w:p>
    <w:p>
      <w:pPr>
        <w:snapToGrid w:val="0"/>
        <w:spacing w:line="339" w:lineRule="auto"/>
        <w:ind w:firstLine="640" w:firstLineChars="200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（一）2021年预算执行情况（收支快报数据）</w:t>
      </w:r>
    </w:p>
    <w:p>
      <w:pPr>
        <w:pStyle w:val="2"/>
        <w:snapToGrid w:val="0"/>
        <w:spacing w:line="339" w:lineRule="auto"/>
        <w:ind w:firstLine="643" w:firstLineChars="200"/>
        <w:rPr>
          <w:rFonts w:ascii="仿宋_GB2312"/>
          <w:b/>
          <w:bCs/>
          <w:szCs w:val="32"/>
        </w:rPr>
      </w:pPr>
      <w:r>
        <w:rPr>
          <w:rFonts w:hint="eastAsia" w:ascii="仿宋_GB2312"/>
          <w:b/>
          <w:bCs/>
          <w:szCs w:val="32"/>
        </w:rPr>
        <w:t>1.一般公共预算执行情况</w:t>
      </w:r>
    </w:p>
    <w:p>
      <w:pPr>
        <w:pStyle w:val="2"/>
        <w:snapToGrid w:val="0"/>
        <w:spacing w:line="339" w:lineRule="auto"/>
        <w:ind w:firstLine="643" w:firstLineChars="200"/>
        <w:rPr>
          <w:rFonts w:ascii="仿宋_GB2312"/>
          <w:b/>
          <w:bCs/>
          <w:szCs w:val="32"/>
        </w:rPr>
      </w:pPr>
      <w:r>
        <w:rPr>
          <w:rFonts w:hint="eastAsia" w:ascii="仿宋_GB2312"/>
          <w:b/>
          <w:bCs/>
          <w:szCs w:val="32"/>
        </w:rPr>
        <w:t>（1）全区一般公共预算执行情况</w:t>
      </w:r>
    </w:p>
    <w:p>
      <w:pPr>
        <w:pStyle w:val="2"/>
        <w:snapToGrid w:val="0"/>
        <w:spacing w:line="339" w:lineRule="auto"/>
        <w:ind w:firstLine="640" w:firstLineChars="200"/>
        <w:rPr>
          <w:rFonts w:hint="eastAsia" w:ascii="仿宋_GB2312"/>
          <w:szCs w:val="32"/>
        </w:rPr>
      </w:pPr>
      <w:r>
        <w:rPr>
          <w:rFonts w:hint="eastAsia" w:ascii="仿宋_GB2312"/>
          <w:szCs w:val="32"/>
        </w:rPr>
        <w:t>一般公共预算收入57,400万元，完成年初预算的78.1%，同比</w:t>
      </w:r>
      <w:r>
        <w:rPr>
          <w:rFonts w:ascii="仿宋_GB2312"/>
          <w:szCs w:val="32"/>
        </w:rPr>
        <w:t>下降</w:t>
      </w:r>
      <w:r>
        <w:rPr>
          <w:rFonts w:hint="eastAsia" w:ascii="仿宋_GB2312"/>
          <w:szCs w:val="32"/>
        </w:rPr>
        <w:t>16.7%。其中：税收收入53,612万元，同比</w:t>
      </w:r>
      <w:r>
        <w:rPr>
          <w:rFonts w:ascii="仿宋_GB2312"/>
          <w:szCs w:val="32"/>
        </w:rPr>
        <w:t>下降</w:t>
      </w:r>
      <w:r>
        <w:rPr>
          <w:rFonts w:hint="eastAsia" w:ascii="仿宋_GB2312"/>
          <w:szCs w:val="32"/>
        </w:rPr>
        <w:t>16.2</w:t>
      </w:r>
      <w:r>
        <w:rPr>
          <w:rFonts w:ascii="仿宋_GB2312"/>
          <w:szCs w:val="32"/>
        </w:rPr>
        <w:t>%</w:t>
      </w:r>
      <w:r>
        <w:rPr>
          <w:rFonts w:hint="eastAsia" w:ascii="仿宋_GB2312"/>
          <w:szCs w:val="32"/>
        </w:rPr>
        <w:t>，占比93.4%；非税收入3,788万元，同比</w:t>
      </w:r>
      <w:r>
        <w:rPr>
          <w:rFonts w:ascii="仿宋_GB2312"/>
          <w:szCs w:val="32"/>
        </w:rPr>
        <w:t>下降</w:t>
      </w:r>
      <w:r>
        <w:rPr>
          <w:rFonts w:hint="eastAsia" w:ascii="仿宋_GB2312"/>
          <w:szCs w:val="32"/>
        </w:rPr>
        <w:t>23.2</w:t>
      </w:r>
      <w:r>
        <w:rPr>
          <w:rFonts w:ascii="仿宋_GB2312"/>
          <w:szCs w:val="32"/>
        </w:rPr>
        <w:t>%</w:t>
      </w:r>
      <w:r>
        <w:rPr>
          <w:rFonts w:hint="eastAsia" w:ascii="仿宋_GB2312"/>
          <w:szCs w:val="32"/>
        </w:rPr>
        <w:t>，占比6.6</w:t>
      </w:r>
      <w:r>
        <w:rPr>
          <w:rFonts w:ascii="仿宋_GB2312"/>
          <w:szCs w:val="32"/>
        </w:rPr>
        <w:t>%</w:t>
      </w:r>
      <w:r>
        <w:rPr>
          <w:rFonts w:hint="eastAsia" w:ascii="仿宋_GB2312"/>
          <w:szCs w:val="32"/>
        </w:rPr>
        <w:t>。</w:t>
      </w:r>
    </w:p>
    <w:p>
      <w:pPr>
        <w:snapToGrid w:val="0"/>
        <w:spacing w:line="339" w:lineRule="auto"/>
        <w:ind w:firstLine="640" w:firstLineChars="200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</w:rPr>
        <w:t>一般公共预算支出146,182万元，同比增长29.8%，增长的主要原因：将国有资本经营预算收入调入一般公共预算支出4.6亿元。主要支出情况：城乡社区支出60,954万元，同比增长222.6%，占比41.7%；社会保障和就业支出30,620万元，同比下降7.3%，占比21%；教育支出15,570万元，同比下降6%，占比10.7%；卫生健康支出5,203万元，同比下降0.8%，占比3.6</w:t>
      </w:r>
      <w:r>
        <w:rPr>
          <w:rFonts w:hint="eastAsia" w:ascii="仿宋_GB2312" w:eastAsia="仿宋_GB2312"/>
          <w:sz w:val="32"/>
          <w:szCs w:val="32"/>
          <w:highlight w:val="none"/>
        </w:rPr>
        <w:t>%。</w:t>
      </w:r>
    </w:p>
    <w:p>
      <w:pPr>
        <w:pStyle w:val="2"/>
        <w:snapToGrid w:val="0"/>
        <w:spacing w:line="339" w:lineRule="auto"/>
        <w:ind w:firstLine="640" w:firstLineChars="200"/>
        <w:rPr>
          <w:rFonts w:hint="eastAsia" w:ascii="仿宋_GB2312"/>
          <w:szCs w:val="32"/>
        </w:rPr>
      </w:pPr>
      <w:r>
        <w:rPr>
          <w:rFonts w:hint="eastAsia" w:ascii="仿宋_GB2312"/>
          <w:szCs w:val="32"/>
        </w:rPr>
        <w:t>一般公共预算收支平衡情况：总收入542,492万元，其中：一般公共预算收入57,400万元，上级补助收入81,595万元，上年结余收入851万元，调入资金55,500万元，债务转贷收入347,146万元。总支出542,492万元，其中：一般公共预算支出146,182万元，上解上级支出22,021万元，结转下年支出27,143万元，债务还本支出347,146万元，实现收支平衡。</w:t>
      </w:r>
    </w:p>
    <w:p>
      <w:pPr>
        <w:pStyle w:val="2"/>
        <w:numPr>
          <w:ilvl w:val="0"/>
          <w:numId w:val="1"/>
        </w:numPr>
        <w:snapToGrid w:val="0"/>
        <w:spacing w:line="339" w:lineRule="auto"/>
        <w:ind w:firstLine="643" w:firstLineChars="200"/>
        <w:rPr>
          <w:rFonts w:ascii="仿宋_GB2312"/>
          <w:b/>
          <w:bCs/>
          <w:szCs w:val="32"/>
        </w:rPr>
      </w:pPr>
      <w:r>
        <w:rPr>
          <w:rFonts w:hint="eastAsia" w:ascii="仿宋_GB2312"/>
          <w:b/>
          <w:bCs/>
          <w:szCs w:val="32"/>
        </w:rPr>
        <w:t>区本级</w:t>
      </w:r>
      <w:r>
        <w:rPr>
          <w:rFonts w:hint="eastAsia" w:ascii="仿宋_GB2312" w:hAnsi="仿宋" w:cs="仿宋"/>
          <w:b/>
          <w:bCs/>
          <w:szCs w:val="32"/>
        </w:rPr>
        <w:t>一般公共预算</w:t>
      </w:r>
      <w:r>
        <w:rPr>
          <w:rFonts w:hint="eastAsia" w:ascii="仿宋_GB2312"/>
          <w:b/>
          <w:bCs/>
          <w:szCs w:val="32"/>
        </w:rPr>
        <w:t>执行</w:t>
      </w:r>
      <w:r>
        <w:rPr>
          <w:rFonts w:hint="eastAsia" w:ascii="仿宋_GB2312" w:hAnsi="仿宋" w:cs="仿宋"/>
          <w:b/>
          <w:bCs/>
          <w:szCs w:val="32"/>
        </w:rPr>
        <w:t>情况</w:t>
      </w:r>
    </w:p>
    <w:p>
      <w:pPr>
        <w:pStyle w:val="2"/>
        <w:snapToGrid w:val="0"/>
        <w:spacing w:line="339" w:lineRule="auto"/>
        <w:ind w:firstLine="640" w:firstLineChars="200"/>
        <w:rPr>
          <w:rFonts w:hint="eastAsia" w:ascii="仿宋_GB2312"/>
          <w:szCs w:val="32"/>
        </w:rPr>
      </w:pPr>
      <w:r>
        <w:rPr>
          <w:rFonts w:hint="eastAsia" w:ascii="仿宋_GB2312"/>
          <w:szCs w:val="32"/>
        </w:rPr>
        <w:t>一般公共预算收入52,087万元，同比</w:t>
      </w:r>
      <w:r>
        <w:rPr>
          <w:rFonts w:ascii="仿宋_GB2312"/>
          <w:szCs w:val="32"/>
        </w:rPr>
        <w:t>下降</w:t>
      </w:r>
      <w:r>
        <w:rPr>
          <w:rFonts w:hint="eastAsia" w:ascii="仿宋_GB2312"/>
          <w:szCs w:val="32"/>
        </w:rPr>
        <w:t>20.2%。其中：税收收入48,450万元，同比</w:t>
      </w:r>
      <w:r>
        <w:rPr>
          <w:rFonts w:ascii="仿宋_GB2312"/>
          <w:szCs w:val="32"/>
        </w:rPr>
        <w:t>下降</w:t>
      </w:r>
      <w:r>
        <w:rPr>
          <w:rFonts w:hint="eastAsia" w:ascii="仿宋_GB2312"/>
          <w:szCs w:val="32"/>
        </w:rPr>
        <w:t>19.9</w:t>
      </w:r>
      <w:r>
        <w:rPr>
          <w:rFonts w:ascii="仿宋_GB2312"/>
          <w:szCs w:val="32"/>
        </w:rPr>
        <w:t>%</w:t>
      </w:r>
      <w:r>
        <w:rPr>
          <w:rFonts w:hint="eastAsia" w:ascii="仿宋_GB2312"/>
          <w:szCs w:val="32"/>
        </w:rPr>
        <w:t>，占比93.0%；非税收入3,637万元，同比</w:t>
      </w:r>
      <w:r>
        <w:rPr>
          <w:rFonts w:ascii="仿宋_GB2312"/>
          <w:szCs w:val="32"/>
        </w:rPr>
        <w:t>下降</w:t>
      </w:r>
      <w:r>
        <w:rPr>
          <w:rFonts w:hint="eastAsia" w:ascii="仿宋_GB2312"/>
          <w:szCs w:val="32"/>
        </w:rPr>
        <w:t>24.0</w:t>
      </w:r>
      <w:r>
        <w:rPr>
          <w:rFonts w:ascii="仿宋_GB2312"/>
          <w:szCs w:val="32"/>
        </w:rPr>
        <w:t>%</w:t>
      </w:r>
      <w:r>
        <w:rPr>
          <w:rFonts w:hint="eastAsia" w:ascii="仿宋_GB2312"/>
          <w:szCs w:val="32"/>
        </w:rPr>
        <w:t>，占比7.0</w:t>
      </w:r>
      <w:r>
        <w:rPr>
          <w:rFonts w:ascii="仿宋_GB2312"/>
          <w:szCs w:val="32"/>
        </w:rPr>
        <w:t>%</w:t>
      </w:r>
      <w:r>
        <w:rPr>
          <w:rFonts w:hint="eastAsia" w:ascii="仿宋_GB2312"/>
          <w:szCs w:val="32"/>
        </w:rPr>
        <w:t>。</w:t>
      </w:r>
    </w:p>
    <w:p>
      <w:pPr>
        <w:pStyle w:val="2"/>
        <w:snapToGrid w:val="0"/>
        <w:spacing w:line="339" w:lineRule="auto"/>
        <w:ind w:firstLine="640" w:firstLineChars="200"/>
        <w:rPr>
          <w:rFonts w:hint="eastAsia" w:ascii="仿宋_GB2312"/>
          <w:szCs w:val="32"/>
          <w:highlight w:val="none"/>
        </w:rPr>
      </w:pPr>
      <w:r>
        <w:rPr>
          <w:rFonts w:hint="eastAsia" w:ascii="仿宋_GB2312"/>
          <w:szCs w:val="32"/>
        </w:rPr>
        <w:t>一般公共预算支出142,059万元，同比增长30.8%。主要支出情况：城乡社区支出60,954万元，同比增长176.4%，占比42.9%；社会保障和就业支出29,917万元，同比下降5.2%，占比21%；教育支出15,566万元，同比下降7.8%，占比11%；卫生健康支出5,160万元，同比下降8.7%，占比3.6%</w:t>
      </w:r>
      <w:r>
        <w:rPr>
          <w:rFonts w:hint="eastAsia" w:ascii="仿宋_GB2312"/>
          <w:szCs w:val="32"/>
          <w:highlight w:val="none"/>
        </w:rPr>
        <w:t>。</w:t>
      </w:r>
    </w:p>
    <w:p>
      <w:pPr>
        <w:pStyle w:val="2"/>
        <w:snapToGrid w:val="0"/>
        <w:spacing w:line="339" w:lineRule="auto"/>
        <w:ind w:firstLine="640" w:firstLineChars="200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一般公共预算收支平衡情况：总收入535,466万元，其中：一般公共预算收入52,087万元，上级补助收入80,499万元，上年结余收入234万元，调入资金55,500万元，债务转贷收入347,146万元。总支出535,466万元，其中：一般公共预算支出142,059万元，上解上级支出19,118万元，结转下年支出27,143万元，债务还本支出347,146万元，实现收支平衡。</w:t>
      </w:r>
    </w:p>
    <w:p>
      <w:pPr>
        <w:pStyle w:val="2"/>
        <w:snapToGrid w:val="0"/>
        <w:spacing w:line="339" w:lineRule="auto"/>
        <w:ind w:firstLine="643" w:firstLineChars="200"/>
        <w:rPr>
          <w:rFonts w:ascii="仿宋_GB2312"/>
          <w:b/>
          <w:bCs/>
          <w:szCs w:val="32"/>
        </w:rPr>
      </w:pPr>
      <w:r>
        <w:rPr>
          <w:rFonts w:hint="eastAsia" w:ascii="仿宋_GB2312"/>
          <w:b/>
          <w:bCs/>
          <w:szCs w:val="32"/>
        </w:rPr>
        <w:t>2.政府性基金预算执行情况</w:t>
      </w:r>
    </w:p>
    <w:p>
      <w:pPr>
        <w:pStyle w:val="2"/>
        <w:snapToGrid w:val="0"/>
        <w:spacing w:line="339" w:lineRule="auto"/>
        <w:ind w:firstLine="640" w:firstLineChars="200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全区政府性基金总收入158,728万元，其中：政府性基金预算收入12,031万元，同比下降63.5%，下降的主要原因：国有土地使用权出让收入同比减少2.1亿元；上级补助收入638万元，上年结余收入4,059万元，债务转贷收入142,000万元。总支出158,728万元，其中：政府性基金预算支出14,702万元，同比下降78.7%，下降的主要原因：去年同期含棚户区改造专项债券收入安排的支出4.3亿元，以及抗疫特别国债安排的支出1.1亿元；上解支出200万元,结转下年支出1,826万元，债务还本支出142,000万元，实现收支平衡。</w:t>
      </w:r>
    </w:p>
    <w:p>
      <w:pPr>
        <w:pStyle w:val="2"/>
        <w:snapToGrid w:val="0"/>
        <w:spacing w:line="339" w:lineRule="auto"/>
        <w:ind w:firstLine="640" w:firstLineChars="200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区本级执行情况与全区相同。</w:t>
      </w:r>
    </w:p>
    <w:p>
      <w:pPr>
        <w:pStyle w:val="2"/>
        <w:snapToGrid w:val="0"/>
        <w:spacing w:line="339" w:lineRule="auto"/>
        <w:ind w:firstLine="643" w:firstLineChars="200"/>
      </w:pPr>
      <w:r>
        <w:rPr>
          <w:rFonts w:hint="eastAsia" w:ascii="仿宋_GB2312"/>
          <w:b/>
          <w:bCs/>
          <w:szCs w:val="32"/>
        </w:rPr>
        <w:t>3.国有资本经营预算执行情况</w:t>
      </w:r>
    </w:p>
    <w:p>
      <w:pPr>
        <w:pStyle w:val="2"/>
        <w:snapToGrid w:val="0"/>
        <w:spacing w:line="339" w:lineRule="auto"/>
        <w:ind w:firstLine="640" w:firstLineChars="200"/>
        <w:rPr>
          <w:rFonts w:hint="eastAsia" w:ascii="仿宋_GB2312"/>
          <w:szCs w:val="32"/>
        </w:rPr>
      </w:pPr>
      <w:r>
        <w:rPr>
          <w:rFonts w:hint="eastAsia" w:ascii="仿宋_GB2312"/>
          <w:szCs w:val="32"/>
        </w:rPr>
        <w:t>全区国有资本经营预算总收入64,167万元，其中：国有资本经营预算收入64,107万元（全部为</w:t>
      </w:r>
      <w:r>
        <w:rPr>
          <w:rFonts w:hint="eastAsia" w:ascii="仿宋_GB2312" w:hAnsi="仿宋_GB2312" w:cs="仿宋_GB2312"/>
          <w:szCs w:val="32"/>
        </w:rPr>
        <w:t>辽河盘锦双台子流域综合开发利用</w:t>
      </w:r>
      <w:r>
        <w:rPr>
          <w:rFonts w:hint="eastAsia" w:ascii="仿宋_GB2312"/>
          <w:szCs w:val="32"/>
        </w:rPr>
        <w:t>PPP项目取得的国有资产经营权转让收入），上级补助收入60万元。总支出64,167万元。其中：国有资本经营预算支出5,172万元，上解支出100万元，调出资金53,400万元，结转下年5,495万元，实现收支平衡。</w:t>
      </w:r>
    </w:p>
    <w:p>
      <w:pPr>
        <w:pStyle w:val="2"/>
        <w:snapToGrid w:val="0"/>
        <w:spacing w:line="339" w:lineRule="auto"/>
        <w:ind w:firstLine="640" w:firstLineChars="200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区本级执行情况与全区相同。</w:t>
      </w:r>
    </w:p>
    <w:p>
      <w:pPr>
        <w:snapToGrid w:val="0"/>
        <w:spacing w:line="339" w:lineRule="auto"/>
        <w:ind w:firstLine="640" w:firstLineChars="200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（二）2021年财政重点工作</w:t>
      </w:r>
    </w:p>
    <w:p>
      <w:pPr>
        <w:pStyle w:val="2"/>
        <w:snapToGrid w:val="0"/>
        <w:spacing w:line="339" w:lineRule="auto"/>
        <w:ind w:firstLine="640" w:firstLineChars="200"/>
        <w:rPr>
          <w:rFonts w:hint="eastAsia"/>
        </w:rPr>
      </w:pPr>
      <w:r>
        <w:rPr>
          <w:rFonts w:hint="eastAsia" w:ascii="仿宋_GB2312" w:hAnsi="仿宋_GB2312" w:cs="仿宋_GB2312"/>
          <w:szCs w:val="32"/>
        </w:rPr>
        <w:t>2021年，财政部门</w:t>
      </w:r>
      <w:r>
        <w:rPr>
          <w:rFonts w:hint="eastAsia"/>
        </w:rPr>
        <w:t>聚焦“六个高质量”，积极组织收入，优化支出结构，防范重大风险，为我区经济社会各项事业的稳定发展做出积极贡献。</w:t>
      </w:r>
    </w:p>
    <w:p>
      <w:pPr>
        <w:snapToGrid w:val="0"/>
        <w:spacing w:line="339" w:lineRule="auto"/>
        <w:ind w:firstLine="643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打好收支算盘，增强财政保障能力。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全力应对成品油企业税收专项整治、持续实施减税降费政策等减收影响，精准高效组织收入，</w:t>
      </w:r>
      <w:r>
        <w:rPr>
          <w:rFonts w:hint="eastAsia" w:ascii="仿宋_GB2312" w:hAnsi="仿宋_GB2312" w:eastAsia="仿宋_GB2312" w:cs="仿宋_GB2312"/>
          <w:sz w:val="32"/>
          <w:szCs w:val="32"/>
        </w:rPr>
        <w:t>强化税收征管，夯实税源管理，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加大清欠力度，实现应收尽收，应缴尽缴。贯彻“过紧日子”要求，合理安排预算支出，坚持“有保有压”，提高“三保”支出比重，持续压减一般性支出与“三公”经费支出5个百分点，</w:t>
      </w:r>
      <w:r>
        <w:rPr>
          <w:rFonts w:hint="eastAsia" w:ascii="仿宋_GB2312" w:hAnsi="仿宋_GB2312" w:eastAsia="仿宋_GB2312" w:cs="仿宋_GB2312"/>
          <w:sz w:val="32"/>
          <w:szCs w:val="32"/>
        </w:rPr>
        <w:t>压减非急需、非刚性支出3,574万元，节约资金支持重点项目建设及涉及民生的重大支出，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把有限的财力用在刀刃上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pStyle w:val="2"/>
        <w:snapToGrid w:val="0"/>
        <w:spacing w:line="339" w:lineRule="auto"/>
        <w:ind w:firstLine="643" w:firstLineChars="200"/>
        <w:rPr>
          <w:rFonts w:hint="eastAsia" w:ascii="仿宋_GB2312" w:hAnsi="仿宋_GB2312" w:cs="仿宋_GB2312"/>
          <w:szCs w:val="32"/>
        </w:rPr>
      </w:pPr>
      <w:r>
        <w:rPr>
          <w:rFonts w:hint="eastAsia" w:ascii="仿宋_GB2312"/>
          <w:b/>
          <w:bCs/>
          <w:szCs w:val="32"/>
        </w:rPr>
        <w:t>兜牢“三保”底线，全面惠及百姓民生。</w:t>
      </w:r>
      <w:r>
        <w:rPr>
          <w:rFonts w:hint="eastAsia" w:ascii="仿宋_GB2312" w:hAnsi="仿宋_GB2312" w:cs="仿宋_GB2312"/>
          <w:szCs w:val="32"/>
        </w:rPr>
        <w:t>全年“三保”支出占比78%以上，有力保障了</w:t>
      </w:r>
      <w:r>
        <w:rPr>
          <w:rFonts w:hint="eastAsia" w:ascii="仿宋_GB2312" w:hAnsi="仿宋_GB2312" w:cs="仿宋_GB2312"/>
          <w:color w:val="000000"/>
          <w:szCs w:val="32"/>
        </w:rPr>
        <w:t>防疫、教育、农业、社会保障等民生支出的资金供给，</w:t>
      </w:r>
      <w:r>
        <w:rPr>
          <w:rFonts w:hint="eastAsia" w:ascii="仿宋_GB2312" w:hAnsi="仿宋_GB2312" w:cs="仿宋_GB2312"/>
          <w:szCs w:val="32"/>
        </w:rPr>
        <w:t>人民幸福感持续增强。</w:t>
      </w:r>
      <w:r>
        <w:rPr>
          <w:rFonts w:hint="eastAsia" w:ascii="仿宋_GB2312" w:hAnsi="仿宋_GB2312" w:cs="仿宋_GB2312"/>
          <w:color w:val="000000"/>
          <w:szCs w:val="32"/>
        </w:rPr>
        <w:t>落实困难群体救助政策，发放城市困难居民生活补贴3,254万元；落实再就业政策，安排公益性岗位人员工资及两险补贴7,259万元；</w:t>
      </w:r>
      <w:r>
        <w:rPr>
          <w:rFonts w:hint="eastAsia" w:ascii="仿宋_GB2312" w:hAnsi="仿宋_GB2312" w:cs="仿宋_GB2312"/>
          <w:szCs w:val="32"/>
        </w:rPr>
        <w:t>落实2472名机关事业单位离退休人员待遇提标政策，累计发放养老金1.3亿元；落实保障性安居工程建设，安排支出2,800万元；完善教育经费保障机制，投入1,749万元用于教育均衡发展。发放耕地地力保护补贴503万元、稻谷补贴及种粮农民一次性补贴425万元，实现到人到户补贴“一卡通”发放；安排</w:t>
      </w:r>
      <w:r>
        <w:rPr>
          <w:rFonts w:hint="eastAsia" w:ascii="仿宋_GB2312" w:hAnsi="仿宋_GB2312" w:cs="仿宋_GB2312"/>
          <w:color w:val="000000"/>
          <w:szCs w:val="32"/>
        </w:rPr>
        <w:t>疫情防控支出568万元,</w:t>
      </w:r>
      <w:r>
        <w:rPr>
          <w:rFonts w:hint="eastAsia" w:ascii="仿宋_GB2312" w:hAnsi="仿宋_GB2312" w:cs="仿宋_GB2312"/>
          <w:szCs w:val="32"/>
        </w:rPr>
        <w:t>做好常态化疫情防控资金保障</w:t>
      </w:r>
      <w:r>
        <w:rPr>
          <w:rFonts w:hint="eastAsia" w:ascii="仿宋_GB2312" w:hAnsi="仿宋_GB2312" w:cs="仿宋_GB2312"/>
          <w:color w:val="000000"/>
          <w:szCs w:val="32"/>
        </w:rPr>
        <w:t>。</w:t>
      </w:r>
    </w:p>
    <w:p>
      <w:pPr>
        <w:pStyle w:val="2"/>
        <w:snapToGrid w:val="0"/>
        <w:spacing w:line="339" w:lineRule="auto"/>
        <w:ind w:firstLine="643" w:firstLineChars="200"/>
        <w:rPr>
          <w:rFonts w:hint="eastAsia"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b/>
          <w:bCs/>
          <w:szCs w:val="32"/>
        </w:rPr>
        <w:t>树立底线思维，防范化解债务风险。</w:t>
      </w:r>
      <w:r>
        <w:rPr>
          <w:rFonts w:hint="eastAsia" w:ascii="仿宋_GB2312" w:hAnsi="仿宋_GB2312" w:cs="仿宋_GB2312"/>
          <w:szCs w:val="32"/>
        </w:rPr>
        <w:t>获得国家化解债务政策重大支持，使我区债务结构发生重大变化，缓释了债务风险，减少债务利息支出1.4亿元，避免产生区域性债务危机。全年化解政府性债务本息9.9亿元，守住了防范债务风险的底线。</w:t>
      </w:r>
    </w:p>
    <w:p>
      <w:pPr>
        <w:pStyle w:val="2"/>
        <w:snapToGrid w:val="0"/>
        <w:spacing w:line="339" w:lineRule="auto"/>
        <w:ind w:firstLine="643" w:firstLineChars="200"/>
        <w:rPr>
          <w:rFonts w:hint="eastAsia" w:ascii="仿宋_GB2312" w:hAnsi="仿宋_GB2312" w:cs="仿宋_GB2312"/>
          <w:b/>
          <w:bCs/>
          <w:szCs w:val="32"/>
        </w:rPr>
      </w:pPr>
      <w:r>
        <w:rPr>
          <w:rFonts w:hint="eastAsia" w:ascii="仿宋_GB2312" w:hAnsi="仿宋_GB2312" w:cs="仿宋_GB2312"/>
          <w:b/>
          <w:bCs/>
          <w:szCs w:val="32"/>
        </w:rPr>
        <w:t>推进国企改革，加强国有资产管理。</w:t>
      </w:r>
      <w:r>
        <w:rPr>
          <w:rFonts w:hint="eastAsia" w:ascii="仿宋_GB2312" w:hAnsi="仿宋_GB2312" w:cs="仿宋_GB2312"/>
          <w:szCs w:val="32"/>
        </w:rPr>
        <w:t>深入实施国企改革三年行动计划，践行融合华锦战略，加大混合所有制改革推进力度，成立北方华锦石油化工贸易有限公司、辽宁华锦商务酒店有限公司、辽宁华锦化工工程有限公司等三家混合所有制企业，最大程度实现投资收益，推动区属企业高质量发展。开展国有资产清理工作，有效利用闲置资产，进一步提升国有资产监管水平。强化绩效考核激励机制建设，引导国有企业参与国有资产的市场化运营，完成辽河盘锦双台子流域综合开发利用PPP项目，实现国有资本经营预算收入6.4亿元，国有资产使用效能得到释放。</w:t>
      </w:r>
    </w:p>
    <w:p>
      <w:pPr>
        <w:pStyle w:val="2"/>
        <w:snapToGrid w:val="0"/>
        <w:spacing w:line="339" w:lineRule="auto"/>
        <w:ind w:firstLine="643" w:firstLineChars="200"/>
        <w:rPr>
          <w:rFonts w:hint="eastAsia"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b/>
          <w:bCs/>
          <w:szCs w:val="32"/>
        </w:rPr>
        <w:t>发挥职能作用，不断提高理财水平。</w:t>
      </w:r>
      <w:r>
        <w:rPr>
          <w:rFonts w:hint="eastAsia" w:ascii="仿宋_GB2312" w:hAnsi="仿宋_GB2312" w:cs="仿宋_GB2312"/>
          <w:szCs w:val="32"/>
        </w:rPr>
        <w:t>推进预算一体化改革，建立全面公开透明、规范标准、约束有力的预算制度，提升预算管理水平。全方位推进预算绩效管理工作，开展482个项目的绩效目标申报工作，涉及资金7.32亿元，确保项目资金的合理运用。研究街镇财政体制管理办法，充分调动街镇发展经济、培植财源、增收节支的积极性，提高街镇财政公共服务能力和保障水平。加强政府采购管理，扩大政府采购规模，规范采购行为，全年实现政府采购3,213万元，资金节约率11%。完成2020年度全区内控报告编报工作，开展违反财政纪律专项整治。</w:t>
      </w:r>
    </w:p>
    <w:p>
      <w:pPr>
        <w:snapToGrid w:val="0"/>
        <w:spacing w:line="339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2021年全区财政工作整体情况较好，但财政运行中仍存在一些问题，主要包括：减收因素增多，财政收入出现负增长；“三保”、刚性等支出需求加大，收支矛盾更加突出；政府债务付息压力依然存在；暂付款消化困难重重等。在今后工作中，我们将攻坚克难，开拓创新，寻求有效解决办法。</w:t>
      </w:r>
    </w:p>
    <w:p>
      <w:pPr>
        <w:snapToGrid w:val="0"/>
        <w:spacing w:line="339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二、2022年预算（草案）</w:t>
      </w:r>
    </w:p>
    <w:p>
      <w:pPr>
        <w:snapToGrid w:val="0"/>
        <w:spacing w:line="339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2022年全区预算依据</w:t>
      </w:r>
      <w:r>
        <w:rPr>
          <w:rFonts w:hint="eastAsia" w:ascii="仿宋_GB2312" w:eastAsia="仿宋_GB2312"/>
          <w:color w:val="333333"/>
          <w:sz w:val="32"/>
          <w:szCs w:val="32"/>
          <w:highlight w:val="none"/>
        </w:rPr>
        <w:t>《中华人民共和国预算法》等相关法律法规要求，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按照量入为出、收支平衡原则，</w:t>
      </w:r>
      <w:r>
        <w:rPr>
          <w:rFonts w:hint="eastAsia" w:ascii="仿宋_GB2312" w:eastAsia="仿宋_GB2312"/>
          <w:color w:val="333333"/>
          <w:sz w:val="32"/>
          <w:szCs w:val="32"/>
          <w:highlight w:val="none"/>
        </w:rPr>
        <w:t>结合全市经济社会发展规划和财力情况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进行编制。合理预计收入，将所有政府收入全部列入预算，</w:t>
      </w:r>
      <w:r>
        <w:rPr>
          <w:rFonts w:hint="eastAsia" w:ascii="仿宋" w:hAnsi="仿宋" w:eastAsia="仿宋"/>
          <w:color w:val="000000"/>
          <w:sz w:val="32"/>
          <w:szCs w:val="32"/>
          <w:highlight w:val="none"/>
          <w:shd w:val="clear" w:color="auto" w:fill="FFFFFF"/>
        </w:rPr>
        <w:t>着力构建全面规范、科学合理、公开透明的现代预算管理体制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；牢固树立过“紧日</w:t>
      </w:r>
      <w:r>
        <w:rPr>
          <w:rFonts w:hint="eastAsia" w:ascii="仿宋" w:hAnsi="仿宋" w:eastAsia="仿宋" w:cs="仿宋"/>
          <w:sz w:val="32"/>
          <w:szCs w:val="32"/>
        </w:rPr>
        <w:t>子”思想，从严从紧安排支出，兜牢“三保”底线，坚决化解债务风险，在保证基本公共服务合理需要的前提下，优先安排区委、区政府确定的重点支出，确保财政运行平稳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。</w:t>
      </w:r>
    </w:p>
    <w:p>
      <w:pPr>
        <w:snapToGrid w:val="0"/>
        <w:spacing w:line="339" w:lineRule="auto"/>
        <w:ind w:firstLine="640" w:firstLineChars="200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（一）2022年预算</w:t>
      </w:r>
    </w:p>
    <w:p>
      <w:pPr>
        <w:snapToGrid w:val="0"/>
        <w:spacing w:line="339" w:lineRule="auto"/>
        <w:ind w:firstLine="643" w:firstLineChars="200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1.一般公共预算</w:t>
      </w:r>
    </w:p>
    <w:p>
      <w:pPr>
        <w:snapToGrid w:val="0"/>
        <w:spacing w:line="339" w:lineRule="auto"/>
        <w:ind w:firstLine="643" w:firstLineChars="200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（1）全区一般公共预算</w:t>
      </w:r>
    </w:p>
    <w:p>
      <w:pPr>
        <w:snapToGrid w:val="0"/>
        <w:spacing w:line="339" w:lineRule="auto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一般公共预算收入60,000万元，同比增长4.5%。其中：税收收入57,057万元，同比增长6.4%，占比95.1%;非税收入2,943万元，同比下降22.3%，占比4.9%。</w:t>
      </w:r>
    </w:p>
    <w:p>
      <w:pPr>
        <w:snapToGrid w:val="0"/>
        <w:spacing w:line="339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一般公共预算支出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147,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727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万元，同比增长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1.1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%</w:t>
      </w:r>
      <w:r>
        <w:rPr>
          <w:rFonts w:hint="eastAsia" w:ascii="仿宋_GB2312" w:hAnsi="仿宋_GB2312" w:eastAsia="仿宋_GB2312" w:cs="仿宋_GB2312"/>
          <w:sz w:val="32"/>
          <w:szCs w:val="32"/>
        </w:rPr>
        <w:t>，增长的主要原因：将上年结转专项2.6亿元及本年提前告知专项1.1亿元安排预算支出。主要支出预算安排：社会保障和就业支出33,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917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万元，同比下降1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7.5</w:t>
      </w:r>
      <w:r>
        <w:rPr>
          <w:rFonts w:hint="eastAsia" w:ascii="仿宋_GB2312" w:hAnsi="仿宋_GB2312" w:eastAsia="仿宋_GB2312" w:cs="仿宋_GB2312"/>
          <w:sz w:val="32"/>
          <w:szCs w:val="32"/>
        </w:rPr>
        <w:t>%,</w:t>
      </w:r>
      <w:r>
        <w:rPr>
          <w:rFonts w:hint="eastAsia" w:ascii="仿宋_GB2312" w:eastAsia="仿宋_GB2312"/>
          <w:sz w:val="32"/>
          <w:szCs w:val="32"/>
        </w:rPr>
        <w:t>占比2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%</w:t>
      </w:r>
      <w:r>
        <w:rPr>
          <w:rFonts w:hint="eastAsia" w:ascii="仿宋_GB2312" w:hAnsi="仿宋_GB2312" w:eastAsia="仿宋_GB2312" w:cs="仿宋_GB2312"/>
          <w:sz w:val="32"/>
          <w:szCs w:val="32"/>
        </w:rPr>
        <w:t>；教育支出17,558万元，同比增长18.3%，</w:t>
      </w:r>
      <w:r>
        <w:rPr>
          <w:rFonts w:hint="eastAsia" w:ascii="仿宋_GB2312" w:eastAsia="仿宋_GB2312"/>
          <w:sz w:val="32"/>
          <w:szCs w:val="32"/>
        </w:rPr>
        <w:t>占比11</w:t>
      </w:r>
      <w:r>
        <w:rPr>
          <w:rFonts w:hint="eastAsia" w:ascii="仿宋_GB2312"/>
          <w:sz w:val="32"/>
          <w:szCs w:val="32"/>
        </w:rPr>
        <w:t>.9</w:t>
      </w:r>
      <w:r>
        <w:rPr>
          <w:rFonts w:hint="eastAsia" w:ascii="仿宋_GB2312" w:eastAsia="仿宋_GB2312"/>
          <w:sz w:val="32"/>
          <w:szCs w:val="32"/>
        </w:rPr>
        <w:t>%</w:t>
      </w:r>
      <w:bookmarkStart w:id="1" w:name="_GoBack"/>
      <w:bookmarkEnd w:id="1"/>
      <w:r>
        <w:rPr>
          <w:rFonts w:hint="eastAsia" w:ascii="仿宋_GB2312" w:hAnsi="仿宋_GB2312" w:eastAsia="仿宋_GB2312" w:cs="仿宋_GB2312"/>
          <w:sz w:val="32"/>
          <w:szCs w:val="32"/>
        </w:rPr>
        <w:t>；城乡社区支出16,952万元，同比增长31.0%，</w:t>
      </w:r>
      <w:r>
        <w:rPr>
          <w:rFonts w:hint="eastAsia" w:ascii="仿宋_GB2312" w:eastAsia="仿宋_GB2312"/>
          <w:sz w:val="32"/>
          <w:szCs w:val="32"/>
        </w:rPr>
        <w:t>占比11</w:t>
      </w:r>
      <w:r>
        <w:rPr>
          <w:rFonts w:hint="eastAsia" w:ascii="仿宋_GB2312"/>
          <w:sz w:val="32"/>
          <w:szCs w:val="32"/>
        </w:rPr>
        <w:t>.5</w:t>
      </w:r>
      <w:r>
        <w:rPr>
          <w:rFonts w:hint="eastAsia" w:ascii="仿宋_GB2312" w:eastAsia="仿宋_GB2312"/>
          <w:sz w:val="32"/>
          <w:szCs w:val="32"/>
        </w:rPr>
        <w:t>%</w:t>
      </w:r>
      <w:r>
        <w:rPr>
          <w:rFonts w:hint="eastAsia" w:ascii="仿宋_GB2312" w:hAnsi="仿宋_GB2312" w:eastAsia="仿宋_GB2312" w:cs="仿宋_GB2312"/>
          <w:sz w:val="32"/>
          <w:szCs w:val="32"/>
        </w:rPr>
        <w:t>；卫生健康支出6,066万元，同比增长4.1%,</w:t>
      </w:r>
      <w:r>
        <w:rPr>
          <w:rFonts w:hint="eastAsia" w:ascii="仿宋_GB2312" w:eastAsia="仿宋_GB2312"/>
          <w:sz w:val="32"/>
          <w:szCs w:val="32"/>
        </w:rPr>
        <w:t>占比4.1%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napToGrid w:val="0"/>
        <w:spacing w:line="339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一般公共预算收支平衡情况：总收入180,771万元，其中：一般公共预算收入60,000万元，上级补助收入41,866万元，上年结余收入</w:t>
      </w:r>
      <w:r>
        <w:rPr>
          <w:rFonts w:hint="eastAsia" w:ascii="仿宋_GB2312"/>
          <w:sz w:val="32"/>
          <w:szCs w:val="32"/>
        </w:rPr>
        <w:t>27,143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万元，调入资金40,338万元，债务转贷收入11,424万元。总支出180,771万元，其中：一般公共预算支出147,279万元，上解上级支出22,068万元，债务还本支出11,424万元，为收支平衡预算。</w:t>
      </w:r>
    </w:p>
    <w:p>
      <w:pPr>
        <w:snapToGrid w:val="0"/>
        <w:spacing w:line="339" w:lineRule="auto"/>
        <w:ind w:firstLine="643" w:firstLineChars="200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（2）区本级一般公共预算</w:t>
      </w:r>
    </w:p>
    <w:p>
      <w:pPr>
        <w:snapToGrid w:val="0"/>
        <w:spacing w:line="339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一般公共预算收入56,221万元，同比增长7.9%。其中：税收收入53,445万元，同比增长10.3%，占比95.1%;非税收入2,776万元，同比下降23.7%，占比4.9%。</w:t>
      </w:r>
    </w:p>
    <w:p>
      <w:pPr>
        <w:snapToGrid w:val="0"/>
        <w:spacing w:line="339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般公共预算支出144,311万元，同比增长24.5%。主要支出预算安排：城乡社区支出16,952万元，同比增长31.0%，占比11.8%；社会保障和就业支出33,075万元，同比下降18.3%，占比22.9%；教育支出17,558万元，同比增长18.3%，占比12.2%；卫生健康支出6,039万元，同比增长4.2%，占比4.2%；。</w:t>
      </w:r>
    </w:p>
    <w:p>
      <w:pPr>
        <w:snapToGrid w:val="0"/>
        <w:spacing w:line="339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一般公共预算收支平衡情况：总收入176,030万元，其中：一般公共预算收入56,221万元，上级补助收入40,904万元，上年结余收入</w:t>
      </w:r>
      <w:r>
        <w:rPr>
          <w:rFonts w:hint="eastAsia" w:ascii="仿宋_GB2312"/>
          <w:sz w:val="32"/>
          <w:szCs w:val="32"/>
        </w:rPr>
        <w:t>27,143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万元，调入资金40,338万元，债务转贷收入11,424万元。总支出176,030万元，其中：一般公共预算支出144,311万元，上解上级支出20,295万元，债务还本支出11,424万元，为收支平衡预算。</w:t>
      </w:r>
    </w:p>
    <w:p>
      <w:pPr>
        <w:snapToGrid w:val="0"/>
        <w:spacing w:line="339" w:lineRule="auto"/>
        <w:ind w:firstLine="643" w:firstLineChars="200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2.政府性基金预算</w:t>
      </w:r>
    </w:p>
    <w:p>
      <w:pPr>
        <w:snapToGrid w:val="0"/>
        <w:spacing w:line="339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全区政府性基金总收入65,542万元，其中：政府性基金预算收入50,000万元，与上年持平；上级补助收入316万元，上年结余收入1,826万元，债务转贷收入13,400万元。总支出65,542万元，其中：政府性基金预算支出11,627万元，同比增长8%；调出资金40,338万元，</w:t>
      </w:r>
      <w:r>
        <w:rPr>
          <w:rFonts w:hint="eastAsia" w:ascii="仿宋_GB2312" w:eastAsia="仿宋_GB2312"/>
          <w:sz w:val="32"/>
          <w:szCs w:val="32"/>
        </w:rPr>
        <w:t>结转下年支出177万元，</w:t>
      </w:r>
      <w:r>
        <w:rPr>
          <w:rFonts w:hint="eastAsia" w:ascii="仿宋_GB2312" w:hAnsi="仿宋_GB2312" w:eastAsia="仿宋_GB2312" w:cs="仿宋_GB2312"/>
          <w:sz w:val="32"/>
          <w:szCs w:val="32"/>
        </w:rPr>
        <w:t>债务还本支出13,400万元，为收支平衡预算。</w:t>
      </w:r>
    </w:p>
    <w:p>
      <w:pPr>
        <w:snapToGrid w:val="0"/>
        <w:spacing w:line="339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区本级预算与全区预算相同。</w:t>
      </w:r>
    </w:p>
    <w:p>
      <w:pPr>
        <w:snapToGrid w:val="0"/>
        <w:spacing w:line="339" w:lineRule="auto"/>
        <w:ind w:firstLine="643" w:firstLineChars="200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3.国有资本经营预算</w:t>
      </w:r>
    </w:p>
    <w:p>
      <w:pPr>
        <w:snapToGrid w:val="0"/>
        <w:spacing w:line="339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全区国有资本经营预算总收入5,495万元，全部为上年结余收入。总支出5,495万元，其中：国有资本经营预算支出5,395万元，上解支出100万元，为收支平衡预算。</w:t>
      </w:r>
    </w:p>
    <w:p>
      <w:pPr>
        <w:snapToGrid w:val="0"/>
        <w:spacing w:line="339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区本级预算与全区预算相同。</w:t>
      </w:r>
    </w:p>
    <w:p>
      <w:pPr>
        <w:snapToGrid w:val="0"/>
        <w:spacing w:line="339" w:lineRule="auto"/>
        <w:ind w:firstLine="640" w:firstLineChars="200"/>
        <w:rPr>
          <w:rFonts w:hint="eastAsia" w:ascii="楷体_GB2312" w:hAnsi="楷体_GB2312" w:eastAsia="楷体_GB2312" w:cs="楷体_GB2312"/>
          <w:sz w:val="32"/>
          <w:szCs w:val="32"/>
          <w:highlight w:val="none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（二）</w:t>
      </w:r>
      <w:r>
        <w:rPr>
          <w:rFonts w:hint="eastAsia" w:ascii="楷体_GB2312" w:hAnsi="楷体_GB2312" w:eastAsia="楷体_GB2312" w:cs="楷体_GB2312"/>
          <w:sz w:val="32"/>
          <w:szCs w:val="32"/>
          <w:highlight w:val="none"/>
        </w:rPr>
        <w:t>2022年财政工作的主要措施</w:t>
      </w:r>
    </w:p>
    <w:p>
      <w:pPr>
        <w:snapToGrid w:val="0"/>
        <w:spacing w:line="339" w:lineRule="auto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加强开源节流，力保收入增长。</w:t>
      </w:r>
      <w:r>
        <w:rPr>
          <w:rFonts w:hint="eastAsia" w:ascii="仿宋_GB2312" w:hAnsi="仿宋_GB2312" w:eastAsia="仿宋_GB2312" w:cs="仿宋_GB2312"/>
          <w:sz w:val="32"/>
          <w:szCs w:val="32"/>
        </w:rPr>
        <w:t>依法依规组织财政收入，积极探索培育新的税收增长点，堵塞存量税源税收漏洞，利用财政体制改革激励两镇、开发区及街道办事处履行组织收入主体责任，不断提高收入质量，力争促进财政收入稳增长。</w:t>
      </w:r>
    </w:p>
    <w:p>
      <w:pPr>
        <w:snapToGrid w:val="0"/>
        <w:spacing w:line="339" w:lineRule="auto"/>
        <w:ind w:firstLine="630"/>
        <w:outlineLvl w:val="2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优化支出结构，保障重点支出。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强化预算约束，调整支出结构，坚决压缩一般性支出及非急需、非刚性支出，提高民生类支出占比。牢牢兜住“三保”底线，确保养老金按时足额发放，保障困难群体各项补助应发尽发，支持教育投入增长，支持农业农村发展，落实环保工作要求，稳步提升基本公共服务保障水平。</w:t>
      </w:r>
    </w:p>
    <w:p>
      <w:pPr>
        <w:snapToGrid w:val="0"/>
        <w:spacing w:line="339" w:lineRule="auto"/>
        <w:ind w:firstLine="643" w:firstLineChars="20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加强债务管理，切实防控风险。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开展政府性债务清理，全面掌握存量债务的用途及形成资产情况；采取统筹预算资金偿还、盘活存量资产资源偿还等措施，确保完成2022年度化债任务；继续向上争取化解债务风险的有利政策，做好再融资债券发行，拓宽融资渠道，确保不发生债务违约风险。</w:t>
      </w:r>
    </w:p>
    <w:p>
      <w:pPr>
        <w:snapToGrid w:val="0"/>
        <w:spacing w:line="339" w:lineRule="auto"/>
        <w:ind w:firstLine="643" w:firstLineChars="20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完善体制建设，提高管理水平。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探索促进区域经济发展的激励机制，全面落实街道办事处财政体制改革实施意见，提高街道办事处挖掘财源、协税护税的积极性，发挥街道办事处在稳收入促发展中的责任主体作用，带动全区财政收入管理呈现向好局面。</w:t>
      </w:r>
    </w:p>
    <w:p>
      <w:pPr>
        <w:snapToGrid w:val="0"/>
        <w:spacing w:line="339" w:lineRule="auto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深化国企改革，推进提质增效。</w:t>
      </w:r>
      <w:r>
        <w:rPr>
          <w:rFonts w:hint="eastAsia" w:ascii="仿宋_GB2312" w:hAnsi="仿宋_GB2312" w:eastAsia="仿宋_GB2312" w:cs="仿宋_GB2312"/>
          <w:sz w:val="32"/>
          <w:szCs w:val="32"/>
        </w:rPr>
        <w:t>拓展现有三家混合所有制企业业务，积极引入优质国企、民企、外埠企业等各类战略投资者参与国有企业改革重组，通过增资扩股、改制重组、合资合作等多种方式，发展混合所有制经济。</w:t>
      </w:r>
      <w:r>
        <w:rPr>
          <w:rFonts w:hint="eastAsia" w:ascii="仿宋_GB2312" w:eastAsia="仿宋_GB2312"/>
          <w:sz w:val="32"/>
          <w:szCs w:val="32"/>
        </w:rPr>
        <w:t>实质性推进国有企业去平台化工作，改变过去以融资为主的经营方式，转型为基础设施、公用事业、城市运营等领域的市场化企业，提高国有企业经济效益，使其成为国有资本经营预算收入的重要来源。</w:t>
      </w:r>
    </w:p>
    <w:p>
      <w:pPr>
        <w:snapToGrid w:val="0"/>
        <w:spacing w:line="339" w:lineRule="auto"/>
        <w:ind w:firstLine="646" w:firstLineChars="202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主任、各位副主任、各位代表，2022年财政部门将在区委的坚强领导下，</w:t>
      </w:r>
      <w:r>
        <w:rPr>
          <w:rFonts w:hint="eastAsia" w:ascii="仿宋_GB2312" w:eastAsia="仿宋_GB2312"/>
          <w:sz w:val="32"/>
          <w:szCs w:val="32"/>
        </w:rPr>
        <w:t>在区人大、区政协的监督支持下，</w:t>
      </w:r>
      <w:r>
        <w:rPr>
          <w:rFonts w:hint="eastAsia" w:ascii="仿宋" w:hAnsi="仿宋" w:eastAsia="仿宋"/>
          <w:color w:val="000000"/>
          <w:sz w:val="32"/>
          <w:szCs w:val="32"/>
          <w:highlight w:val="none"/>
          <w:shd w:val="clear" w:color="auto" w:fill="FFFFFF"/>
        </w:rPr>
        <w:t>切实贯彻落实好本次会议的各项决议和要求，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遵循全区经济社会事业发展的总体思路，以更加坚定的信心、更加扎实的工作，开拓创新，砥砺前行，</w:t>
      </w:r>
      <w:r>
        <w:rPr>
          <w:rFonts w:hint="eastAsia" w:ascii="仿宋" w:hAnsi="仿宋" w:eastAsia="仿宋"/>
          <w:color w:val="000000"/>
          <w:sz w:val="32"/>
          <w:szCs w:val="32"/>
          <w:highlight w:val="none"/>
          <w:shd w:val="clear" w:color="auto" w:fill="FFFFFF"/>
        </w:rPr>
        <w:t>确保</w:t>
      </w:r>
      <w:r>
        <w:rPr>
          <w:rFonts w:ascii="Times New Roman" w:hAnsi="Times New Roman"/>
          <w:color w:val="000000"/>
          <w:sz w:val="32"/>
          <w:szCs w:val="32"/>
          <w:highlight w:val="none"/>
          <w:shd w:val="clear" w:color="auto" w:fill="FFFFFF"/>
        </w:rPr>
        <w:t>2022</w:t>
      </w:r>
      <w:r>
        <w:rPr>
          <w:rFonts w:hint="eastAsia" w:ascii="仿宋" w:hAnsi="仿宋" w:eastAsia="仿宋"/>
          <w:color w:val="000000"/>
          <w:sz w:val="32"/>
          <w:szCs w:val="32"/>
          <w:highlight w:val="none"/>
          <w:shd w:val="clear" w:color="auto" w:fill="FFFFFF"/>
        </w:rPr>
        <w:t>年财政收支预算任务的全面完成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，为全面</w:t>
      </w:r>
      <w:r>
        <w:rPr>
          <w:rFonts w:hint="eastAsia" w:ascii="仿宋_GB2312" w:hAnsi="仿宋_GB2312" w:eastAsia="仿宋_GB2312" w:cs="仿宋_GB2312"/>
          <w:sz w:val="32"/>
          <w:szCs w:val="32"/>
        </w:rPr>
        <w:t>建设高质量发展的现代化北方水城做出更大贡献！</w:t>
      </w:r>
    </w:p>
    <w:p>
      <w:pPr>
        <w:pStyle w:val="2"/>
        <w:snapToGrid w:val="0"/>
        <w:spacing w:line="339" w:lineRule="auto"/>
        <w:ind w:firstLine="640" w:firstLineChars="200"/>
        <w:rPr>
          <w:rFonts w:ascii="仿宋_GB2312"/>
          <w:szCs w:val="32"/>
        </w:rPr>
      </w:pPr>
    </w:p>
    <w:p>
      <w:pPr>
        <w:pStyle w:val="2"/>
        <w:rPr>
          <w:rFonts w:hint="eastAsia"/>
        </w:rPr>
      </w:pPr>
    </w:p>
    <w:p/>
    <w:sectPr>
      <w:footerReference r:id="rId3" w:type="default"/>
      <w:pgSz w:w="11905" w:h="16838" w:orient="landscape"/>
      <w:pgMar w:top="2098" w:right="1474" w:bottom="1984" w:left="1587" w:header="851" w:footer="1134" w:gutter="0"/>
      <w:pgNumType w:fmt="numberInDash"/>
      <w:cols w:space="720" w:num="1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-57150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  <w:lang w:val="zh-CN"/>
                            </w:rPr>
                            <w:t>-</w:t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 xml:space="preserve"> 10 -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4.5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8lJRdIAAAAHAQAADwAAAAAAAAABACAAAAAiAAAAZHJzL2Rvd25yZXYu&#10;eG1sUEsBAhQAFAAAAAgAh07iQOSi/s/IAQAAmQMAAA4AAAAAAAAAAQAgAAAAIQ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  <w:lang w:val="zh-CN"/>
                      </w:rPr>
                      <w:t>-</w:t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 xml:space="preserve"> 10 -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9C17863"/>
    <w:multiLevelType w:val="singleLevel"/>
    <w:tmpl w:val="99C17863"/>
    <w:lvl w:ilvl="0" w:tentative="0">
      <w:start w:val="2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8A1E18"/>
    <w:rsid w:val="0C8A1E18"/>
    <w:rsid w:val="331A0ECD"/>
    <w:rsid w:val="54265AE2"/>
    <w:rsid w:val="5DDF5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rPr>
      <w:rFonts w:eastAsia="仿宋_GB2312"/>
      <w:sz w:val="32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Subtitle"/>
    <w:basedOn w:val="1"/>
    <w:next w:val="1"/>
    <w:qFormat/>
    <w:uiPriority w:val="0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223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2022-02-18T08:42:00Z</dcterms:created>
  <dc:creator>既然不是仙难免有杂念</dc:creator>
  <cp:lastModifiedBy>既然不是仙难免有杂念</cp:lastModifiedBy>
  <cp:lastPrinted>2022-02-18T08:45:00Z</cp:lastPrinted>
  <dcterms:modified xsi:type="dcterms:W3CDTF">2022-03-02T01:54:23Z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A15B5D2CB4DF40A0A539851F2592789F</vt:lpwstr>
  </property>
</Properties>
</file>