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b/>
          <w:sz w:val="44"/>
          <w:szCs w:val="44"/>
        </w:rPr>
      </w:pPr>
      <w:bookmarkStart w:id="0" w:name="_GoBack"/>
      <w:bookmarkEnd w:id="0"/>
    </w:p>
    <w:p>
      <w:pPr>
        <w:spacing w:line="480" w:lineRule="auto"/>
        <w:jc w:val="center"/>
        <w:rPr>
          <w:rFonts w:asciiTheme="minorEastAsia" w:hAnsiTheme="minorEastAsia" w:eastAsiaTheme="minorEastAsia"/>
          <w:b/>
          <w:sz w:val="44"/>
          <w:szCs w:val="44"/>
          <w:u w:val="single"/>
        </w:rPr>
      </w:pPr>
      <w:r>
        <w:rPr>
          <w:rFonts w:hint="eastAsia" w:asciiTheme="minorEastAsia" w:hAnsiTheme="minorEastAsia" w:eastAsiaTheme="minorEastAsia"/>
          <w:b/>
          <w:sz w:val="52"/>
          <w:szCs w:val="52"/>
        </w:rPr>
        <w:t>双台子区</w:t>
      </w:r>
      <w:r>
        <w:rPr>
          <w:rFonts w:hint="eastAsia" w:cs="仿宋" w:asciiTheme="minorEastAsia" w:hAnsiTheme="minorEastAsia" w:eastAsiaTheme="minorEastAsia"/>
          <w:b/>
          <w:sz w:val="48"/>
          <w:szCs w:val="48"/>
        </w:rPr>
        <w:t>胜利街道办事处</w:t>
      </w:r>
      <w:r>
        <w:rPr>
          <w:rFonts w:hint="eastAsia" w:asciiTheme="minorEastAsia" w:hAnsiTheme="minorEastAsia" w:eastAsiaTheme="minorEastAsia"/>
          <w:b/>
          <w:sz w:val="52"/>
          <w:szCs w:val="52"/>
        </w:rPr>
        <w:t>2022年度部门预算</w:t>
      </w:r>
    </w:p>
    <w:p>
      <w:pPr>
        <w:spacing w:line="540" w:lineRule="exact"/>
        <w:jc w:val="center"/>
        <w:rPr>
          <w:b/>
          <w:sz w:val="44"/>
          <w:szCs w:val="44"/>
          <w:u w:val="single"/>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ind w:firstLine="640" w:firstLineChars="200"/>
        <w:rPr>
          <w:rFonts w:ascii="黑体" w:hAnsi="黑体" w:eastAsia="黑体"/>
          <w:sz w:val="32"/>
          <w:szCs w:val="32"/>
        </w:rPr>
      </w:pPr>
      <w:r>
        <w:rPr>
          <w:rFonts w:hint="eastAsia" w:ascii="黑体" w:hAnsi="黑体" w:eastAsia="黑体"/>
          <w:sz w:val="32"/>
          <w:szCs w:val="32"/>
        </w:rPr>
        <w:t>第一部分  双台子区胜利街道办事处部门概况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pPr>
        <w:spacing w:line="540" w:lineRule="exact"/>
        <w:ind w:firstLine="640" w:firstLineChars="200"/>
        <w:rPr>
          <w:rFonts w:ascii="仿宋" w:hAnsi="仿宋" w:eastAsia="仿宋"/>
          <w:b/>
          <w:sz w:val="32"/>
          <w:szCs w:val="32"/>
        </w:rPr>
      </w:pPr>
      <w:r>
        <w:rPr>
          <w:rFonts w:hint="eastAsia" w:ascii="黑体" w:hAnsi="黑体" w:eastAsia="黑体"/>
          <w:sz w:val="32"/>
          <w:szCs w:val="32"/>
        </w:rPr>
        <w:t>第二部分  双台子区胜利街道办事处2022年度部门预算报表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一、2022年度部门收支总体情况表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二、2022年度收入预算总表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三、2022年度部门支出总体情况表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四、2022年度财政拨款收支总体情况表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五、2022年度一般公共预算支出情况表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六、2022年度一般公共预算基本支出情况表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七、2022年度一般公共预算“三公”经费支出表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八、2022年度政府性基金预算支出情况表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九、2022年度部门综合预算项目支出表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十、2022年度部门（单位）整体绩效目标表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十一、2022年度本级部门预算项目（政策）绩效目标表</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第三部分  双台子区胜利街道办事处2022年度部门预算情况说明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宋体" w:hAnsi="宋体"/>
          <w:b/>
          <w:sz w:val="44"/>
          <w:szCs w:val="44"/>
        </w:rPr>
      </w:pPr>
      <w:r>
        <w:rPr>
          <w:rFonts w:hint="eastAsia" w:ascii="宋体" w:hAnsi="宋体"/>
          <w:b/>
          <w:sz w:val="44"/>
          <w:szCs w:val="44"/>
        </w:rPr>
        <w:t>第一部分</w:t>
      </w:r>
      <w:r>
        <w:rPr>
          <w:rFonts w:ascii="宋体" w:hAnsi="宋体"/>
          <w:b/>
          <w:sz w:val="44"/>
          <w:szCs w:val="44"/>
        </w:rPr>
        <w:t xml:space="preserve">  </w:t>
      </w:r>
      <w:r>
        <w:rPr>
          <w:rFonts w:hint="eastAsia" w:ascii="宋体" w:hAnsi="宋体"/>
          <w:b/>
          <w:sz w:val="44"/>
          <w:szCs w:val="44"/>
        </w:rPr>
        <w:t>双台子区胜利街道办事处部门概况</w:t>
      </w:r>
    </w:p>
    <w:p>
      <w:pPr>
        <w:spacing w:line="540" w:lineRule="exact"/>
        <w:jc w:val="left"/>
        <w:rPr>
          <w:rFonts w:ascii="黑体" w:eastAsia="黑体"/>
          <w:sz w:val="32"/>
          <w:szCs w:val="32"/>
        </w:rPr>
      </w:pPr>
    </w:p>
    <w:p>
      <w:pPr>
        <w:numPr>
          <w:ilvl w:val="0"/>
          <w:numId w:val="1"/>
        </w:numPr>
        <w:spacing w:line="540" w:lineRule="exact"/>
        <w:jc w:val="left"/>
        <w:rPr>
          <w:rFonts w:ascii="黑体" w:eastAsia="黑体"/>
          <w:sz w:val="32"/>
          <w:szCs w:val="32"/>
        </w:rPr>
      </w:pPr>
      <w:r>
        <w:rPr>
          <w:rFonts w:hint="eastAsia" w:ascii="黑体" w:eastAsia="黑体"/>
          <w:sz w:val="32"/>
          <w:szCs w:val="32"/>
        </w:rPr>
        <w:t>主要职责</w:t>
      </w:r>
    </w:p>
    <w:p>
      <w:pPr>
        <w:spacing w:line="360" w:lineRule="auto"/>
        <w:ind w:left="640" w:firstLine="480" w:firstLineChars="150"/>
        <w:rPr>
          <w:rFonts w:ascii="仿宋" w:hAnsi="仿宋" w:eastAsia="仿宋" w:cs="仿宋"/>
          <w:bCs/>
          <w:sz w:val="32"/>
          <w:szCs w:val="32"/>
        </w:rPr>
      </w:pPr>
      <w:r>
        <w:rPr>
          <w:rFonts w:hint="eastAsia" w:ascii="仿宋" w:hAnsi="仿宋" w:eastAsia="仿宋" w:cs="仿宋"/>
          <w:sz w:val="32"/>
        </w:rPr>
        <w:t>盘锦市双台子区胜利街道办事处是区政府派出机构，为一级预算单位，主要职责：</w:t>
      </w:r>
    </w:p>
    <w:p>
      <w:pPr>
        <w:spacing w:line="360" w:lineRule="auto"/>
        <w:ind w:left="640" w:firstLine="640" w:firstLineChars="200"/>
        <w:rPr>
          <w:rFonts w:ascii="仿宋" w:hAnsi="仿宋" w:eastAsia="仿宋" w:cs="仿宋"/>
          <w:sz w:val="32"/>
        </w:rPr>
      </w:pPr>
      <w:r>
        <w:rPr>
          <w:rFonts w:hint="eastAsia" w:ascii="仿宋" w:hAnsi="仿宋" w:eastAsia="仿宋" w:cs="仿宋"/>
          <w:sz w:val="32"/>
        </w:rPr>
        <w:t>(一)宣传、贯彻执行党和国家的路线方针、政策、法律、法规以及市区党委、政府关于街道工作方面的决议、决定，团结、组织辖区内党员和群众，制订具体的管理办法并组织实施.</w:t>
      </w:r>
    </w:p>
    <w:p>
      <w:pPr>
        <w:spacing w:line="360" w:lineRule="auto"/>
        <w:ind w:left="640" w:firstLine="640" w:firstLineChars="200"/>
        <w:rPr>
          <w:rFonts w:ascii="仿宋" w:hAnsi="仿宋" w:eastAsia="仿宋" w:cs="仿宋"/>
          <w:sz w:val="32"/>
        </w:rPr>
      </w:pPr>
      <w:r>
        <w:rPr>
          <w:rFonts w:hint="eastAsia" w:ascii="仿宋" w:hAnsi="仿宋" w:eastAsia="仿宋" w:cs="仿宋"/>
          <w:sz w:val="32"/>
        </w:rPr>
        <w:t>(二)加强街道党组织自身建设，充分发挥街道党组织的领 导核心、战斗堡垒作用和党员的先锋模范作用。维护和执行党的纪律，监督党员干部和其他工作人员严格遵守国家法律法规。</w:t>
      </w:r>
    </w:p>
    <w:p>
      <w:pPr>
        <w:spacing w:line="360" w:lineRule="auto"/>
        <w:ind w:firstLine="640" w:firstLineChars="200"/>
        <w:rPr>
          <w:rFonts w:ascii="仿宋" w:hAnsi="仿宋" w:eastAsia="仿宋" w:cs="仿宋"/>
          <w:sz w:val="32"/>
        </w:rPr>
      </w:pPr>
      <w:r>
        <w:rPr>
          <w:rFonts w:hint="eastAsia" w:ascii="仿宋" w:hAnsi="仿宋" w:eastAsia="仿宋" w:cs="仿宋"/>
          <w:sz w:val="32"/>
        </w:rPr>
        <w:t>(三)负责制定、落实本辖区的经济发展规划和措施.推动本辖区经济工作，营造良好的经济发展环境，促进产业结构调整，努力提高本辖区经济实力和可持续发展能力，促进社会全面进步，不断提高人民群众物质文化生活水平.</w:t>
      </w:r>
    </w:p>
    <w:p>
      <w:pPr>
        <w:spacing w:line="360" w:lineRule="auto"/>
        <w:ind w:firstLine="640" w:firstLineChars="200"/>
        <w:rPr>
          <w:rFonts w:ascii="仿宋" w:hAnsi="仿宋" w:eastAsia="仿宋" w:cs="仿宋"/>
          <w:sz w:val="32"/>
        </w:rPr>
      </w:pPr>
      <w:r>
        <w:rPr>
          <w:rFonts w:hint="eastAsia" w:ascii="仿宋" w:hAnsi="仿宋" w:eastAsia="仿宋" w:cs="仿宋"/>
          <w:sz w:val="32"/>
        </w:rPr>
        <w:t>(四)指导社区的工作，支持、帮助社区组织加强思想、组织、制度建设，向上级党委和政府及有关部门及时反映居民的意见、建议和要求.</w:t>
      </w:r>
    </w:p>
    <w:p>
      <w:pPr>
        <w:spacing w:line="360" w:lineRule="auto"/>
        <w:ind w:firstLine="640" w:firstLineChars="200"/>
        <w:rPr>
          <w:rFonts w:ascii="仿宋" w:hAnsi="仿宋" w:eastAsia="仿宋" w:cs="仿宋"/>
          <w:sz w:val="32"/>
        </w:rPr>
      </w:pPr>
      <w:r>
        <w:rPr>
          <w:rFonts w:hint="eastAsia" w:ascii="仿宋" w:hAnsi="仿宋" w:eastAsia="仿宋" w:cs="仿宋"/>
          <w:sz w:val="32"/>
        </w:rPr>
        <w:t>(五)抓好社区文化建设，开展文明街道、文明单位，文明小区、文明社区等创建活动，组织开展经常性的文化、娱乐、体育活动.</w:t>
      </w:r>
    </w:p>
    <w:p>
      <w:pPr>
        <w:spacing w:line="360" w:lineRule="auto"/>
        <w:ind w:firstLine="640" w:firstLineChars="200"/>
        <w:rPr>
          <w:rFonts w:ascii="仿宋" w:hAnsi="仿宋" w:eastAsia="仿宋" w:cs="仿宋"/>
          <w:sz w:val="32"/>
        </w:rPr>
      </w:pPr>
      <w:r>
        <w:rPr>
          <w:rFonts w:hint="eastAsia" w:ascii="仿宋" w:hAnsi="仿宋" w:eastAsia="仿宋" w:cs="仿宋"/>
          <w:sz w:val="32"/>
        </w:rPr>
        <w:t>(六)开展社会主义民主和法制的宣传教育，保障公民的权利；制定社会治安综合治理工作规划并组织实施；加强社区管理工作，依法管理外来流动人口，处理群众来信来访，调解民间纠纷，打击违法犯罪，维护社会稳定.</w:t>
      </w:r>
    </w:p>
    <w:p>
      <w:pPr>
        <w:spacing w:line="360" w:lineRule="auto"/>
        <w:ind w:firstLine="640" w:firstLineChars="200"/>
        <w:rPr>
          <w:rFonts w:ascii="仿宋" w:hAnsi="仿宋" w:eastAsia="仿宋" w:cs="仿宋"/>
          <w:sz w:val="32"/>
        </w:rPr>
      </w:pPr>
      <w:r>
        <w:rPr>
          <w:rFonts w:ascii="仿宋" w:hAnsi="仿宋" w:eastAsia="仿宋" w:cs="仿宋"/>
          <w:sz w:val="32"/>
        </w:rPr>
        <w:t>(</w:t>
      </w:r>
      <w:r>
        <w:rPr>
          <w:rFonts w:hint="eastAsia" w:ascii="仿宋" w:hAnsi="仿宋" w:eastAsia="仿宋" w:cs="仿宋"/>
          <w:sz w:val="32"/>
        </w:rPr>
        <w:t>七)强化城市管理职能，协助相关部门做好危(旧)房改造、园林绿化、环境卫生、市容市貌等工作。</w:t>
      </w:r>
    </w:p>
    <w:p>
      <w:pPr>
        <w:spacing w:line="360" w:lineRule="auto"/>
        <w:ind w:firstLine="640" w:firstLineChars="200"/>
        <w:rPr>
          <w:rFonts w:ascii="仿宋" w:hAnsi="仿宋" w:eastAsia="仿宋" w:cs="仿宋"/>
          <w:sz w:val="32"/>
        </w:rPr>
      </w:pPr>
      <w:r>
        <w:rPr>
          <w:rFonts w:hint="eastAsia" w:ascii="仿宋" w:hAnsi="仿宋" w:eastAsia="仿宋" w:cs="仿宋"/>
          <w:sz w:val="32"/>
        </w:rPr>
        <w:t>(八)制定社会各项事业发展规划并组织实施，协助有关部门发展教育、卫生健康、科技、民政、文化、体育事业.做好劳动就业、社会保障、计划生育、科普、老龄、妇女儿童、民族宗教、侨务、红十字等社会事业建设和社会事务管理工作。</w:t>
      </w:r>
    </w:p>
    <w:p>
      <w:pPr>
        <w:spacing w:line="360" w:lineRule="auto"/>
        <w:ind w:firstLine="640" w:firstLineChars="200"/>
        <w:rPr>
          <w:rFonts w:ascii="仿宋" w:hAnsi="仿宋" w:eastAsia="仿宋" w:cs="仿宋"/>
          <w:sz w:val="32"/>
        </w:rPr>
      </w:pPr>
      <w:r>
        <w:rPr>
          <w:rFonts w:hint="eastAsia" w:ascii="仿宋" w:hAnsi="仿宋" w:eastAsia="仿宋" w:cs="仿宋"/>
          <w:sz w:val="32"/>
        </w:rPr>
        <w:t>(九)做好辖区内应急管理工作，处理各种突发事件，重大问题及时向上级机关汇报。配合有关部门做好辖区内安全生产工作。</w:t>
      </w:r>
    </w:p>
    <w:p>
      <w:pPr>
        <w:spacing w:line="360" w:lineRule="auto"/>
        <w:ind w:firstLine="640" w:firstLineChars="200"/>
        <w:rPr>
          <w:rFonts w:ascii="仿宋" w:hAnsi="仿宋" w:eastAsia="仿宋" w:cs="仿宋"/>
          <w:sz w:val="32"/>
        </w:rPr>
      </w:pPr>
      <w:r>
        <w:rPr>
          <w:rFonts w:hint="eastAsia" w:ascii="仿宋" w:hAnsi="仿宋" w:eastAsia="仿宋" w:cs="仿宋"/>
          <w:sz w:val="32"/>
        </w:rPr>
        <w:t>(十)协助有关部门做好辖区拥军优属、优抚安置、社会福利、社会救济、殡葬改革、残疾人就业等工作；积极开展便民利民的服务和教育工作.</w:t>
      </w:r>
    </w:p>
    <w:p>
      <w:pPr>
        <w:spacing w:line="360" w:lineRule="auto"/>
        <w:ind w:firstLine="640" w:firstLineChars="200"/>
        <w:rPr>
          <w:rFonts w:ascii="仿宋" w:hAnsi="仿宋" w:eastAsia="仿宋" w:cs="仿宋"/>
          <w:sz w:val="32"/>
        </w:rPr>
      </w:pPr>
      <w:r>
        <w:rPr>
          <w:rFonts w:hint="eastAsia" w:ascii="仿宋" w:hAnsi="仿宋" w:eastAsia="仿宋" w:cs="仿宋"/>
          <w:sz w:val="32"/>
        </w:rPr>
        <w:t>(十一)协助武装部门做好辖区民兵训练和公民服兵役工作.</w:t>
      </w:r>
    </w:p>
    <w:p>
      <w:pPr>
        <w:spacing w:line="360" w:lineRule="auto"/>
        <w:ind w:firstLine="640" w:firstLineChars="200"/>
        <w:rPr>
          <w:rFonts w:ascii="仿宋" w:hAnsi="仿宋" w:eastAsia="仿宋" w:cs="仿宋"/>
          <w:sz w:val="32"/>
        </w:rPr>
      </w:pPr>
      <w:r>
        <w:rPr>
          <w:rFonts w:hint="eastAsia" w:ascii="仿宋" w:hAnsi="仿宋" w:eastAsia="仿宋" w:cs="仿宋"/>
          <w:sz w:val="32"/>
        </w:rPr>
        <w:t>(十二)配合相关部门做好本辖区的综合执法工作，维护辖区的良好秩序.</w:t>
      </w:r>
    </w:p>
    <w:p>
      <w:pPr>
        <w:spacing w:line="360" w:lineRule="auto"/>
        <w:ind w:firstLine="640" w:firstLineChars="200"/>
        <w:rPr>
          <w:rFonts w:ascii="黑体" w:eastAsia="黑体"/>
          <w:sz w:val="32"/>
          <w:szCs w:val="32"/>
        </w:rPr>
      </w:pPr>
      <w:r>
        <w:rPr>
          <w:rFonts w:hint="eastAsia" w:ascii="仿宋" w:hAnsi="仿宋" w:eastAsia="仿宋" w:cs="仿宋"/>
          <w:sz w:val="32"/>
        </w:rPr>
        <w:t>(十三)完成区委、区政府交办的其他工作.</w:t>
      </w:r>
    </w:p>
    <w:p>
      <w:pPr>
        <w:numPr>
          <w:ilvl w:val="0"/>
          <w:numId w:val="2"/>
        </w:numPr>
        <w:spacing w:line="540" w:lineRule="exact"/>
        <w:ind w:firstLine="640" w:firstLineChars="200"/>
        <w:jc w:val="left"/>
        <w:rPr>
          <w:rFonts w:ascii="黑体" w:eastAsia="黑体"/>
          <w:sz w:val="32"/>
          <w:szCs w:val="32"/>
        </w:rPr>
      </w:pPr>
      <w:r>
        <w:rPr>
          <w:rFonts w:ascii="黑体" w:eastAsia="黑体"/>
          <w:sz w:val="32"/>
          <w:szCs w:val="32"/>
        </w:rPr>
        <w:t>机构设置</w:t>
      </w:r>
    </w:p>
    <w:p>
      <w:pPr>
        <w:spacing w:line="540" w:lineRule="exact"/>
        <w:jc w:val="left"/>
        <w:rPr>
          <w:rFonts w:ascii="黑体" w:eastAsia="黑体"/>
          <w:sz w:val="32"/>
          <w:szCs w:val="32"/>
        </w:rPr>
      </w:pPr>
      <w:r>
        <w:rPr>
          <w:rFonts w:hint="eastAsia" w:ascii="黑体" w:eastAsia="黑体"/>
          <w:sz w:val="32"/>
          <w:szCs w:val="32"/>
        </w:rPr>
        <w:t xml:space="preserve">    </w:t>
      </w:r>
      <w:r>
        <w:rPr>
          <w:rFonts w:hint="eastAsia" w:ascii="仿宋" w:hAnsi="仿宋" w:eastAsia="仿宋"/>
          <w:sz w:val="32"/>
          <w:szCs w:val="32"/>
        </w:rPr>
        <w:t>根据本部门主要职责，内设机构如下：</w:t>
      </w:r>
    </w:p>
    <w:p>
      <w:pPr>
        <w:spacing w:line="360" w:lineRule="auto"/>
        <w:ind w:firstLine="640" w:firstLineChars="200"/>
        <w:rPr>
          <w:rFonts w:ascii="仿宋" w:hAnsi="仿宋" w:eastAsia="仿宋" w:cs="仿宋"/>
          <w:sz w:val="32"/>
        </w:rPr>
      </w:pPr>
      <w:r>
        <w:rPr>
          <w:rFonts w:hint="eastAsia" w:ascii="仿宋" w:hAnsi="仿宋" w:eastAsia="仿宋" w:cs="仿宋"/>
          <w:sz w:val="32"/>
        </w:rPr>
        <w:t>盘锦市双台子区胜利街道设置6个综合办事机构：党政综合办公室(党建工作办公室)、社会治理办公室、公共服务办公室、城市管理办公室、生态环保办公室、应急管理办公室。</w:t>
      </w:r>
    </w:p>
    <w:p>
      <w:pPr>
        <w:spacing w:line="360" w:lineRule="auto"/>
        <w:ind w:firstLine="624" w:firstLineChars="195"/>
        <w:rPr>
          <w:rFonts w:ascii="仿宋" w:hAnsi="仿宋" w:eastAsia="仿宋" w:cs="仿宋"/>
          <w:sz w:val="32"/>
        </w:rPr>
      </w:pPr>
      <w:r>
        <w:rPr>
          <w:rFonts w:hint="eastAsia" w:ascii="仿宋" w:hAnsi="仿宋" w:eastAsia="仿宋" w:cs="仿宋"/>
          <w:sz w:val="32"/>
        </w:rPr>
        <w:t>所属二级单位设置如下：</w:t>
      </w:r>
    </w:p>
    <w:p>
      <w:pPr>
        <w:spacing w:line="360" w:lineRule="auto"/>
        <w:ind w:firstLine="640" w:firstLineChars="200"/>
        <w:rPr>
          <w:rFonts w:ascii="仿宋" w:hAnsi="仿宋" w:eastAsia="仿宋" w:cs="仿宋"/>
          <w:sz w:val="32"/>
        </w:rPr>
      </w:pPr>
      <w:r>
        <w:rPr>
          <w:rFonts w:hint="eastAsia" w:ascii="仿宋" w:hAnsi="仿宋" w:eastAsia="仿宋" w:cs="仿宋"/>
          <w:sz w:val="32"/>
        </w:rPr>
        <w:t>无二级单位。</w:t>
      </w:r>
    </w:p>
    <w:p>
      <w:pPr>
        <w:spacing w:line="540" w:lineRule="exact"/>
        <w:ind w:firstLine="640" w:firstLineChars="200"/>
        <w:jc w:val="left"/>
        <w:rPr>
          <w:rFonts w:ascii="黑体" w:eastAsia="黑体"/>
          <w:sz w:val="32"/>
          <w:szCs w:val="32"/>
        </w:rPr>
      </w:pPr>
      <w:r>
        <w:rPr>
          <w:rFonts w:hint="eastAsia" w:ascii="黑体" w:eastAsia="黑体"/>
          <w:sz w:val="32"/>
          <w:szCs w:val="32"/>
        </w:rPr>
        <w:t>三、部门预算单位构成</w:t>
      </w:r>
    </w:p>
    <w:p>
      <w:pPr>
        <w:spacing w:line="360" w:lineRule="auto"/>
        <w:ind w:firstLine="624" w:firstLineChars="195"/>
        <w:rPr>
          <w:rFonts w:ascii="宋体" w:hAnsi="宋体" w:eastAsia="仿宋"/>
          <w:b/>
          <w:sz w:val="36"/>
          <w:szCs w:val="36"/>
        </w:rPr>
      </w:pPr>
      <w:r>
        <w:rPr>
          <w:rFonts w:hint="eastAsia" w:ascii="仿宋" w:hAnsi="仿宋" w:eastAsia="仿宋" w:cs="仿宋"/>
          <w:sz w:val="32"/>
        </w:rPr>
        <w:t>根据双台子区相关预算文件要求，纳入盘锦市双台子区胜利街道办事处2021年度部门预算编制范围的二级单位:无。</w:t>
      </w:r>
    </w:p>
    <w:p>
      <w:pPr>
        <w:spacing w:line="600" w:lineRule="exact"/>
        <w:ind w:firstLine="640" w:firstLineChars="200"/>
        <w:rPr>
          <w:rFonts w:ascii="仿宋_GB2312" w:hAnsi="仿宋_GB2312" w:eastAsia="仿宋_GB2312" w:cs="仿宋_GB2312"/>
          <w:sz w:val="32"/>
        </w:rPr>
      </w:pPr>
    </w:p>
    <w:p>
      <w:pPr>
        <w:numPr>
          <w:ilvl w:val="0"/>
          <w:numId w:val="3"/>
        </w:numPr>
        <w:spacing w:line="480" w:lineRule="auto"/>
        <w:jc w:val="center"/>
        <w:rPr>
          <w:rFonts w:ascii="宋体" w:hAnsi="宋体"/>
          <w:b/>
          <w:sz w:val="44"/>
          <w:szCs w:val="44"/>
        </w:rPr>
      </w:pPr>
      <w:r>
        <w:rPr>
          <w:rFonts w:hint="eastAsia" w:ascii="宋体" w:hAnsi="宋体"/>
          <w:b/>
          <w:sz w:val="44"/>
          <w:szCs w:val="44"/>
        </w:rPr>
        <w:t>双台子区胜利街道办事处</w:t>
      </w:r>
    </w:p>
    <w:p>
      <w:pPr>
        <w:spacing w:line="480" w:lineRule="auto"/>
        <w:jc w:val="center"/>
        <w:rPr>
          <w:rFonts w:ascii="仿宋_GB2312" w:eastAsia="仿宋_GB2312"/>
          <w:sz w:val="44"/>
          <w:szCs w:val="44"/>
        </w:rPr>
      </w:pPr>
      <w:r>
        <w:rPr>
          <w:rFonts w:hint="eastAsia" w:ascii="宋体" w:hAnsi="宋体"/>
          <w:b/>
          <w:sz w:val="44"/>
          <w:szCs w:val="44"/>
        </w:rPr>
        <w:t>2022年度部门预算公开表</w:t>
      </w:r>
    </w:p>
    <w:p>
      <w:pPr>
        <w:spacing w:line="540" w:lineRule="exact"/>
        <w:jc w:val="center"/>
        <w:rPr>
          <w:rFonts w:ascii="仿宋_GB2312" w:eastAsia="仿宋_GB2312"/>
          <w:b/>
          <w:sz w:val="32"/>
          <w:szCs w:val="32"/>
        </w:rPr>
      </w:pPr>
      <w:r>
        <w:rPr>
          <w:rFonts w:hint="eastAsia" w:ascii="仿宋_GB2312" w:eastAsia="仿宋_GB2312"/>
          <w:b/>
          <w:sz w:val="32"/>
          <w:szCs w:val="32"/>
        </w:rPr>
        <w:t>（该部分内容详见附件）</w:t>
      </w:r>
    </w:p>
    <w:p>
      <w:pPr>
        <w:spacing w:line="480" w:lineRule="auto"/>
        <w:jc w:val="center"/>
        <w:rPr>
          <w:rFonts w:ascii="宋体" w:hAnsi="宋体"/>
          <w:b/>
          <w:sz w:val="44"/>
          <w:szCs w:val="44"/>
        </w:rPr>
      </w:pPr>
    </w:p>
    <w:p>
      <w:pPr>
        <w:spacing w:line="480" w:lineRule="auto"/>
        <w:jc w:val="center"/>
        <w:rPr>
          <w:rFonts w:ascii="宋体" w:hAnsi="宋体"/>
          <w:b/>
          <w:sz w:val="44"/>
          <w:szCs w:val="44"/>
        </w:rPr>
      </w:pPr>
    </w:p>
    <w:p>
      <w:pPr>
        <w:spacing w:line="480" w:lineRule="auto"/>
        <w:jc w:val="center"/>
        <w:rPr>
          <w:rFonts w:ascii="宋体" w:hAnsi="宋体"/>
          <w:b/>
          <w:sz w:val="44"/>
          <w:szCs w:val="44"/>
        </w:rPr>
      </w:pPr>
      <w:r>
        <w:rPr>
          <w:rFonts w:hint="eastAsia" w:ascii="宋体" w:hAnsi="宋体"/>
          <w:b/>
          <w:sz w:val="44"/>
          <w:szCs w:val="44"/>
        </w:rPr>
        <w:t>第三部分双台子区胜利街道办事处</w:t>
      </w:r>
    </w:p>
    <w:p>
      <w:pPr>
        <w:spacing w:line="480" w:lineRule="auto"/>
        <w:jc w:val="center"/>
        <w:rPr>
          <w:rFonts w:ascii="宋体" w:hAnsi="宋体"/>
          <w:b/>
          <w:sz w:val="44"/>
          <w:szCs w:val="44"/>
        </w:rPr>
      </w:pPr>
      <w:r>
        <w:rPr>
          <w:rFonts w:hint="eastAsia" w:ascii="宋体" w:hAnsi="宋体"/>
          <w:b/>
          <w:sz w:val="44"/>
          <w:szCs w:val="44"/>
        </w:rPr>
        <w:t>2022年度部门预算情况说明</w:t>
      </w:r>
    </w:p>
    <w:p>
      <w:pPr>
        <w:spacing w:line="540" w:lineRule="exact"/>
        <w:rPr>
          <w:rFonts w:ascii="宋体" w:hAnsi="宋体"/>
          <w:b/>
          <w:sz w:val="36"/>
          <w:szCs w:val="36"/>
        </w:rPr>
      </w:pPr>
    </w:p>
    <w:p>
      <w:pPr>
        <w:spacing w:line="540" w:lineRule="exact"/>
        <w:ind w:firstLine="660"/>
        <w:rPr>
          <w:rFonts w:ascii="黑体" w:hAnsi="黑体" w:eastAsia="黑体"/>
          <w:sz w:val="32"/>
          <w:szCs w:val="32"/>
        </w:rPr>
      </w:pPr>
      <w:r>
        <w:rPr>
          <w:rFonts w:hint="eastAsia" w:ascii="黑体" w:hAnsi="黑体" w:eastAsia="黑体"/>
          <w:sz w:val="32"/>
          <w:szCs w:val="32"/>
        </w:rPr>
        <w:t>一、收支预算的总体情况说明</w:t>
      </w:r>
    </w:p>
    <w:p>
      <w:pPr>
        <w:spacing w:line="360" w:lineRule="auto"/>
        <w:ind w:firstLine="624" w:firstLineChars="195"/>
        <w:rPr>
          <w:rFonts w:ascii="仿宋" w:hAnsi="仿宋" w:eastAsia="仿宋" w:cs="仿宋"/>
          <w:sz w:val="32"/>
        </w:rPr>
      </w:pPr>
      <w:r>
        <w:rPr>
          <w:rFonts w:hint="eastAsia" w:ascii="仿宋" w:hAnsi="仿宋" w:eastAsia="仿宋" w:cs="仿宋"/>
          <w:sz w:val="32"/>
        </w:rPr>
        <w:t>按照综合预算的原则，2022年双台子区胜利街道办事处所有收入和支出均纳入部门预算管理。其中：</w:t>
      </w:r>
    </w:p>
    <w:p>
      <w:pPr>
        <w:numPr>
          <w:ilvl w:val="0"/>
          <w:numId w:val="4"/>
        </w:numPr>
        <w:spacing w:line="360" w:lineRule="auto"/>
        <w:ind w:firstLine="624" w:firstLineChars="195"/>
        <w:rPr>
          <w:rFonts w:ascii="楷体" w:hAnsi="楷体" w:eastAsia="楷体" w:cs="楷体"/>
          <w:sz w:val="32"/>
        </w:rPr>
      </w:pPr>
      <w:r>
        <w:rPr>
          <w:rFonts w:hint="eastAsia" w:ascii="楷体" w:hAnsi="楷体" w:eastAsia="楷体" w:cs="楷体"/>
          <w:sz w:val="32"/>
        </w:rPr>
        <w:t>收入预算688.51万元，包括：</w:t>
      </w:r>
    </w:p>
    <w:p>
      <w:pPr>
        <w:spacing w:line="360" w:lineRule="auto"/>
        <w:ind w:firstLine="640" w:firstLineChars="200"/>
        <w:rPr>
          <w:rFonts w:ascii="仿宋" w:hAnsi="仿宋" w:eastAsia="仿宋" w:cs="仿宋"/>
          <w:sz w:val="32"/>
        </w:rPr>
      </w:pPr>
      <w:r>
        <w:rPr>
          <w:rFonts w:hint="eastAsia" w:ascii="仿宋" w:hAnsi="仿宋" w:eastAsia="仿宋" w:cs="仿宋"/>
          <w:sz w:val="32"/>
        </w:rPr>
        <w:t>1.财政拨款收入688.51万元；</w:t>
      </w:r>
    </w:p>
    <w:p>
      <w:pPr>
        <w:spacing w:line="360" w:lineRule="auto"/>
        <w:ind w:firstLine="640" w:firstLineChars="200"/>
        <w:rPr>
          <w:rFonts w:ascii="仿宋" w:hAnsi="仿宋" w:eastAsia="仿宋" w:cs="仿宋"/>
          <w:sz w:val="32"/>
        </w:rPr>
      </w:pPr>
      <w:r>
        <w:rPr>
          <w:rFonts w:hint="eastAsia" w:ascii="仿宋" w:hAnsi="仿宋" w:eastAsia="仿宋" w:cs="仿宋"/>
          <w:sz w:val="32"/>
        </w:rPr>
        <w:t>2.非税收入0万元；</w:t>
      </w:r>
    </w:p>
    <w:p>
      <w:pPr>
        <w:spacing w:line="360" w:lineRule="auto"/>
        <w:ind w:firstLine="640" w:firstLineChars="200"/>
        <w:rPr>
          <w:rFonts w:ascii="仿宋" w:hAnsi="仿宋" w:eastAsia="仿宋" w:cs="仿宋"/>
          <w:sz w:val="32"/>
        </w:rPr>
      </w:pPr>
      <w:r>
        <w:rPr>
          <w:rFonts w:hint="eastAsia" w:ascii="仿宋" w:hAnsi="仿宋" w:eastAsia="仿宋" w:cs="仿宋"/>
          <w:sz w:val="32"/>
        </w:rPr>
        <w:t>3.上级补助收入0万元；</w:t>
      </w:r>
    </w:p>
    <w:p>
      <w:pPr>
        <w:spacing w:line="360" w:lineRule="auto"/>
        <w:ind w:firstLine="640" w:firstLineChars="200"/>
        <w:rPr>
          <w:rFonts w:ascii="仿宋" w:hAnsi="仿宋" w:eastAsia="仿宋" w:cs="仿宋"/>
          <w:sz w:val="32"/>
        </w:rPr>
      </w:pPr>
      <w:r>
        <w:rPr>
          <w:rFonts w:hint="eastAsia" w:ascii="仿宋" w:hAnsi="仿宋" w:eastAsia="仿宋" w:cs="仿宋"/>
          <w:sz w:val="32"/>
        </w:rPr>
        <w:t>4.下级上解收入0万元；</w:t>
      </w:r>
    </w:p>
    <w:p>
      <w:pPr>
        <w:spacing w:line="360" w:lineRule="auto"/>
        <w:ind w:firstLine="640" w:firstLineChars="200"/>
        <w:rPr>
          <w:rFonts w:ascii="仿宋" w:hAnsi="仿宋" w:eastAsia="仿宋" w:cs="仿宋"/>
          <w:sz w:val="32"/>
        </w:rPr>
      </w:pPr>
      <w:r>
        <w:rPr>
          <w:rFonts w:hint="eastAsia" w:ascii="仿宋" w:hAnsi="仿宋" w:eastAsia="仿宋" w:cs="仿宋"/>
          <w:sz w:val="32"/>
        </w:rPr>
        <w:t>5.其他收入0万元。</w:t>
      </w:r>
    </w:p>
    <w:p>
      <w:pPr>
        <w:spacing w:line="360" w:lineRule="auto"/>
        <w:ind w:firstLine="624" w:firstLineChars="195"/>
        <w:rPr>
          <w:rFonts w:ascii="楷体" w:hAnsi="楷体" w:eastAsia="楷体" w:cs="楷体"/>
          <w:sz w:val="32"/>
        </w:rPr>
      </w:pPr>
      <w:r>
        <w:rPr>
          <w:rFonts w:hint="eastAsia" w:ascii="楷体" w:hAnsi="楷体" w:eastAsia="楷体" w:cs="楷体"/>
          <w:sz w:val="32"/>
        </w:rPr>
        <w:t>（二）支出预算688.51万元，包括：</w:t>
      </w:r>
    </w:p>
    <w:p>
      <w:pPr>
        <w:spacing w:line="360" w:lineRule="auto"/>
        <w:ind w:firstLine="624" w:firstLineChars="195"/>
        <w:rPr>
          <w:rFonts w:ascii="仿宋" w:hAnsi="仿宋" w:eastAsia="仿宋" w:cs="仿宋"/>
          <w:sz w:val="32"/>
        </w:rPr>
      </w:pPr>
      <w:r>
        <w:rPr>
          <w:rFonts w:hint="eastAsia" w:ascii="仿宋" w:hAnsi="仿宋" w:eastAsia="仿宋" w:cs="仿宋"/>
          <w:sz w:val="32"/>
        </w:rPr>
        <w:t>1.基本支出576.51万元；</w:t>
      </w:r>
    </w:p>
    <w:p>
      <w:pPr>
        <w:spacing w:line="360" w:lineRule="auto"/>
        <w:ind w:firstLine="624" w:firstLineChars="195"/>
        <w:rPr>
          <w:rFonts w:ascii="仿宋" w:hAnsi="仿宋" w:eastAsia="仿宋" w:cs="仿宋"/>
          <w:sz w:val="32"/>
        </w:rPr>
      </w:pPr>
      <w:r>
        <w:rPr>
          <w:rFonts w:hint="eastAsia" w:ascii="仿宋" w:hAnsi="仿宋" w:eastAsia="仿宋" w:cs="仿宋"/>
          <w:sz w:val="32"/>
        </w:rPr>
        <w:t>2.项目支出112万元。</w:t>
      </w:r>
    </w:p>
    <w:p>
      <w:pPr>
        <w:spacing w:line="360" w:lineRule="auto"/>
        <w:ind w:firstLine="640" w:firstLineChars="200"/>
        <w:rPr>
          <w:rFonts w:ascii="仿宋" w:hAnsi="仿宋" w:eastAsia="仿宋" w:cs="仿宋"/>
          <w:sz w:val="32"/>
        </w:rPr>
      </w:pPr>
      <w:r>
        <w:rPr>
          <w:rFonts w:hint="eastAsia" w:ascii="仿宋" w:hAnsi="仿宋" w:eastAsia="仿宋" w:cs="仿宋"/>
          <w:sz w:val="32"/>
        </w:rPr>
        <w:t>在支出预算0万元中，政府采购支出0万元，债务支出0万元，政府购买服务支出0万元。</w:t>
      </w:r>
    </w:p>
    <w:p>
      <w:pPr>
        <w:spacing w:line="360" w:lineRule="auto"/>
        <w:ind w:firstLine="640" w:firstLineChars="200"/>
        <w:rPr>
          <w:rFonts w:ascii="仿宋" w:hAnsi="仿宋" w:eastAsia="仿宋" w:cs="仿宋"/>
          <w:sz w:val="32"/>
        </w:rPr>
      </w:pPr>
      <w:r>
        <w:rPr>
          <w:rFonts w:hint="eastAsia" w:ascii="仿宋" w:hAnsi="仿宋" w:eastAsia="仿宋" w:cs="仿宋"/>
          <w:sz w:val="32"/>
        </w:rPr>
        <w:t>2022年预算同2021年比较，收入增加31.79万元，增长/0.05%；支出增加31.79万元，增加0.05%。增减变化的主要原因是项目支出增加。</w:t>
      </w:r>
    </w:p>
    <w:p>
      <w:pPr>
        <w:spacing w:line="54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pPr>
        <w:spacing w:line="360" w:lineRule="auto"/>
        <w:ind w:firstLine="624" w:firstLineChars="195"/>
        <w:rPr>
          <w:rFonts w:ascii="仿宋" w:hAnsi="仿宋" w:eastAsia="仿宋" w:cs="仿宋"/>
          <w:sz w:val="32"/>
        </w:rPr>
      </w:pPr>
      <w:r>
        <w:rPr>
          <w:rFonts w:hint="eastAsia" w:ascii="仿宋" w:hAnsi="仿宋" w:eastAsia="仿宋" w:cs="仿宋"/>
          <w:sz w:val="32"/>
        </w:rPr>
        <w:t>2022年度“三公”经费预算支出安排0万元，比2021年度增加/减少0万元，增长/下降0%。其中：</w:t>
      </w:r>
    </w:p>
    <w:p>
      <w:pPr>
        <w:spacing w:line="360" w:lineRule="auto"/>
        <w:ind w:firstLine="640" w:firstLineChars="200"/>
        <w:rPr>
          <w:rFonts w:ascii="仿宋" w:hAnsi="仿宋" w:eastAsia="仿宋" w:cs="仿宋"/>
          <w:sz w:val="32"/>
        </w:rPr>
      </w:pPr>
      <w:r>
        <w:rPr>
          <w:rFonts w:hint="eastAsia" w:ascii="仿宋" w:hAnsi="仿宋" w:eastAsia="仿宋" w:cs="仿宋"/>
          <w:sz w:val="32"/>
        </w:rPr>
        <w:t>1.因公出国（境）费0万元，比2021年度增加/减少0万元，增长/下降0%。</w:t>
      </w:r>
    </w:p>
    <w:p>
      <w:pPr>
        <w:spacing w:line="360" w:lineRule="auto"/>
        <w:ind w:firstLine="624" w:firstLineChars="195"/>
        <w:rPr>
          <w:rFonts w:ascii="仿宋" w:hAnsi="仿宋" w:eastAsia="仿宋" w:cs="仿宋"/>
          <w:sz w:val="32"/>
        </w:rPr>
      </w:pPr>
      <w:r>
        <w:rPr>
          <w:rFonts w:hint="eastAsia" w:ascii="仿宋" w:hAnsi="仿宋" w:eastAsia="仿宋" w:cs="仿宋"/>
          <w:sz w:val="32"/>
        </w:rPr>
        <w:t>2.公务接待费0万元，比2021年度增加/减少0万元，增长/下降0%。</w:t>
      </w:r>
    </w:p>
    <w:p>
      <w:pPr>
        <w:spacing w:line="360" w:lineRule="auto"/>
        <w:ind w:firstLine="624" w:firstLineChars="195"/>
        <w:rPr>
          <w:rFonts w:ascii="仿宋" w:hAnsi="仿宋" w:eastAsia="仿宋" w:cs="仿宋"/>
          <w:sz w:val="32"/>
        </w:rPr>
      </w:pPr>
      <w:r>
        <w:rPr>
          <w:rFonts w:hint="eastAsia" w:ascii="仿宋" w:hAnsi="仿宋" w:eastAsia="仿宋" w:cs="仿宋"/>
          <w:sz w:val="32"/>
        </w:rPr>
        <w:t>3.公务用车购置及运行费0万元，比2021年度增加/减少0万元，增长/下降0%。主要原因是0（其中：公务用车购置费0万元，比2021年度增加/减少0万元，增长/下降0%；公务用车运行费0万元，比2021年度增加/减少0万元，增长/下降0%。）。</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三、机关运行经费预算安排使用情况说明</w:t>
      </w:r>
    </w:p>
    <w:p>
      <w:pPr>
        <w:spacing w:line="360" w:lineRule="auto"/>
        <w:ind w:firstLine="624" w:firstLineChars="195"/>
        <w:rPr>
          <w:rFonts w:ascii="仿宋" w:hAnsi="仿宋" w:eastAsia="仿宋" w:cs="仿宋"/>
          <w:sz w:val="32"/>
        </w:rPr>
      </w:pPr>
      <w:r>
        <w:rPr>
          <w:rFonts w:hint="eastAsia" w:ascii="仿宋" w:hAnsi="仿宋" w:eastAsia="仿宋" w:cs="仿宋"/>
          <w:sz w:val="32"/>
        </w:rPr>
        <w:t>2022年机关运行经费预算安排73.46万元，比2021年预算减少32.37万元，下降0.3%，主要原因是</w:t>
      </w:r>
      <w:r>
        <w:rPr>
          <w:rFonts w:hint="eastAsia" w:ascii="仿宋_GB2312" w:hAnsi="仿宋_GB2312" w:eastAsia="仿宋_GB2312" w:cs="仿宋_GB2312"/>
          <w:sz w:val="32"/>
        </w:rPr>
        <w:t>大力压缩不必要开支</w:t>
      </w:r>
      <w:r>
        <w:rPr>
          <w:rFonts w:hint="eastAsia" w:ascii="仿宋" w:hAnsi="仿宋" w:eastAsia="仿宋" w:cs="仿宋"/>
          <w:sz w:val="32"/>
        </w:rPr>
        <w:t>。主要包括：办公费22.39万元、邮电费1.78万元、其他交通费用13.8万元、工会经费2.25万元、福利费0.22万元、取暖费33.02万元。</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四、政府采购安排情况说明</w:t>
      </w:r>
    </w:p>
    <w:p>
      <w:pPr>
        <w:spacing w:line="360" w:lineRule="auto"/>
        <w:ind w:firstLine="624" w:firstLineChars="195"/>
        <w:rPr>
          <w:rFonts w:ascii="仿宋" w:hAnsi="仿宋" w:eastAsia="仿宋" w:cs="仿宋"/>
          <w:sz w:val="32"/>
        </w:rPr>
      </w:pPr>
      <w:r>
        <w:rPr>
          <w:rFonts w:hint="eastAsia" w:ascii="仿宋" w:hAnsi="仿宋" w:eastAsia="仿宋" w:cs="仿宋"/>
          <w:sz w:val="32"/>
        </w:rPr>
        <w:t>2022年安排政府采购预算0万元，政府购买服务预算0万元。</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五、国有资产占用情况说明</w:t>
      </w:r>
    </w:p>
    <w:p>
      <w:pPr>
        <w:spacing w:line="540" w:lineRule="exact"/>
        <w:ind w:firstLine="640" w:firstLineChars="200"/>
        <w:rPr>
          <w:rFonts w:ascii="仿宋" w:hAnsi="仿宋" w:eastAsia="仿宋" w:cs="仿宋"/>
          <w:sz w:val="32"/>
        </w:rPr>
      </w:pPr>
      <w:r>
        <w:rPr>
          <w:rFonts w:hint="eastAsia" w:ascii="仿宋" w:hAnsi="仿宋" w:eastAsia="仿宋" w:cs="仿宋"/>
          <w:sz w:val="32"/>
        </w:rPr>
        <w:t>截至2021年12月31日，双台子区胜利街道办事处资产总额2473924.06元。固定资产中共有车辆0辆（一般公务用车0辆，其他用车0辆），价值0万元。</w:t>
      </w:r>
    </w:p>
    <w:p>
      <w:pPr>
        <w:spacing w:line="540" w:lineRule="exact"/>
        <w:ind w:firstLine="640" w:firstLineChars="200"/>
        <w:rPr>
          <w:rFonts w:ascii="黑体" w:hAnsi="黑体" w:eastAsia="黑体" w:cs="黑体"/>
          <w:sz w:val="32"/>
        </w:rPr>
      </w:pPr>
      <w:r>
        <w:rPr>
          <w:rFonts w:hint="eastAsia" w:ascii="黑体" w:hAnsi="黑体" w:eastAsia="黑体" w:cs="黑体"/>
          <w:sz w:val="32"/>
        </w:rPr>
        <w:t>六、项目预算绩效目标情况说明</w:t>
      </w:r>
    </w:p>
    <w:p>
      <w:pPr>
        <w:spacing w:line="540" w:lineRule="exact"/>
        <w:ind w:firstLine="640" w:firstLineChars="200"/>
        <w:rPr>
          <w:rFonts w:ascii="仿宋" w:hAnsi="仿宋" w:eastAsia="仿宋" w:cs="仿宋"/>
          <w:sz w:val="32"/>
        </w:rPr>
      </w:pPr>
      <w:r>
        <w:rPr>
          <w:rFonts w:hint="eastAsia" w:ascii="仿宋" w:hAnsi="仿宋" w:eastAsia="仿宋" w:cs="仿宋"/>
          <w:sz w:val="32"/>
        </w:rPr>
        <w:t>根据预算绩效管理要求，双台子区胜利街道办事处2022年应编制绩效目标的项目共5个，实际编制绩效目标的项目共5个，涉及资金112万元，编制绩效目标的项目覆盖率（实际编制绩效目标的项目/应编制绩效目标的项目）为100%。</w:t>
      </w:r>
    </w:p>
    <w:p>
      <w:pPr>
        <w:spacing w:line="480" w:lineRule="auto"/>
        <w:jc w:val="center"/>
        <w:rPr>
          <w:rFonts w:ascii="仿宋_GB2312" w:hAnsi="黑体" w:eastAsia="仿宋_GB2312"/>
          <w:sz w:val="32"/>
          <w:szCs w:val="32"/>
        </w:rPr>
      </w:pPr>
    </w:p>
    <w:p>
      <w:pPr>
        <w:spacing w:line="480" w:lineRule="auto"/>
        <w:jc w:val="center"/>
        <w:rPr>
          <w:rFonts w:ascii="宋体" w:hAnsi="宋体"/>
          <w:b/>
          <w:sz w:val="44"/>
          <w:szCs w:val="44"/>
        </w:rPr>
      </w:pPr>
    </w:p>
    <w:p>
      <w:pPr>
        <w:spacing w:line="480" w:lineRule="auto"/>
        <w:jc w:val="center"/>
        <w:rPr>
          <w:rFonts w:ascii="宋体" w:hAnsi="宋体"/>
          <w:b/>
          <w:sz w:val="44"/>
          <w:szCs w:val="44"/>
        </w:rPr>
      </w:pPr>
    </w:p>
    <w:p>
      <w:pPr>
        <w:spacing w:line="480" w:lineRule="auto"/>
        <w:jc w:val="center"/>
        <w:rPr>
          <w:rFonts w:ascii="宋体" w:hAnsi="宋体"/>
          <w:b/>
          <w:sz w:val="44"/>
          <w:szCs w:val="44"/>
        </w:rPr>
      </w:pPr>
    </w:p>
    <w:p>
      <w:pPr>
        <w:spacing w:line="480" w:lineRule="auto"/>
        <w:jc w:val="center"/>
        <w:rPr>
          <w:rFonts w:ascii="宋体" w:hAnsi="宋体"/>
          <w:b/>
          <w:sz w:val="44"/>
          <w:szCs w:val="44"/>
        </w:rPr>
      </w:pPr>
    </w:p>
    <w:p>
      <w:pPr>
        <w:spacing w:line="480" w:lineRule="auto"/>
        <w:jc w:val="center"/>
        <w:rPr>
          <w:rFonts w:ascii="宋体" w:hAnsi="宋体"/>
          <w:b/>
          <w:sz w:val="44"/>
          <w:szCs w:val="44"/>
        </w:rPr>
      </w:pPr>
    </w:p>
    <w:p>
      <w:pPr>
        <w:spacing w:line="480" w:lineRule="auto"/>
        <w:jc w:val="center"/>
        <w:rPr>
          <w:rFonts w:ascii="宋体" w:hAnsi="宋体"/>
          <w:b/>
          <w:sz w:val="44"/>
          <w:szCs w:val="44"/>
        </w:rPr>
      </w:pPr>
    </w:p>
    <w:p>
      <w:pPr>
        <w:spacing w:line="480" w:lineRule="auto"/>
        <w:jc w:val="center"/>
        <w:rPr>
          <w:rFonts w:ascii="宋体" w:hAnsi="宋体"/>
          <w:b/>
          <w:sz w:val="44"/>
          <w:szCs w:val="44"/>
        </w:rPr>
      </w:pPr>
    </w:p>
    <w:p>
      <w:pPr>
        <w:spacing w:line="480" w:lineRule="auto"/>
        <w:jc w:val="center"/>
        <w:rPr>
          <w:rFonts w:ascii="宋体" w:hAnsi="宋体"/>
          <w:b/>
          <w:sz w:val="44"/>
          <w:szCs w:val="44"/>
        </w:rPr>
      </w:pPr>
      <w:r>
        <w:rPr>
          <w:rFonts w:hint="eastAsia" w:ascii="宋体" w:hAnsi="宋体"/>
          <w:b/>
          <w:sz w:val="44"/>
          <w:szCs w:val="44"/>
        </w:rPr>
        <w:t>第四部分 名词解释</w:t>
      </w:r>
    </w:p>
    <w:p>
      <w:pPr>
        <w:spacing w:line="540" w:lineRule="exact"/>
        <w:jc w:val="center"/>
        <w:rPr>
          <w:rFonts w:ascii="黑体" w:eastAsia="黑体"/>
          <w:sz w:val="36"/>
          <w:szCs w:val="36"/>
        </w:rPr>
      </w:pPr>
    </w:p>
    <w:p>
      <w:pPr>
        <w:spacing w:line="540" w:lineRule="exact"/>
        <w:rPr>
          <w:rFonts w:ascii="仿宋" w:hAnsi="仿宋" w:eastAsia="仿宋"/>
          <w:bCs/>
          <w:sz w:val="32"/>
          <w:szCs w:val="32"/>
        </w:rPr>
      </w:pPr>
      <w:r>
        <w:rPr>
          <w:rFonts w:hint="eastAsia" w:ascii="仿宋" w:hAnsi="仿宋" w:eastAsia="仿宋"/>
          <w:bCs/>
          <w:sz w:val="32"/>
          <w:szCs w:val="32"/>
        </w:rPr>
        <w:t>　　1.财政拨款收入：指区级财政当年拨付的资金。</w:t>
      </w:r>
    </w:p>
    <w:p>
      <w:pPr>
        <w:spacing w:line="540" w:lineRule="exact"/>
        <w:rPr>
          <w:rFonts w:ascii="仿宋" w:hAnsi="仿宋" w:eastAsia="仿宋"/>
          <w:bCs/>
          <w:sz w:val="32"/>
          <w:szCs w:val="32"/>
        </w:rPr>
      </w:pPr>
      <w:r>
        <w:rPr>
          <w:rFonts w:hint="eastAsia" w:ascii="仿宋" w:hAnsi="仿宋" w:eastAsia="仿宋"/>
          <w:bCs/>
          <w:sz w:val="32"/>
          <w:szCs w:val="32"/>
        </w:rPr>
        <w:t>　　2.基本支出：指保障机构正常运转、完成日常工作任务而发生的人员支出和公用支出。</w:t>
      </w:r>
    </w:p>
    <w:p>
      <w:pPr>
        <w:spacing w:line="540" w:lineRule="exact"/>
        <w:rPr>
          <w:rFonts w:ascii="仿宋" w:hAnsi="仿宋" w:eastAsia="仿宋"/>
          <w:bCs/>
          <w:sz w:val="32"/>
          <w:szCs w:val="32"/>
        </w:rPr>
      </w:pPr>
      <w:r>
        <w:rPr>
          <w:rFonts w:hint="eastAsia" w:ascii="仿宋" w:hAnsi="仿宋" w:eastAsia="仿宋"/>
          <w:bCs/>
          <w:sz w:val="32"/>
          <w:szCs w:val="32"/>
        </w:rPr>
        <w:t>　　3.项目支出：指在基本支出之外为完成特定行政任务和事业发展目标所发生的支出。</w:t>
      </w:r>
    </w:p>
    <w:p>
      <w:pPr>
        <w:spacing w:line="540" w:lineRule="exact"/>
        <w:rPr>
          <w:rFonts w:ascii="仿宋" w:hAnsi="仿宋" w:eastAsia="仿宋"/>
          <w:bCs/>
          <w:sz w:val="32"/>
          <w:szCs w:val="32"/>
        </w:rPr>
      </w:pPr>
      <w:r>
        <w:rPr>
          <w:rFonts w:hint="eastAsia" w:ascii="仿宋" w:hAnsi="仿宋" w:eastAsia="仿宋"/>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spacing w:line="540" w:lineRule="exact"/>
        <w:rPr>
          <w:rFonts w:ascii="仿宋" w:hAnsi="仿宋" w:eastAsia="仿宋"/>
          <w:bCs/>
          <w:sz w:val="32"/>
          <w:szCs w:val="32"/>
        </w:rPr>
      </w:pPr>
      <w:r>
        <w:rPr>
          <w:rFonts w:hint="eastAsia" w:ascii="仿宋" w:hAnsi="仿宋" w:eastAsia="仿宋"/>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spacing w:line="540" w:lineRule="exact"/>
        <w:rPr>
          <w:rFonts w:ascii="仿宋" w:hAnsi="仿宋" w:eastAsia="仿宋"/>
          <w:bCs/>
          <w:sz w:val="32"/>
          <w:szCs w:val="32"/>
        </w:rPr>
      </w:pPr>
      <w:r>
        <w:rPr>
          <w:rFonts w:hint="eastAsia" w:ascii="仿宋" w:hAnsi="仿宋" w:eastAsia="仿宋"/>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spacing w:line="540" w:lineRule="exact"/>
        <w:rPr>
          <w:rFonts w:ascii="仿宋" w:hAnsi="仿宋" w:eastAsia="仿宋"/>
          <w:bCs/>
          <w:sz w:val="32"/>
          <w:szCs w:val="32"/>
        </w:rPr>
      </w:pPr>
      <w:r>
        <w:rPr>
          <w:rFonts w:hint="eastAsia" w:ascii="仿宋" w:hAnsi="仿宋" w:eastAsia="仿宋"/>
          <w:bCs/>
          <w:sz w:val="32"/>
          <w:szCs w:val="32"/>
        </w:rPr>
        <w:t>　　7.其他收入：指除上述“财政拨款收入”、“行政事业性收费收入”、“政府性基金收入”以外的收入。</w:t>
      </w:r>
    </w:p>
    <w:p>
      <w:pPr>
        <w:spacing w:line="540" w:lineRule="exact"/>
        <w:rPr>
          <w:rFonts w:ascii="仿宋" w:hAnsi="仿宋" w:eastAsia="仿宋"/>
          <w:bCs/>
          <w:sz w:val="32"/>
          <w:szCs w:val="32"/>
        </w:rPr>
      </w:pPr>
      <w:r>
        <w:rPr>
          <w:rFonts w:hint="eastAsia" w:ascii="仿宋" w:hAnsi="仿宋" w:eastAsia="仿宋"/>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rPr>
          <w:rFonts w:ascii="仿宋" w:hAnsi="仿宋" w:eastAsia="仿宋"/>
          <w:bCs/>
          <w:sz w:val="32"/>
          <w:szCs w:val="32"/>
        </w:rPr>
      </w:pPr>
      <w:r>
        <w:rPr>
          <w:rFonts w:hint="eastAsia" w:ascii="仿宋" w:hAnsi="仿宋" w:eastAsia="仿宋"/>
          <w:bCs/>
          <w:sz w:val="32"/>
          <w:szCs w:val="32"/>
        </w:rPr>
        <w:t>　　9.社会保障和就业（类）行政事业单位离退休（款）归口管理的行政单位离退休（项）：反映实行归口管理的行政单位（包括实行公务员管理的事业单位）开支的离退休经费。</w:t>
      </w:r>
    </w:p>
    <w:p>
      <w:pPr>
        <w:spacing w:line="540" w:lineRule="exact"/>
        <w:rPr>
          <w:rFonts w:ascii="仿宋" w:hAnsi="仿宋" w:eastAsia="仿宋"/>
          <w:bCs/>
          <w:sz w:val="32"/>
          <w:szCs w:val="32"/>
        </w:rPr>
      </w:pPr>
      <w:r>
        <w:rPr>
          <w:rFonts w:hint="eastAsia" w:ascii="仿宋" w:hAnsi="仿宋" w:eastAsia="仿宋"/>
          <w:bCs/>
          <w:sz w:val="32"/>
          <w:szCs w:val="32"/>
        </w:rPr>
        <w:t>　　10.社会保障和就业（类）行政事业单位离退休（款）事业单位离退休（项）：反映实行归口管理的事业单位开支的离退休经费。</w:t>
      </w:r>
    </w:p>
    <w:p>
      <w:pPr>
        <w:spacing w:line="540" w:lineRule="exact"/>
        <w:rPr>
          <w:rFonts w:ascii="仿宋" w:hAnsi="仿宋" w:eastAsia="仿宋"/>
          <w:bCs/>
          <w:sz w:val="32"/>
          <w:szCs w:val="32"/>
        </w:rPr>
      </w:pPr>
      <w:r>
        <w:rPr>
          <w:rFonts w:hint="eastAsia" w:ascii="仿宋" w:hAnsi="仿宋" w:eastAsia="仿宋"/>
          <w:bCs/>
          <w:sz w:val="32"/>
          <w:szCs w:val="32"/>
        </w:rPr>
        <w:t>　　11.卫生健康（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540" w:lineRule="exact"/>
        <w:rPr>
          <w:rFonts w:ascii="仿宋" w:hAnsi="仿宋" w:eastAsia="仿宋"/>
          <w:bCs/>
          <w:sz w:val="32"/>
          <w:szCs w:val="32"/>
        </w:rPr>
      </w:pPr>
      <w:r>
        <w:rPr>
          <w:rFonts w:hint="eastAsia" w:ascii="仿宋" w:hAnsi="仿宋" w:eastAsia="仿宋"/>
          <w:bCs/>
          <w:sz w:val="32"/>
          <w:szCs w:val="32"/>
        </w:rPr>
        <w:t>　　12.卫生健康（类）行政事业单位医疗（款）事业单位医疗（项）：反映财政部门安排的事业单位基本医疗保险缴费经费，未参加医疗保险的事业单位的公费医疗经费，按国家规定享受离休人员待遇人员的医疗经费。</w:t>
      </w:r>
    </w:p>
    <w:p>
      <w:pPr>
        <w:spacing w:line="540" w:lineRule="exact"/>
        <w:rPr>
          <w:rFonts w:ascii="仿宋" w:hAnsi="仿宋" w:eastAsia="仿宋"/>
          <w:bCs/>
        </w:rPr>
      </w:pPr>
      <w:r>
        <w:rPr>
          <w:rFonts w:hint="eastAsia" w:ascii="仿宋" w:hAnsi="仿宋" w:eastAsia="仿宋"/>
          <w:bCs/>
          <w:sz w:val="32"/>
          <w:szCs w:val="32"/>
        </w:rPr>
        <w:t>　　13.住房保障（类）住房改革（款）住房公积金（项）：反映行政事业单位按人力资源和社会保障部、财政部规定的基本工资和津贴补贴以及规定比例为职工缴纳的住房公积金。</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7</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019983"/>
    <w:multiLevelType w:val="singleLevel"/>
    <w:tmpl w:val="0C019983"/>
    <w:lvl w:ilvl="0" w:tentative="0">
      <w:start w:val="2"/>
      <w:numFmt w:val="chineseCounting"/>
      <w:suff w:val="space"/>
      <w:lvlText w:val="第%1部分"/>
      <w:lvlJc w:val="left"/>
      <w:rPr>
        <w:rFonts w:hint="eastAsia"/>
      </w:rPr>
    </w:lvl>
  </w:abstractNum>
  <w:abstractNum w:abstractNumId="3">
    <w:nsid w:val="0CBF3484"/>
    <w:multiLevelType w:val="multilevel"/>
    <w:tmpl w:val="0CBF3484"/>
    <w:lvl w:ilvl="0" w:tentative="0">
      <w:start w:val="1"/>
      <w:numFmt w:val="japaneseCounting"/>
      <w:lvlText w:val="%1、"/>
      <w:lvlJc w:val="left"/>
      <w:pPr>
        <w:ind w:left="1854"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2AD"/>
    <w:rsid w:val="00032E9E"/>
    <w:rsid w:val="00060115"/>
    <w:rsid w:val="000658A3"/>
    <w:rsid w:val="00072B5D"/>
    <w:rsid w:val="00072D02"/>
    <w:rsid w:val="000931CC"/>
    <w:rsid w:val="000B0460"/>
    <w:rsid w:val="000B604D"/>
    <w:rsid w:val="000D22BA"/>
    <w:rsid w:val="000D240A"/>
    <w:rsid w:val="001032C2"/>
    <w:rsid w:val="001461B8"/>
    <w:rsid w:val="00163ACD"/>
    <w:rsid w:val="00163B6F"/>
    <w:rsid w:val="00180B70"/>
    <w:rsid w:val="00197AF9"/>
    <w:rsid w:val="001C6690"/>
    <w:rsid w:val="001F06E5"/>
    <w:rsid w:val="001F45ED"/>
    <w:rsid w:val="001F4827"/>
    <w:rsid w:val="00207D64"/>
    <w:rsid w:val="00215EBB"/>
    <w:rsid w:val="0022212D"/>
    <w:rsid w:val="00256356"/>
    <w:rsid w:val="00265D53"/>
    <w:rsid w:val="00272E78"/>
    <w:rsid w:val="00276D04"/>
    <w:rsid w:val="00276DD9"/>
    <w:rsid w:val="00290AFF"/>
    <w:rsid w:val="002938F2"/>
    <w:rsid w:val="00294262"/>
    <w:rsid w:val="00294734"/>
    <w:rsid w:val="002D0DF9"/>
    <w:rsid w:val="002D5AF8"/>
    <w:rsid w:val="002E6103"/>
    <w:rsid w:val="0030019B"/>
    <w:rsid w:val="003203C6"/>
    <w:rsid w:val="00321141"/>
    <w:rsid w:val="00323084"/>
    <w:rsid w:val="00331FB3"/>
    <w:rsid w:val="00336596"/>
    <w:rsid w:val="0035450D"/>
    <w:rsid w:val="00367CAA"/>
    <w:rsid w:val="00374CC4"/>
    <w:rsid w:val="00374EFD"/>
    <w:rsid w:val="00393A92"/>
    <w:rsid w:val="003A7CEE"/>
    <w:rsid w:val="003B6717"/>
    <w:rsid w:val="003C3203"/>
    <w:rsid w:val="003C3A6C"/>
    <w:rsid w:val="003F6668"/>
    <w:rsid w:val="004041E3"/>
    <w:rsid w:val="00411F62"/>
    <w:rsid w:val="00422071"/>
    <w:rsid w:val="00442917"/>
    <w:rsid w:val="00456D37"/>
    <w:rsid w:val="00465980"/>
    <w:rsid w:val="0049340A"/>
    <w:rsid w:val="004967DD"/>
    <w:rsid w:val="004A23C9"/>
    <w:rsid w:val="004B0299"/>
    <w:rsid w:val="004D5C4B"/>
    <w:rsid w:val="004E79C5"/>
    <w:rsid w:val="004F2A87"/>
    <w:rsid w:val="0050710B"/>
    <w:rsid w:val="005116A6"/>
    <w:rsid w:val="00524803"/>
    <w:rsid w:val="00534C2B"/>
    <w:rsid w:val="00542628"/>
    <w:rsid w:val="0059083E"/>
    <w:rsid w:val="005D24E8"/>
    <w:rsid w:val="005D57A0"/>
    <w:rsid w:val="005D71BE"/>
    <w:rsid w:val="005E2EE3"/>
    <w:rsid w:val="005F6562"/>
    <w:rsid w:val="00604DF5"/>
    <w:rsid w:val="0060780F"/>
    <w:rsid w:val="00613F3D"/>
    <w:rsid w:val="00623F6C"/>
    <w:rsid w:val="00631CB0"/>
    <w:rsid w:val="00662644"/>
    <w:rsid w:val="0067082B"/>
    <w:rsid w:val="00671A28"/>
    <w:rsid w:val="00691121"/>
    <w:rsid w:val="006A684B"/>
    <w:rsid w:val="006E1403"/>
    <w:rsid w:val="006E587F"/>
    <w:rsid w:val="00715FD2"/>
    <w:rsid w:val="00726A72"/>
    <w:rsid w:val="00750153"/>
    <w:rsid w:val="00780DF3"/>
    <w:rsid w:val="00791A0C"/>
    <w:rsid w:val="007C1C5D"/>
    <w:rsid w:val="007C52D7"/>
    <w:rsid w:val="007C6DAD"/>
    <w:rsid w:val="007D2BBC"/>
    <w:rsid w:val="007D6F23"/>
    <w:rsid w:val="007E6CC2"/>
    <w:rsid w:val="0081149E"/>
    <w:rsid w:val="00822199"/>
    <w:rsid w:val="00850F61"/>
    <w:rsid w:val="00855F83"/>
    <w:rsid w:val="0087148D"/>
    <w:rsid w:val="00881DD9"/>
    <w:rsid w:val="00884AC9"/>
    <w:rsid w:val="0089145A"/>
    <w:rsid w:val="00894620"/>
    <w:rsid w:val="00894B2C"/>
    <w:rsid w:val="008B3CCB"/>
    <w:rsid w:val="008C2E60"/>
    <w:rsid w:val="008D1604"/>
    <w:rsid w:val="008D3D86"/>
    <w:rsid w:val="008E3A40"/>
    <w:rsid w:val="008F7276"/>
    <w:rsid w:val="00921B36"/>
    <w:rsid w:val="009529E2"/>
    <w:rsid w:val="00970091"/>
    <w:rsid w:val="009765C6"/>
    <w:rsid w:val="009B568B"/>
    <w:rsid w:val="009B79E2"/>
    <w:rsid w:val="009E4E30"/>
    <w:rsid w:val="009F7180"/>
    <w:rsid w:val="00A037EF"/>
    <w:rsid w:val="00A0483E"/>
    <w:rsid w:val="00A062B7"/>
    <w:rsid w:val="00A6362A"/>
    <w:rsid w:val="00A80804"/>
    <w:rsid w:val="00A95FF0"/>
    <w:rsid w:val="00AB4DD1"/>
    <w:rsid w:val="00AC2FAD"/>
    <w:rsid w:val="00AD5F20"/>
    <w:rsid w:val="00AF006D"/>
    <w:rsid w:val="00AF3AD8"/>
    <w:rsid w:val="00AF3E3D"/>
    <w:rsid w:val="00B12888"/>
    <w:rsid w:val="00B6693E"/>
    <w:rsid w:val="00B70A86"/>
    <w:rsid w:val="00B92D0F"/>
    <w:rsid w:val="00BA5C2D"/>
    <w:rsid w:val="00BB3AF8"/>
    <w:rsid w:val="00BC6FCC"/>
    <w:rsid w:val="00BD0675"/>
    <w:rsid w:val="00BE48AC"/>
    <w:rsid w:val="00BE4E88"/>
    <w:rsid w:val="00BE62AD"/>
    <w:rsid w:val="00BF04D3"/>
    <w:rsid w:val="00C102DC"/>
    <w:rsid w:val="00C218E3"/>
    <w:rsid w:val="00C24501"/>
    <w:rsid w:val="00C30DAE"/>
    <w:rsid w:val="00C524CB"/>
    <w:rsid w:val="00C52BC7"/>
    <w:rsid w:val="00C5646F"/>
    <w:rsid w:val="00C70899"/>
    <w:rsid w:val="00C752EA"/>
    <w:rsid w:val="00C84F21"/>
    <w:rsid w:val="00C9510A"/>
    <w:rsid w:val="00CA1BC1"/>
    <w:rsid w:val="00CB5AB6"/>
    <w:rsid w:val="00CB6AF0"/>
    <w:rsid w:val="00CD6864"/>
    <w:rsid w:val="00CD6878"/>
    <w:rsid w:val="00CE6EE4"/>
    <w:rsid w:val="00CF12E5"/>
    <w:rsid w:val="00D222B6"/>
    <w:rsid w:val="00D35146"/>
    <w:rsid w:val="00D542B0"/>
    <w:rsid w:val="00D60970"/>
    <w:rsid w:val="00D65F8C"/>
    <w:rsid w:val="00D67601"/>
    <w:rsid w:val="00D8459B"/>
    <w:rsid w:val="00D92C9A"/>
    <w:rsid w:val="00DA6498"/>
    <w:rsid w:val="00DB5F6B"/>
    <w:rsid w:val="00DC2FB9"/>
    <w:rsid w:val="00DD2817"/>
    <w:rsid w:val="00DE3F3F"/>
    <w:rsid w:val="00E30744"/>
    <w:rsid w:val="00E3471F"/>
    <w:rsid w:val="00E36863"/>
    <w:rsid w:val="00E51358"/>
    <w:rsid w:val="00E632F0"/>
    <w:rsid w:val="00E67984"/>
    <w:rsid w:val="00E745ED"/>
    <w:rsid w:val="00E93FAF"/>
    <w:rsid w:val="00E96F6A"/>
    <w:rsid w:val="00EA177D"/>
    <w:rsid w:val="00ED61A4"/>
    <w:rsid w:val="00EE1982"/>
    <w:rsid w:val="00EE6B59"/>
    <w:rsid w:val="00EF2951"/>
    <w:rsid w:val="00F12957"/>
    <w:rsid w:val="00F24450"/>
    <w:rsid w:val="00F27011"/>
    <w:rsid w:val="00F54421"/>
    <w:rsid w:val="00F622B4"/>
    <w:rsid w:val="00F650D9"/>
    <w:rsid w:val="00F65298"/>
    <w:rsid w:val="00F72460"/>
    <w:rsid w:val="00F932BE"/>
    <w:rsid w:val="00FB0BEB"/>
    <w:rsid w:val="00FC0323"/>
    <w:rsid w:val="00FC5522"/>
    <w:rsid w:val="00FE14BA"/>
    <w:rsid w:val="08C27FFD"/>
    <w:rsid w:val="101036F0"/>
    <w:rsid w:val="11FD5C45"/>
    <w:rsid w:val="1B874088"/>
    <w:rsid w:val="23B24B3C"/>
    <w:rsid w:val="2F7C1250"/>
    <w:rsid w:val="36727222"/>
    <w:rsid w:val="3BC3017B"/>
    <w:rsid w:val="40C777C7"/>
    <w:rsid w:val="4C5B70AE"/>
    <w:rsid w:val="4D437A0C"/>
    <w:rsid w:val="509719A0"/>
    <w:rsid w:val="5A86270D"/>
    <w:rsid w:val="6D330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批注框文本 Char"/>
    <w:link w:val="2"/>
    <w:qFormat/>
    <w:uiPriority w:val="0"/>
    <w:rPr>
      <w:kern w:val="2"/>
      <w:sz w:val="18"/>
      <w:szCs w:val="18"/>
    </w:rPr>
  </w:style>
  <w:style w:type="character" w:customStyle="1" w:styleId="9">
    <w:name w:val="页眉 Char"/>
    <w:link w:val="4"/>
    <w:qFormat/>
    <w:uiPriority w:val="0"/>
    <w:rPr>
      <w:kern w:val="2"/>
      <w:sz w:val="18"/>
      <w:szCs w:val="18"/>
    </w:rPr>
  </w:style>
  <w:style w:type="paragraph" w:customStyle="1" w:styleId="10">
    <w:name w:val="Char Char Char Char Char Char Char"/>
    <w:basedOn w:val="1"/>
    <w:qFormat/>
    <w:uiPriority w:val="0"/>
    <w:rPr>
      <w:szCs w:val="21"/>
    </w:rPr>
  </w:style>
  <w:style w:type="paragraph" w:customStyle="1" w:styleId="11">
    <w:name w:val="Char"/>
    <w:basedOn w:val="1"/>
    <w:qFormat/>
    <w:uiPriority w:val="0"/>
    <w:pPr>
      <w:widowControl/>
      <w:jc w:val="left"/>
    </w:pPr>
    <w:rPr>
      <w:rFonts w:ascii="Verdana" w:hAnsi="Verdana" w:eastAsia="仿宋_GB2312"/>
      <w:kern w:val="0"/>
      <w:sz w:val="28"/>
      <w:szCs w:val="20"/>
      <w:lang w:eastAsia="en-US"/>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560</Words>
  <Characters>3192</Characters>
  <Lines>26</Lines>
  <Paragraphs>7</Paragraphs>
  <TotalTime>55</TotalTime>
  <ScaleCrop>false</ScaleCrop>
  <LinksUpToDate>false</LinksUpToDate>
  <CharactersWithSpaces>3745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2022-02-07T06:36:00Z</dcterms:created>
  <dc:creator>lenovo</dc:creator>
  <cp:lastModifiedBy>既然不是仙难免有杂念</cp:lastModifiedBy>
  <cp:lastPrinted>2018-01-24T08:16:00Z</cp:lastPrinted>
  <dcterms:modified xsi:type="dcterms:W3CDTF">2022-02-11T04:11:52Z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C4909ED9B5094AB2A0F8B9822899468F</vt:lpwstr>
  </property>
</Properties>
</file>