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28" w:rsidRDefault="00FC0628" w:rsidP="00650925">
      <w:pPr>
        <w:spacing w:line="360" w:lineRule="auto"/>
        <w:jc w:val="center"/>
        <w:rPr>
          <w:rFonts w:asciiTheme="minorEastAsia" w:eastAsiaTheme="minorEastAsia" w:hAnsiTheme="minorEastAsia"/>
          <w:b/>
          <w:sz w:val="32"/>
          <w:szCs w:val="32"/>
        </w:rPr>
      </w:pPr>
    </w:p>
    <w:p w:rsidR="005F6FE0" w:rsidRPr="000259A1" w:rsidRDefault="005E78CA" w:rsidP="00650925">
      <w:pPr>
        <w:spacing w:line="360" w:lineRule="auto"/>
        <w:jc w:val="center"/>
        <w:rPr>
          <w:rFonts w:asciiTheme="minorEastAsia" w:eastAsiaTheme="minorEastAsia" w:hAnsiTheme="minorEastAsia"/>
          <w:b/>
          <w:sz w:val="44"/>
          <w:szCs w:val="44"/>
        </w:rPr>
      </w:pPr>
      <w:r w:rsidRPr="000259A1">
        <w:rPr>
          <w:rFonts w:asciiTheme="minorEastAsia" w:eastAsiaTheme="minorEastAsia" w:hAnsiTheme="minorEastAsia" w:hint="eastAsia"/>
          <w:b/>
          <w:sz w:val="44"/>
          <w:szCs w:val="44"/>
        </w:rPr>
        <w:t>201</w:t>
      </w:r>
      <w:r w:rsidR="00900B34" w:rsidRPr="000259A1">
        <w:rPr>
          <w:rFonts w:asciiTheme="minorEastAsia" w:eastAsiaTheme="minorEastAsia" w:hAnsiTheme="minorEastAsia" w:hint="eastAsia"/>
          <w:b/>
          <w:sz w:val="44"/>
          <w:szCs w:val="44"/>
        </w:rPr>
        <w:t>7</w:t>
      </w:r>
      <w:r w:rsidRPr="000259A1">
        <w:rPr>
          <w:rFonts w:asciiTheme="minorEastAsia" w:eastAsiaTheme="minorEastAsia" w:hAnsiTheme="minorEastAsia" w:hint="eastAsia"/>
          <w:b/>
          <w:sz w:val="44"/>
          <w:szCs w:val="44"/>
        </w:rPr>
        <w:t>年盘锦市兴隆台区</w:t>
      </w:r>
    </w:p>
    <w:p w:rsidR="005E78CA" w:rsidRPr="000259A1" w:rsidRDefault="005E78CA" w:rsidP="00650925">
      <w:pPr>
        <w:spacing w:line="360" w:lineRule="auto"/>
        <w:jc w:val="center"/>
        <w:rPr>
          <w:rFonts w:asciiTheme="minorEastAsia" w:eastAsiaTheme="minorEastAsia" w:hAnsiTheme="minorEastAsia"/>
          <w:b/>
          <w:sz w:val="44"/>
          <w:szCs w:val="44"/>
        </w:rPr>
      </w:pPr>
      <w:r w:rsidRPr="000259A1">
        <w:rPr>
          <w:rFonts w:asciiTheme="minorEastAsia" w:eastAsiaTheme="minorEastAsia" w:hAnsiTheme="minorEastAsia" w:hint="eastAsia"/>
          <w:b/>
          <w:sz w:val="44"/>
          <w:szCs w:val="44"/>
        </w:rPr>
        <w:t>国民经济和社会发展统计公报</w:t>
      </w:r>
    </w:p>
    <w:p w:rsidR="005F6FE0" w:rsidRPr="00EE48D0" w:rsidRDefault="005F6FE0" w:rsidP="00650925">
      <w:pPr>
        <w:spacing w:line="360" w:lineRule="auto"/>
        <w:jc w:val="center"/>
        <w:rPr>
          <w:rFonts w:asciiTheme="minorEastAsia" w:eastAsiaTheme="minorEastAsia" w:hAnsiTheme="minorEastAsia"/>
          <w:b/>
          <w:sz w:val="32"/>
          <w:szCs w:val="32"/>
        </w:rPr>
      </w:pPr>
    </w:p>
    <w:p w:rsidR="005E78CA" w:rsidRPr="00E31396" w:rsidRDefault="005E78CA" w:rsidP="00650925">
      <w:pPr>
        <w:spacing w:line="360" w:lineRule="auto"/>
        <w:jc w:val="center"/>
        <w:rPr>
          <w:rFonts w:ascii="楷体" w:eastAsia="楷体" w:hAnsi="楷体"/>
          <w:sz w:val="28"/>
          <w:szCs w:val="28"/>
        </w:rPr>
      </w:pPr>
      <w:r w:rsidRPr="00E31396">
        <w:rPr>
          <w:rFonts w:ascii="楷体" w:eastAsia="楷体" w:hAnsi="楷体" w:hint="eastAsia"/>
          <w:sz w:val="28"/>
          <w:szCs w:val="28"/>
        </w:rPr>
        <w:t>盘锦市兴隆台区统计局</w:t>
      </w:r>
    </w:p>
    <w:p w:rsidR="005E78CA" w:rsidRDefault="005E78CA" w:rsidP="00650925">
      <w:pPr>
        <w:spacing w:line="360" w:lineRule="auto"/>
        <w:jc w:val="center"/>
        <w:rPr>
          <w:rFonts w:asciiTheme="minorEastAsia" w:eastAsiaTheme="minorEastAsia" w:hAnsiTheme="minorEastAsia"/>
          <w:sz w:val="24"/>
          <w:szCs w:val="24"/>
        </w:rPr>
      </w:pPr>
      <w:r w:rsidRPr="00E31396">
        <w:rPr>
          <w:rFonts w:ascii="楷体" w:eastAsia="楷体" w:hAnsi="楷体" w:hint="eastAsia"/>
          <w:sz w:val="28"/>
          <w:szCs w:val="28"/>
        </w:rPr>
        <w:t>201</w:t>
      </w:r>
      <w:r w:rsidR="00900B34" w:rsidRPr="00E31396">
        <w:rPr>
          <w:rFonts w:ascii="楷体" w:eastAsia="楷体" w:hAnsi="楷体" w:hint="eastAsia"/>
          <w:sz w:val="28"/>
          <w:szCs w:val="28"/>
        </w:rPr>
        <w:t>8</w:t>
      </w:r>
      <w:r w:rsidRPr="00E31396">
        <w:rPr>
          <w:rFonts w:ascii="楷体" w:eastAsia="楷体" w:hAnsi="楷体" w:hint="eastAsia"/>
          <w:sz w:val="28"/>
          <w:szCs w:val="28"/>
        </w:rPr>
        <w:t>年</w:t>
      </w:r>
      <w:r w:rsidR="00F12BAB" w:rsidRPr="00E31396">
        <w:rPr>
          <w:rFonts w:ascii="楷体" w:eastAsia="楷体" w:hAnsi="楷体" w:hint="eastAsia"/>
          <w:sz w:val="28"/>
          <w:szCs w:val="28"/>
        </w:rPr>
        <w:t>4</w:t>
      </w:r>
      <w:r w:rsidRPr="00E31396">
        <w:rPr>
          <w:rFonts w:ascii="楷体" w:eastAsia="楷体" w:hAnsi="楷体" w:hint="eastAsia"/>
          <w:sz w:val="28"/>
          <w:szCs w:val="28"/>
        </w:rPr>
        <w:t>月</w:t>
      </w:r>
      <w:r w:rsidR="00E66C2B" w:rsidRPr="00E31396">
        <w:rPr>
          <w:rFonts w:ascii="楷体" w:eastAsia="楷体" w:hAnsi="楷体" w:hint="eastAsia"/>
          <w:sz w:val="28"/>
          <w:szCs w:val="28"/>
        </w:rPr>
        <w:t>8</w:t>
      </w:r>
      <w:r w:rsidRPr="00E31396">
        <w:rPr>
          <w:rFonts w:ascii="楷体" w:eastAsia="楷体" w:hAnsi="楷体" w:hint="eastAsia"/>
          <w:sz w:val="28"/>
          <w:szCs w:val="28"/>
        </w:rPr>
        <w:t>日</w:t>
      </w:r>
    </w:p>
    <w:p w:rsidR="00834E61" w:rsidRPr="00EE48D0" w:rsidRDefault="00834E61" w:rsidP="00650925">
      <w:pPr>
        <w:spacing w:line="360" w:lineRule="auto"/>
        <w:jc w:val="center"/>
        <w:rPr>
          <w:rFonts w:asciiTheme="minorEastAsia" w:eastAsiaTheme="minorEastAsia" w:hAnsiTheme="minorEastAsia"/>
          <w:sz w:val="24"/>
          <w:szCs w:val="24"/>
        </w:rPr>
      </w:pPr>
    </w:p>
    <w:p w:rsidR="00FA5503" w:rsidRPr="000259A1" w:rsidRDefault="00FA5503" w:rsidP="000259A1">
      <w:pPr>
        <w:spacing w:line="360" w:lineRule="auto"/>
        <w:ind w:firstLineChars="200" w:firstLine="640"/>
        <w:rPr>
          <w:rFonts w:ascii="仿宋" w:eastAsia="仿宋" w:hAnsi="仿宋" w:cs="宋体"/>
          <w:color w:val="0000FF"/>
          <w:sz w:val="32"/>
          <w:szCs w:val="32"/>
          <w:vertAlign w:val="superscript"/>
        </w:rPr>
      </w:pPr>
      <w:r w:rsidRPr="000259A1">
        <w:rPr>
          <w:rFonts w:ascii="仿宋" w:eastAsia="仿宋" w:hAnsi="仿宋" w:hint="eastAsia"/>
          <w:sz w:val="32"/>
          <w:szCs w:val="32"/>
        </w:rPr>
        <w:t>根据年快报统计</w:t>
      </w:r>
      <w:r w:rsidR="00CE1BD2" w:rsidRPr="000259A1">
        <w:rPr>
          <w:rFonts w:ascii="仿宋" w:eastAsia="仿宋" w:hAnsi="仿宋" w:hint="eastAsia"/>
          <w:sz w:val="32"/>
          <w:szCs w:val="32"/>
          <w:vertAlign w:val="superscript"/>
        </w:rPr>
        <w:t>[1]</w:t>
      </w:r>
      <w:r w:rsidRPr="000259A1">
        <w:rPr>
          <w:rFonts w:ascii="仿宋" w:eastAsia="仿宋" w:hAnsi="仿宋" w:hint="eastAsia"/>
          <w:sz w:val="32"/>
          <w:szCs w:val="32"/>
        </w:rPr>
        <w:t>，</w:t>
      </w:r>
      <w:r w:rsidR="00CE1BD2" w:rsidRPr="000259A1">
        <w:rPr>
          <w:rFonts w:ascii="仿宋" w:eastAsia="仿宋" w:hAnsi="仿宋" w:hint="eastAsia"/>
          <w:sz w:val="32"/>
          <w:szCs w:val="32"/>
        </w:rPr>
        <w:t>现将</w:t>
      </w:r>
      <w:r w:rsidR="00900B34" w:rsidRPr="000259A1">
        <w:rPr>
          <w:rFonts w:ascii="仿宋" w:eastAsia="仿宋" w:hAnsi="仿宋" w:hint="eastAsia"/>
          <w:sz w:val="32"/>
          <w:szCs w:val="32"/>
        </w:rPr>
        <w:t>2017</w:t>
      </w:r>
      <w:r w:rsidR="00CE1BD2" w:rsidRPr="000259A1">
        <w:rPr>
          <w:rFonts w:ascii="仿宋" w:eastAsia="仿宋" w:hAnsi="仿宋" w:hint="eastAsia"/>
          <w:sz w:val="32"/>
          <w:szCs w:val="32"/>
        </w:rPr>
        <w:t>年全区国民经济和社会发展情况公报如下：</w:t>
      </w:r>
    </w:p>
    <w:p w:rsidR="002B4845" w:rsidRPr="005A7D58" w:rsidRDefault="005E78CA" w:rsidP="005A7D58">
      <w:pPr>
        <w:pStyle w:val="a7"/>
        <w:snapToGrid w:val="0"/>
        <w:spacing w:before="0" w:beforeAutospacing="0" w:after="0" w:afterAutospacing="0" w:line="600" w:lineRule="exact"/>
        <w:ind w:firstLineChars="200" w:firstLine="640"/>
        <w:jc w:val="both"/>
        <w:rPr>
          <w:rFonts w:ascii="仿宋" w:eastAsia="仿宋" w:hAnsi="仿宋"/>
          <w:sz w:val="32"/>
          <w:szCs w:val="32"/>
        </w:rPr>
      </w:pPr>
      <w:r w:rsidRPr="000259A1">
        <w:rPr>
          <w:rFonts w:ascii="仿宋" w:eastAsia="仿宋" w:hAnsi="仿宋" w:hint="eastAsia"/>
          <w:sz w:val="32"/>
          <w:szCs w:val="32"/>
        </w:rPr>
        <w:t>201</w:t>
      </w:r>
      <w:r w:rsidR="00FC0628" w:rsidRPr="000259A1">
        <w:rPr>
          <w:rFonts w:ascii="仿宋" w:eastAsia="仿宋" w:hAnsi="仿宋" w:hint="eastAsia"/>
          <w:sz w:val="32"/>
          <w:szCs w:val="32"/>
        </w:rPr>
        <w:t>7</w:t>
      </w:r>
      <w:r w:rsidRPr="000259A1">
        <w:rPr>
          <w:rFonts w:ascii="仿宋" w:eastAsia="仿宋" w:hAnsi="仿宋" w:hint="eastAsia"/>
          <w:sz w:val="32"/>
          <w:szCs w:val="32"/>
        </w:rPr>
        <w:t>年，</w:t>
      </w:r>
      <w:r w:rsidR="002B4845">
        <w:rPr>
          <w:rFonts w:ascii="仿宋" w:eastAsia="仿宋" w:hAnsi="仿宋" w:hint="eastAsia"/>
          <w:sz w:val="32"/>
          <w:szCs w:val="32"/>
        </w:rPr>
        <w:t>在区委、区政府的坚强领导下，全区上下坚持以党的十九大精神和习近平新时代中国特色社会主义思想为指引，全面贯彻“四个着力”“三个推进”，</w:t>
      </w:r>
      <w:r w:rsidR="002B4845" w:rsidRPr="005A7D58">
        <w:rPr>
          <w:rFonts w:ascii="仿宋" w:eastAsia="仿宋" w:hAnsi="仿宋" w:hint="eastAsia"/>
          <w:sz w:val="32"/>
          <w:szCs w:val="32"/>
        </w:rPr>
        <w:t>把握经济发展新常态，坚持稳中求进总基调，着力推进供给侧结构性改革，抢抓机遇、砥砺奋进，实现了有质量的稳定增长和</w:t>
      </w:r>
      <w:proofErr w:type="gramStart"/>
      <w:r w:rsidR="002B4845" w:rsidRPr="005A7D58">
        <w:rPr>
          <w:rFonts w:ascii="仿宋" w:eastAsia="仿宋" w:hAnsi="仿宋" w:hint="eastAsia"/>
          <w:sz w:val="32"/>
          <w:szCs w:val="32"/>
        </w:rPr>
        <w:t>可</w:t>
      </w:r>
      <w:proofErr w:type="gramEnd"/>
      <w:r w:rsidR="002B4845" w:rsidRPr="005A7D58">
        <w:rPr>
          <w:rFonts w:ascii="仿宋" w:eastAsia="仿宋" w:hAnsi="仿宋" w:hint="eastAsia"/>
          <w:sz w:val="32"/>
          <w:szCs w:val="32"/>
        </w:rPr>
        <w:t>持续的全面发展。</w:t>
      </w:r>
    </w:p>
    <w:p w:rsidR="005E78CA" w:rsidRPr="000259A1" w:rsidRDefault="005E78CA" w:rsidP="000259A1">
      <w:pPr>
        <w:spacing w:line="360" w:lineRule="auto"/>
        <w:ind w:firstLineChars="196" w:firstLine="630"/>
        <w:rPr>
          <w:rFonts w:ascii="仿宋" w:eastAsia="仿宋" w:hAnsi="仿宋"/>
          <w:b/>
          <w:sz w:val="32"/>
          <w:szCs w:val="32"/>
        </w:rPr>
      </w:pPr>
      <w:r w:rsidRPr="000259A1">
        <w:rPr>
          <w:rFonts w:ascii="仿宋" w:eastAsia="仿宋" w:hAnsi="仿宋" w:hint="eastAsia"/>
          <w:b/>
          <w:sz w:val="32"/>
          <w:szCs w:val="32"/>
        </w:rPr>
        <w:t>一、经济总量</w:t>
      </w:r>
    </w:p>
    <w:p w:rsidR="005E78CA" w:rsidRPr="000259A1" w:rsidRDefault="005E78CA" w:rsidP="009D25A5">
      <w:pPr>
        <w:spacing w:line="360" w:lineRule="auto"/>
        <w:ind w:firstLine="480"/>
        <w:rPr>
          <w:rFonts w:ascii="仿宋" w:eastAsia="仿宋" w:hAnsi="仿宋"/>
          <w:sz w:val="32"/>
          <w:szCs w:val="32"/>
        </w:rPr>
      </w:pPr>
      <w:r w:rsidRPr="000259A1">
        <w:rPr>
          <w:rFonts w:ascii="仿宋" w:eastAsia="仿宋" w:hAnsi="仿宋" w:hint="eastAsia"/>
          <w:sz w:val="32"/>
          <w:szCs w:val="32"/>
        </w:rPr>
        <w:t>初步核算，全年地区生产总值</w:t>
      </w:r>
      <w:r w:rsidR="00CE1BD2" w:rsidRPr="000259A1">
        <w:rPr>
          <w:rFonts w:ascii="仿宋" w:eastAsia="仿宋" w:hAnsi="仿宋" w:hint="eastAsia"/>
          <w:sz w:val="32"/>
          <w:szCs w:val="32"/>
          <w:vertAlign w:val="superscript"/>
        </w:rPr>
        <w:t>[2]</w:t>
      </w:r>
      <w:r w:rsidR="0024603A" w:rsidRPr="000259A1">
        <w:rPr>
          <w:rFonts w:ascii="仿宋" w:eastAsia="仿宋" w:hAnsi="仿宋" w:hint="eastAsia"/>
          <w:sz w:val="32"/>
          <w:szCs w:val="32"/>
        </w:rPr>
        <w:t>33</w:t>
      </w:r>
      <w:r w:rsidR="007A7727" w:rsidRPr="000259A1">
        <w:rPr>
          <w:rFonts w:ascii="仿宋" w:eastAsia="仿宋" w:hAnsi="仿宋" w:hint="eastAsia"/>
          <w:sz w:val="32"/>
          <w:szCs w:val="32"/>
        </w:rPr>
        <w:t>9.8</w:t>
      </w:r>
      <w:r w:rsidRPr="000259A1">
        <w:rPr>
          <w:rFonts w:ascii="仿宋" w:eastAsia="仿宋" w:hAnsi="仿宋" w:hint="eastAsia"/>
          <w:sz w:val="32"/>
          <w:szCs w:val="32"/>
        </w:rPr>
        <w:t>亿元，</w:t>
      </w:r>
      <w:r w:rsidR="00555AE0" w:rsidRPr="000259A1">
        <w:rPr>
          <w:rFonts w:ascii="仿宋" w:eastAsia="仿宋" w:hAnsi="仿宋" w:hint="eastAsia"/>
          <w:sz w:val="32"/>
          <w:szCs w:val="32"/>
        </w:rPr>
        <w:t>按可比价格计算,</w:t>
      </w:r>
      <w:r w:rsidRPr="000259A1">
        <w:rPr>
          <w:rFonts w:ascii="仿宋" w:eastAsia="仿宋" w:hAnsi="仿宋" w:hint="eastAsia"/>
          <w:sz w:val="32"/>
          <w:szCs w:val="32"/>
        </w:rPr>
        <w:t>比上年</w:t>
      </w:r>
      <w:r w:rsidR="007A7727" w:rsidRPr="000259A1">
        <w:rPr>
          <w:rFonts w:ascii="仿宋" w:eastAsia="仿宋" w:hAnsi="仿宋" w:hint="eastAsia"/>
          <w:sz w:val="32"/>
          <w:szCs w:val="32"/>
        </w:rPr>
        <w:t>增长8.2</w:t>
      </w:r>
      <w:r w:rsidRPr="000259A1">
        <w:rPr>
          <w:rFonts w:ascii="仿宋" w:eastAsia="仿宋" w:hAnsi="仿宋" w:hint="eastAsia"/>
          <w:sz w:val="32"/>
          <w:szCs w:val="32"/>
        </w:rPr>
        <w:t>%。其中,第一产业增加值1.</w:t>
      </w:r>
      <w:r w:rsidR="007A7727" w:rsidRPr="000259A1">
        <w:rPr>
          <w:rFonts w:ascii="仿宋" w:eastAsia="仿宋" w:hAnsi="仿宋" w:hint="eastAsia"/>
          <w:sz w:val="32"/>
          <w:szCs w:val="32"/>
        </w:rPr>
        <w:t>9</w:t>
      </w:r>
      <w:r w:rsidRPr="000259A1">
        <w:rPr>
          <w:rFonts w:ascii="仿宋" w:eastAsia="仿宋" w:hAnsi="仿宋" w:hint="eastAsia"/>
          <w:sz w:val="32"/>
          <w:szCs w:val="32"/>
        </w:rPr>
        <w:t>亿元，增长</w:t>
      </w:r>
      <w:r w:rsidR="007A7727" w:rsidRPr="000259A1">
        <w:rPr>
          <w:rFonts w:ascii="仿宋" w:eastAsia="仿宋" w:hAnsi="仿宋" w:hint="eastAsia"/>
          <w:sz w:val="32"/>
          <w:szCs w:val="32"/>
        </w:rPr>
        <w:t>3.4</w:t>
      </w:r>
      <w:r w:rsidRPr="000259A1">
        <w:rPr>
          <w:rFonts w:ascii="仿宋" w:eastAsia="仿宋" w:hAnsi="仿宋" w:hint="eastAsia"/>
          <w:sz w:val="32"/>
          <w:szCs w:val="32"/>
        </w:rPr>
        <w:t>%；第二产业增加值</w:t>
      </w:r>
      <w:r w:rsidR="007A7727" w:rsidRPr="000259A1">
        <w:rPr>
          <w:rFonts w:ascii="仿宋" w:eastAsia="仿宋" w:hAnsi="仿宋" w:hint="eastAsia"/>
          <w:sz w:val="32"/>
          <w:szCs w:val="32"/>
        </w:rPr>
        <w:t>112.8</w:t>
      </w:r>
      <w:r w:rsidRPr="000259A1">
        <w:rPr>
          <w:rFonts w:ascii="仿宋" w:eastAsia="仿宋" w:hAnsi="仿宋" w:hint="eastAsia"/>
          <w:sz w:val="32"/>
          <w:szCs w:val="32"/>
        </w:rPr>
        <w:t>亿元，</w:t>
      </w:r>
      <w:r w:rsidR="007A7727" w:rsidRPr="000259A1">
        <w:rPr>
          <w:rFonts w:ascii="仿宋" w:eastAsia="仿宋" w:hAnsi="仿宋" w:hint="eastAsia"/>
          <w:sz w:val="32"/>
          <w:szCs w:val="32"/>
        </w:rPr>
        <w:t>增长9.8</w:t>
      </w:r>
      <w:r w:rsidRPr="000259A1">
        <w:rPr>
          <w:rFonts w:ascii="仿宋" w:eastAsia="仿宋" w:hAnsi="仿宋" w:hint="eastAsia"/>
          <w:sz w:val="32"/>
          <w:szCs w:val="32"/>
        </w:rPr>
        <w:t>%；第三产业增加值</w:t>
      </w:r>
      <w:r w:rsidR="007A7727" w:rsidRPr="000259A1">
        <w:rPr>
          <w:rFonts w:ascii="仿宋" w:eastAsia="仿宋" w:hAnsi="仿宋" w:hint="eastAsia"/>
          <w:sz w:val="32"/>
          <w:szCs w:val="32"/>
        </w:rPr>
        <w:t>225.1</w:t>
      </w:r>
      <w:r w:rsidRPr="000259A1">
        <w:rPr>
          <w:rFonts w:ascii="仿宋" w:eastAsia="仿宋" w:hAnsi="仿宋" w:hint="eastAsia"/>
          <w:sz w:val="32"/>
          <w:szCs w:val="32"/>
        </w:rPr>
        <w:t>亿元，</w:t>
      </w:r>
      <w:r w:rsidR="007A7727" w:rsidRPr="000259A1">
        <w:rPr>
          <w:rFonts w:ascii="仿宋" w:eastAsia="仿宋" w:hAnsi="仿宋" w:hint="eastAsia"/>
          <w:sz w:val="32"/>
          <w:szCs w:val="32"/>
        </w:rPr>
        <w:t>增长7.5</w:t>
      </w:r>
      <w:r w:rsidRPr="000259A1">
        <w:rPr>
          <w:rFonts w:ascii="仿宋" w:eastAsia="仿宋" w:hAnsi="仿宋" w:hint="eastAsia"/>
          <w:sz w:val="32"/>
          <w:szCs w:val="32"/>
        </w:rPr>
        <w:t>%。三次产业增加值占地区生产总值的比重</w:t>
      </w:r>
      <w:r w:rsidR="007A7727" w:rsidRPr="000259A1">
        <w:rPr>
          <w:rFonts w:ascii="仿宋" w:eastAsia="仿宋" w:hAnsi="仿宋" w:hint="eastAsia"/>
          <w:sz w:val="32"/>
          <w:szCs w:val="32"/>
        </w:rPr>
        <w:t>为0.6：33.2：66.2</w:t>
      </w:r>
      <w:r w:rsidRPr="000259A1">
        <w:rPr>
          <w:rFonts w:ascii="仿宋" w:eastAsia="仿宋" w:hAnsi="仿宋" w:hint="eastAsia"/>
          <w:sz w:val="32"/>
          <w:szCs w:val="32"/>
        </w:rPr>
        <w:t>。人均地区生产总值</w:t>
      </w:r>
      <w:r w:rsidR="00455AF5" w:rsidRPr="000259A1">
        <w:rPr>
          <w:rFonts w:ascii="仿宋" w:eastAsia="仿宋" w:hAnsi="仿宋" w:hint="eastAsia"/>
          <w:sz w:val="32"/>
          <w:szCs w:val="32"/>
        </w:rPr>
        <w:t>127231</w:t>
      </w:r>
      <w:r w:rsidRPr="000259A1">
        <w:rPr>
          <w:rFonts w:ascii="仿宋" w:eastAsia="仿宋" w:hAnsi="仿宋" w:hint="eastAsia"/>
          <w:sz w:val="32"/>
          <w:szCs w:val="32"/>
        </w:rPr>
        <w:t>元，</w:t>
      </w:r>
      <w:r w:rsidR="00D03AB1">
        <w:rPr>
          <w:rFonts w:ascii="仿宋" w:eastAsia="仿宋" w:hAnsi="仿宋" w:hint="eastAsia"/>
          <w:sz w:val="32"/>
          <w:szCs w:val="32"/>
        </w:rPr>
        <w:t>按可比价格计算,</w:t>
      </w:r>
      <w:r w:rsidRPr="000259A1">
        <w:rPr>
          <w:rFonts w:ascii="仿宋" w:eastAsia="仿宋" w:hAnsi="仿宋" w:hint="eastAsia"/>
          <w:sz w:val="32"/>
          <w:szCs w:val="32"/>
        </w:rPr>
        <w:t>比上年</w:t>
      </w:r>
      <w:r w:rsidR="00455AF5" w:rsidRPr="000259A1">
        <w:rPr>
          <w:rFonts w:ascii="仿宋" w:eastAsia="仿宋" w:hAnsi="仿宋" w:hint="eastAsia"/>
          <w:sz w:val="32"/>
          <w:szCs w:val="32"/>
        </w:rPr>
        <w:t>增长8.5</w:t>
      </w:r>
      <w:r w:rsidRPr="000259A1">
        <w:rPr>
          <w:rFonts w:ascii="仿宋" w:eastAsia="仿宋" w:hAnsi="仿宋" w:hint="eastAsia"/>
          <w:sz w:val="32"/>
          <w:szCs w:val="32"/>
        </w:rPr>
        <w:t>%</w:t>
      </w:r>
      <w:r w:rsidR="00D03AB1">
        <w:rPr>
          <w:rFonts w:ascii="仿宋" w:eastAsia="仿宋" w:hAnsi="仿宋" w:hint="eastAsia"/>
          <w:sz w:val="32"/>
          <w:szCs w:val="32"/>
        </w:rPr>
        <w:t>。</w:t>
      </w:r>
    </w:p>
    <w:p w:rsidR="005E78CA" w:rsidRPr="00EE48D0" w:rsidRDefault="005E78CA" w:rsidP="00DE3993">
      <w:pPr>
        <w:spacing w:line="360" w:lineRule="auto"/>
        <w:jc w:val="center"/>
        <w:rPr>
          <w:rFonts w:asciiTheme="minorEastAsia" w:eastAsiaTheme="minorEastAsia" w:hAnsiTheme="minorEastAsia"/>
          <w:b/>
          <w:sz w:val="24"/>
          <w:szCs w:val="24"/>
        </w:rPr>
      </w:pPr>
      <w:r w:rsidRPr="00EE48D0">
        <w:rPr>
          <w:rFonts w:asciiTheme="minorEastAsia" w:eastAsiaTheme="minorEastAsia" w:hAnsiTheme="minorEastAsia" w:hint="eastAsia"/>
          <w:b/>
          <w:sz w:val="24"/>
          <w:szCs w:val="24"/>
        </w:rPr>
        <w:t>（图一）</w:t>
      </w:r>
      <w:r w:rsidR="00550B7E">
        <w:rPr>
          <w:rFonts w:asciiTheme="minorEastAsia" w:eastAsiaTheme="minorEastAsia" w:hAnsiTheme="minorEastAsia" w:hint="eastAsia"/>
          <w:b/>
          <w:sz w:val="24"/>
          <w:szCs w:val="24"/>
        </w:rPr>
        <w:t>2013</w:t>
      </w:r>
      <w:r w:rsidRPr="00EE48D0">
        <w:rPr>
          <w:rFonts w:asciiTheme="minorEastAsia" w:eastAsiaTheme="minorEastAsia" w:hAnsiTheme="minorEastAsia" w:hint="eastAsia"/>
          <w:b/>
          <w:sz w:val="24"/>
          <w:szCs w:val="24"/>
        </w:rPr>
        <w:t>—</w:t>
      </w:r>
      <w:r w:rsidR="00080030">
        <w:rPr>
          <w:rFonts w:asciiTheme="minorEastAsia" w:eastAsiaTheme="minorEastAsia" w:hAnsiTheme="minorEastAsia" w:hint="eastAsia"/>
          <w:b/>
          <w:sz w:val="24"/>
          <w:szCs w:val="24"/>
        </w:rPr>
        <w:t>2017</w:t>
      </w:r>
      <w:r w:rsidRPr="00EE48D0">
        <w:rPr>
          <w:rFonts w:asciiTheme="minorEastAsia" w:eastAsiaTheme="minorEastAsia" w:hAnsiTheme="minorEastAsia" w:hint="eastAsia"/>
          <w:b/>
          <w:sz w:val="24"/>
          <w:szCs w:val="24"/>
        </w:rPr>
        <w:t>年地区生产总值</w:t>
      </w:r>
    </w:p>
    <w:p w:rsidR="005E78CA" w:rsidRPr="00EE48D0" w:rsidRDefault="005E78CA" w:rsidP="005E78CA">
      <w:pPr>
        <w:spacing w:line="360" w:lineRule="auto"/>
        <w:rPr>
          <w:rFonts w:asciiTheme="minorEastAsia" w:eastAsiaTheme="minorEastAsia" w:hAnsiTheme="minorEastAsia"/>
          <w:sz w:val="24"/>
          <w:szCs w:val="24"/>
        </w:rPr>
      </w:pPr>
      <w:r w:rsidRPr="00EE48D0">
        <w:rPr>
          <w:rFonts w:asciiTheme="minorEastAsia" w:eastAsiaTheme="minorEastAsia" w:hAnsiTheme="minorEastAsia"/>
          <w:sz w:val="24"/>
          <w:szCs w:val="24"/>
        </w:rPr>
        <w:lastRenderedPageBreak/>
        <w:t xml:space="preserve"> </w:t>
      </w:r>
      <w:r w:rsidR="005B6D88">
        <w:rPr>
          <w:noProof/>
        </w:rPr>
        <w:drawing>
          <wp:inline distT="0" distB="0" distL="0" distR="0">
            <wp:extent cx="5448300" cy="3933825"/>
            <wp:effectExtent l="0" t="0" r="0" b="0"/>
            <wp:docPr id="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3993" w:rsidRPr="000259A1" w:rsidRDefault="005E78CA" w:rsidP="000259A1">
      <w:pPr>
        <w:spacing w:line="360" w:lineRule="auto"/>
        <w:ind w:firstLineChars="196" w:firstLine="630"/>
        <w:rPr>
          <w:rFonts w:ascii="仿宋" w:eastAsia="仿宋" w:hAnsi="仿宋"/>
          <w:b/>
          <w:sz w:val="32"/>
          <w:szCs w:val="32"/>
        </w:rPr>
      </w:pPr>
      <w:r w:rsidRPr="000259A1">
        <w:rPr>
          <w:rFonts w:ascii="仿宋" w:eastAsia="仿宋" w:hAnsi="仿宋" w:hint="eastAsia"/>
          <w:b/>
          <w:sz w:val="32"/>
          <w:szCs w:val="32"/>
        </w:rPr>
        <w:t>二、农</w:t>
      </w:r>
      <w:r w:rsidR="00C81764" w:rsidRPr="000259A1">
        <w:rPr>
          <w:rFonts w:ascii="仿宋" w:eastAsia="仿宋" w:hAnsi="仿宋" w:hint="eastAsia"/>
          <w:b/>
          <w:sz w:val="32"/>
          <w:szCs w:val="32"/>
        </w:rPr>
        <w:t>、</w:t>
      </w:r>
      <w:r w:rsidRPr="000259A1">
        <w:rPr>
          <w:rFonts w:ascii="仿宋" w:eastAsia="仿宋" w:hAnsi="仿宋" w:hint="eastAsia"/>
          <w:b/>
          <w:sz w:val="32"/>
          <w:szCs w:val="32"/>
        </w:rPr>
        <w:t>林</w:t>
      </w:r>
      <w:r w:rsidR="00C81764" w:rsidRPr="000259A1">
        <w:rPr>
          <w:rFonts w:ascii="仿宋" w:eastAsia="仿宋" w:hAnsi="仿宋" w:hint="eastAsia"/>
          <w:b/>
          <w:sz w:val="32"/>
          <w:szCs w:val="32"/>
        </w:rPr>
        <w:t>、</w:t>
      </w:r>
      <w:r w:rsidRPr="000259A1">
        <w:rPr>
          <w:rFonts w:ascii="仿宋" w:eastAsia="仿宋" w:hAnsi="仿宋" w:hint="eastAsia"/>
          <w:b/>
          <w:sz w:val="32"/>
          <w:szCs w:val="32"/>
        </w:rPr>
        <w:t>牧</w:t>
      </w:r>
      <w:r w:rsidR="00C81764" w:rsidRPr="000259A1">
        <w:rPr>
          <w:rFonts w:ascii="仿宋" w:eastAsia="仿宋" w:hAnsi="仿宋" w:hint="eastAsia"/>
          <w:b/>
          <w:sz w:val="32"/>
          <w:szCs w:val="32"/>
        </w:rPr>
        <w:t>、</w:t>
      </w:r>
      <w:r w:rsidRPr="000259A1">
        <w:rPr>
          <w:rFonts w:ascii="仿宋" w:eastAsia="仿宋" w:hAnsi="仿宋" w:hint="eastAsia"/>
          <w:b/>
          <w:sz w:val="32"/>
          <w:szCs w:val="32"/>
        </w:rPr>
        <w:t>渔业</w:t>
      </w:r>
    </w:p>
    <w:p w:rsidR="00DE1A0D" w:rsidRPr="000259A1" w:rsidRDefault="00DE1A0D" w:rsidP="00DE1A0D">
      <w:pPr>
        <w:spacing w:line="360" w:lineRule="auto"/>
        <w:rPr>
          <w:rFonts w:ascii="仿宋" w:eastAsia="仿宋" w:hAnsi="仿宋"/>
          <w:sz w:val="32"/>
          <w:szCs w:val="32"/>
        </w:rPr>
      </w:pPr>
      <w:r w:rsidRPr="000259A1">
        <w:rPr>
          <w:rFonts w:ascii="仿宋" w:eastAsia="仿宋" w:hAnsi="仿宋" w:hint="eastAsia"/>
          <w:sz w:val="32"/>
          <w:szCs w:val="32"/>
        </w:rPr>
        <w:t xml:space="preserve">    全年农林牧渔业增加值</w:t>
      </w:r>
      <w:r w:rsidR="0014051F">
        <w:rPr>
          <w:rFonts w:ascii="仿宋" w:eastAsia="仿宋" w:hAnsi="仿宋" w:hint="eastAsia"/>
          <w:sz w:val="32"/>
          <w:szCs w:val="32"/>
        </w:rPr>
        <w:t>1.92</w:t>
      </w:r>
      <w:r w:rsidRPr="000259A1">
        <w:rPr>
          <w:rFonts w:ascii="仿宋" w:eastAsia="仿宋" w:hAnsi="仿宋" w:hint="eastAsia"/>
          <w:sz w:val="32"/>
          <w:szCs w:val="32"/>
        </w:rPr>
        <w:t>亿元，按可比价格计算，比上年增长3.4%。其中，农业增加值1.34亿元，林业增加值0.02，牧业增加值0.34亿元，渔业增加值0.18亿元，农林牧渔服务业增加值0.04亿元。</w:t>
      </w:r>
    </w:p>
    <w:p w:rsidR="00DE1A0D" w:rsidRPr="000259A1" w:rsidRDefault="00DE1A0D" w:rsidP="00DE1A0D">
      <w:pPr>
        <w:spacing w:line="360" w:lineRule="auto"/>
        <w:rPr>
          <w:rFonts w:ascii="仿宋" w:eastAsia="仿宋" w:hAnsi="仿宋"/>
          <w:sz w:val="32"/>
          <w:szCs w:val="32"/>
        </w:rPr>
      </w:pPr>
      <w:r w:rsidRPr="000259A1">
        <w:rPr>
          <w:rFonts w:ascii="仿宋" w:eastAsia="仿宋" w:hAnsi="仿宋" w:hint="eastAsia"/>
          <w:sz w:val="32"/>
          <w:szCs w:val="32"/>
        </w:rPr>
        <w:t xml:space="preserve">    </w:t>
      </w:r>
      <w:r w:rsidR="00081447" w:rsidRPr="000259A1">
        <w:rPr>
          <w:rFonts w:ascii="仿宋" w:eastAsia="仿宋" w:hAnsi="仿宋" w:hint="eastAsia"/>
          <w:sz w:val="32"/>
          <w:szCs w:val="32"/>
        </w:rPr>
        <w:t>全年</w:t>
      </w:r>
      <w:r w:rsidRPr="000259A1">
        <w:rPr>
          <w:rFonts w:ascii="仿宋" w:eastAsia="仿宋" w:hAnsi="仿宋" w:hint="eastAsia"/>
          <w:sz w:val="32"/>
          <w:szCs w:val="32"/>
        </w:rPr>
        <w:t>粮食作物播种面积6412公顷。在粮食作物中，水稻播种面积6375公顷。在非粮食作物中，蔬菜播种面积99.26公顷。全年粮食产量50123吨。其中，水稻产量52609吨，蔬菜产量3050.7吨，水果产量3吨。全年肉类总产量1466.1吨。其中，猪肉产量863吨，禽肉产量512.2吨，禽蛋产量1365.2吨。生猪出栏10788头，年末存栏9565头。全年水</w:t>
      </w:r>
      <w:r w:rsidRPr="000259A1">
        <w:rPr>
          <w:rFonts w:ascii="仿宋" w:eastAsia="仿宋" w:hAnsi="仿宋" w:hint="eastAsia"/>
          <w:sz w:val="32"/>
          <w:szCs w:val="32"/>
        </w:rPr>
        <w:lastRenderedPageBreak/>
        <w:t>产品产量2510吨。</w:t>
      </w:r>
    </w:p>
    <w:p w:rsidR="00127D39" w:rsidRPr="00144CB9" w:rsidRDefault="005E78CA" w:rsidP="000259A1">
      <w:pPr>
        <w:spacing w:line="360" w:lineRule="auto"/>
        <w:ind w:firstLineChars="196" w:firstLine="630"/>
        <w:rPr>
          <w:rFonts w:ascii="仿宋" w:eastAsia="仿宋" w:hAnsi="仿宋"/>
          <w:b/>
          <w:sz w:val="32"/>
          <w:szCs w:val="32"/>
        </w:rPr>
      </w:pPr>
      <w:r w:rsidRPr="00144CB9">
        <w:rPr>
          <w:rFonts w:ascii="仿宋" w:eastAsia="仿宋" w:hAnsi="仿宋" w:hint="eastAsia"/>
          <w:b/>
          <w:sz w:val="32"/>
          <w:szCs w:val="32"/>
        </w:rPr>
        <w:t>三、工业</w:t>
      </w:r>
      <w:r w:rsidR="00A15EB0" w:rsidRPr="00144CB9">
        <w:rPr>
          <w:rFonts w:ascii="仿宋" w:eastAsia="仿宋" w:hAnsi="仿宋" w:hint="eastAsia"/>
          <w:b/>
          <w:sz w:val="32"/>
          <w:szCs w:val="32"/>
        </w:rPr>
        <w:t>和建筑业</w:t>
      </w:r>
    </w:p>
    <w:p w:rsidR="001C09A0" w:rsidRPr="00144CB9" w:rsidRDefault="001C09A0" w:rsidP="001C09A0">
      <w:pPr>
        <w:spacing w:line="360" w:lineRule="auto"/>
        <w:ind w:firstLineChars="196" w:firstLine="627"/>
        <w:rPr>
          <w:rFonts w:ascii="仿宋" w:eastAsia="仿宋" w:hAnsi="仿宋"/>
          <w:sz w:val="32"/>
          <w:szCs w:val="32"/>
        </w:rPr>
      </w:pPr>
      <w:r w:rsidRPr="00144CB9">
        <w:rPr>
          <w:rFonts w:ascii="仿宋" w:eastAsia="仿宋" w:hAnsi="仿宋" w:hint="eastAsia"/>
          <w:sz w:val="32"/>
          <w:szCs w:val="32"/>
        </w:rPr>
        <w:t>全</w:t>
      </w:r>
      <w:r w:rsidRPr="000B12C8">
        <w:rPr>
          <w:rFonts w:ascii="仿宋" w:eastAsia="仿宋" w:hAnsi="仿宋" w:hint="eastAsia"/>
          <w:sz w:val="32"/>
          <w:szCs w:val="32"/>
        </w:rPr>
        <w:t>区规模以上</w:t>
      </w:r>
      <w:r w:rsidR="00AC43A2" w:rsidRPr="000B12C8">
        <w:rPr>
          <w:rFonts w:ascii="仿宋" w:eastAsia="仿宋" w:hAnsi="仿宋" w:hint="eastAsia"/>
          <w:sz w:val="32"/>
          <w:szCs w:val="32"/>
          <w:vertAlign w:val="superscript"/>
        </w:rPr>
        <w:t>[3</w:t>
      </w:r>
      <w:r w:rsidRPr="000B12C8">
        <w:rPr>
          <w:rFonts w:ascii="仿宋" w:eastAsia="仿宋" w:hAnsi="仿宋" w:hint="eastAsia"/>
          <w:sz w:val="32"/>
          <w:szCs w:val="32"/>
          <w:vertAlign w:val="superscript"/>
        </w:rPr>
        <w:t>]</w:t>
      </w:r>
      <w:r w:rsidRPr="000B12C8">
        <w:rPr>
          <w:rFonts w:ascii="仿宋" w:eastAsia="仿宋" w:hAnsi="仿宋" w:hint="eastAsia"/>
          <w:sz w:val="32"/>
          <w:szCs w:val="32"/>
        </w:rPr>
        <w:t>工业增加值按可比价格计算比上年增长2</w:t>
      </w:r>
      <w:r w:rsidR="0048190F" w:rsidRPr="000B12C8">
        <w:rPr>
          <w:rFonts w:ascii="仿宋" w:eastAsia="仿宋" w:hAnsi="仿宋" w:hint="eastAsia"/>
          <w:sz w:val="32"/>
          <w:szCs w:val="32"/>
        </w:rPr>
        <w:t>0.5</w:t>
      </w:r>
      <w:r w:rsidRPr="000B12C8">
        <w:rPr>
          <w:rFonts w:ascii="仿宋" w:eastAsia="仿宋" w:hAnsi="仿宋" w:hint="eastAsia"/>
          <w:sz w:val="32"/>
          <w:szCs w:val="32"/>
        </w:rPr>
        <w:t>%</w:t>
      </w:r>
      <w:r w:rsidR="000B12C8">
        <w:rPr>
          <w:rFonts w:ascii="仿宋" w:eastAsia="仿宋" w:hAnsi="仿宋" w:hint="eastAsia"/>
          <w:sz w:val="32"/>
          <w:szCs w:val="32"/>
        </w:rPr>
        <w:t>。</w:t>
      </w:r>
      <w:r w:rsidRPr="00144CB9">
        <w:rPr>
          <w:rFonts w:ascii="仿宋" w:eastAsia="仿宋" w:hAnsi="仿宋" w:hint="eastAsia"/>
          <w:sz w:val="32"/>
          <w:szCs w:val="32"/>
        </w:rPr>
        <w:t>其中石油装备制造产业集群增加值增长17.3%，石油化工产业集群增加值增长15.4%。按行业大类分，专用设备制造业增加值</w:t>
      </w:r>
      <w:r w:rsidR="000B12C8">
        <w:rPr>
          <w:rFonts w:ascii="仿宋" w:eastAsia="仿宋" w:hAnsi="仿宋" w:hint="eastAsia"/>
          <w:sz w:val="32"/>
          <w:szCs w:val="32"/>
        </w:rPr>
        <w:t>下降</w:t>
      </w:r>
      <w:r w:rsidRPr="00144CB9">
        <w:rPr>
          <w:rFonts w:ascii="仿宋" w:eastAsia="仿宋" w:hAnsi="仿宋" w:hint="eastAsia"/>
          <w:sz w:val="32"/>
          <w:szCs w:val="32"/>
        </w:rPr>
        <w:t>16.3%，开采辅助活动增长30.0%，石油加工、炼焦和核燃料加工业增长12.7%，计算机、通信和其他电子设备制造业增长13.8</w:t>
      </w:r>
      <w:r w:rsidR="000B12C8">
        <w:rPr>
          <w:rFonts w:ascii="仿宋" w:eastAsia="仿宋" w:hAnsi="仿宋" w:hint="eastAsia"/>
          <w:sz w:val="32"/>
          <w:szCs w:val="32"/>
        </w:rPr>
        <w:t>%</w:t>
      </w:r>
      <w:r w:rsidRPr="00144CB9">
        <w:rPr>
          <w:rFonts w:ascii="仿宋" w:eastAsia="仿宋" w:hAnsi="仿宋" w:hint="eastAsia"/>
          <w:sz w:val="32"/>
          <w:szCs w:val="32"/>
        </w:rPr>
        <w:t>，电力、热力生产和供应业增长15.4%。</w:t>
      </w:r>
    </w:p>
    <w:p w:rsidR="001C09A0" w:rsidRPr="00144CB9" w:rsidRDefault="001C09A0" w:rsidP="001C09A0">
      <w:pPr>
        <w:spacing w:line="360" w:lineRule="auto"/>
        <w:ind w:firstLineChars="196" w:firstLine="627"/>
        <w:rPr>
          <w:rFonts w:ascii="仿宋" w:eastAsia="仿宋" w:hAnsi="仿宋"/>
          <w:sz w:val="32"/>
          <w:szCs w:val="32"/>
        </w:rPr>
      </w:pPr>
      <w:r w:rsidRPr="00144CB9">
        <w:rPr>
          <w:rFonts w:ascii="仿宋" w:eastAsia="仿宋" w:hAnsi="仿宋" w:hint="eastAsia"/>
          <w:sz w:val="32"/>
          <w:szCs w:val="32"/>
        </w:rPr>
        <w:t>全年规模以上工业企业主要产品产量中，原油加工量192.1万吨，比上年</w:t>
      </w:r>
      <w:r w:rsidR="000B12C8">
        <w:rPr>
          <w:rFonts w:ascii="仿宋" w:eastAsia="仿宋" w:hAnsi="仿宋" w:hint="eastAsia"/>
          <w:sz w:val="32"/>
          <w:szCs w:val="32"/>
        </w:rPr>
        <w:t>下降</w:t>
      </w:r>
      <w:r w:rsidRPr="00144CB9">
        <w:rPr>
          <w:rFonts w:ascii="仿宋" w:eastAsia="仿宋" w:hAnsi="仿宋" w:hint="eastAsia"/>
          <w:sz w:val="32"/>
          <w:szCs w:val="32"/>
        </w:rPr>
        <w:t>4.7%；石油沥青75.1万吨，</w:t>
      </w:r>
      <w:r w:rsidR="000B12C8">
        <w:rPr>
          <w:rFonts w:ascii="仿宋" w:eastAsia="仿宋" w:hAnsi="仿宋" w:hint="eastAsia"/>
          <w:sz w:val="32"/>
          <w:szCs w:val="32"/>
        </w:rPr>
        <w:t>下降</w:t>
      </w:r>
      <w:r w:rsidRPr="00144CB9">
        <w:rPr>
          <w:rFonts w:ascii="仿宋" w:eastAsia="仿宋" w:hAnsi="仿宋" w:hint="eastAsia"/>
          <w:sz w:val="32"/>
          <w:szCs w:val="32"/>
        </w:rPr>
        <w:t>11.5%；石脑油9.1万吨，</w:t>
      </w:r>
      <w:r w:rsidR="000B12C8">
        <w:rPr>
          <w:rFonts w:ascii="仿宋" w:eastAsia="仿宋" w:hAnsi="仿宋" w:hint="eastAsia"/>
          <w:sz w:val="32"/>
          <w:szCs w:val="32"/>
        </w:rPr>
        <w:t>与上年持平</w:t>
      </w:r>
      <w:r w:rsidRPr="00144CB9">
        <w:rPr>
          <w:rFonts w:ascii="仿宋" w:eastAsia="仿宋" w:hAnsi="仿宋" w:hint="eastAsia"/>
          <w:sz w:val="32"/>
          <w:szCs w:val="32"/>
        </w:rPr>
        <w:t>；涂料0.6万吨，</w:t>
      </w:r>
      <w:r w:rsidR="000B12C8">
        <w:rPr>
          <w:rFonts w:ascii="仿宋" w:eastAsia="仿宋" w:hAnsi="仿宋" w:hint="eastAsia"/>
          <w:sz w:val="32"/>
          <w:szCs w:val="32"/>
        </w:rPr>
        <w:t>下降</w:t>
      </w:r>
      <w:r w:rsidRPr="00144CB9">
        <w:rPr>
          <w:rFonts w:ascii="仿宋" w:eastAsia="仿宋" w:hAnsi="仿宋" w:hint="eastAsia"/>
          <w:sz w:val="32"/>
          <w:szCs w:val="32"/>
        </w:rPr>
        <w:t>3.0%；沥青和改性沥青防水卷材2673.7万平方米，增长57.0%；塑料制品1.7万吨，增长18.0%。</w:t>
      </w:r>
    </w:p>
    <w:p w:rsidR="001C09A0" w:rsidRPr="00144CB9" w:rsidRDefault="001C09A0" w:rsidP="001C09A0">
      <w:pPr>
        <w:spacing w:line="360" w:lineRule="auto"/>
        <w:ind w:firstLineChars="196" w:firstLine="627"/>
        <w:rPr>
          <w:rFonts w:ascii="仿宋" w:eastAsia="仿宋" w:hAnsi="仿宋"/>
          <w:sz w:val="32"/>
          <w:szCs w:val="32"/>
        </w:rPr>
      </w:pPr>
      <w:r w:rsidRPr="00144CB9">
        <w:rPr>
          <w:rFonts w:ascii="仿宋" w:eastAsia="仿宋" w:hAnsi="仿宋" w:hint="eastAsia"/>
          <w:sz w:val="32"/>
          <w:szCs w:val="32"/>
        </w:rPr>
        <w:t>全年规模以上工业企业实现主营业务收入219.5亿元，比上年增长11.9%。利税总额4.8亿元，比上年增长171.6%；利润总额-6.8亿元，比上年增长51.8%。</w:t>
      </w:r>
    </w:p>
    <w:p w:rsidR="00DF3253" w:rsidRDefault="0088268D" w:rsidP="001C09A0">
      <w:pPr>
        <w:spacing w:line="360" w:lineRule="auto"/>
        <w:ind w:firstLineChars="196" w:firstLine="627"/>
        <w:rPr>
          <w:rFonts w:ascii="仿宋" w:eastAsia="仿宋" w:hAnsi="仿宋"/>
          <w:color w:val="FF0000"/>
          <w:sz w:val="32"/>
          <w:szCs w:val="32"/>
        </w:rPr>
      </w:pPr>
      <w:r w:rsidRPr="000259A1">
        <w:rPr>
          <w:rFonts w:ascii="仿宋" w:eastAsia="仿宋" w:hAnsi="仿宋" w:cs="宋体"/>
          <w:kern w:val="0"/>
          <w:sz w:val="32"/>
          <w:szCs w:val="32"/>
        </w:rPr>
        <w:t>全</w:t>
      </w:r>
      <w:r w:rsidRPr="000259A1">
        <w:rPr>
          <w:rFonts w:ascii="仿宋" w:eastAsia="仿宋" w:hAnsi="仿宋" w:cs="宋体" w:hint="eastAsia"/>
          <w:kern w:val="0"/>
          <w:sz w:val="32"/>
          <w:szCs w:val="32"/>
        </w:rPr>
        <w:t>年</w:t>
      </w:r>
      <w:r w:rsidR="003F1E7E" w:rsidRPr="000259A1">
        <w:rPr>
          <w:rFonts w:ascii="仿宋" w:eastAsia="仿宋" w:hAnsi="仿宋" w:cs="宋体"/>
          <w:kern w:val="0"/>
          <w:sz w:val="32"/>
          <w:szCs w:val="32"/>
        </w:rPr>
        <w:t>具有资质等级的总承包和专业承包建筑业企业</w:t>
      </w:r>
      <w:r w:rsidR="003F1E7E" w:rsidRPr="000B12C8">
        <w:rPr>
          <w:rFonts w:ascii="仿宋" w:eastAsia="仿宋" w:hAnsi="仿宋" w:cs="宋体"/>
          <w:kern w:val="0"/>
          <w:sz w:val="32"/>
          <w:szCs w:val="32"/>
        </w:rPr>
        <w:t>13</w:t>
      </w:r>
      <w:r w:rsidR="00431898" w:rsidRPr="000B12C8">
        <w:rPr>
          <w:rFonts w:ascii="仿宋" w:eastAsia="仿宋" w:hAnsi="仿宋" w:cs="宋体" w:hint="eastAsia"/>
          <w:kern w:val="0"/>
          <w:sz w:val="32"/>
          <w:szCs w:val="32"/>
        </w:rPr>
        <w:t>4</w:t>
      </w:r>
      <w:r w:rsidR="003F1E7E" w:rsidRPr="000259A1">
        <w:rPr>
          <w:rFonts w:ascii="仿宋" w:eastAsia="仿宋" w:hAnsi="仿宋" w:cs="宋体"/>
          <w:kern w:val="0"/>
          <w:sz w:val="32"/>
          <w:szCs w:val="32"/>
        </w:rPr>
        <w:t>家，完成总产值89亿元，比上年</w:t>
      </w:r>
      <w:r w:rsidR="00D81D4E" w:rsidRPr="000259A1">
        <w:rPr>
          <w:rFonts w:ascii="仿宋" w:eastAsia="仿宋" w:hAnsi="仿宋" w:cs="宋体" w:hint="eastAsia"/>
          <w:kern w:val="0"/>
          <w:sz w:val="32"/>
          <w:szCs w:val="32"/>
        </w:rPr>
        <w:t>增长</w:t>
      </w:r>
      <w:r w:rsidR="00D81D4E" w:rsidRPr="000259A1">
        <w:rPr>
          <w:rFonts w:ascii="仿宋" w:eastAsia="仿宋" w:hAnsi="仿宋" w:cs="宋体"/>
          <w:kern w:val="0"/>
          <w:sz w:val="32"/>
          <w:szCs w:val="32"/>
        </w:rPr>
        <w:t>20.</w:t>
      </w:r>
      <w:r w:rsidR="00D81D4E" w:rsidRPr="000259A1">
        <w:rPr>
          <w:rFonts w:ascii="仿宋" w:eastAsia="仿宋" w:hAnsi="仿宋" w:cs="宋体" w:hint="eastAsia"/>
          <w:kern w:val="0"/>
          <w:sz w:val="32"/>
          <w:szCs w:val="32"/>
        </w:rPr>
        <w:t>8</w:t>
      </w:r>
      <w:r w:rsidR="003F1E7E" w:rsidRPr="000259A1">
        <w:rPr>
          <w:rFonts w:ascii="仿宋" w:eastAsia="仿宋" w:hAnsi="仿宋" w:cs="宋体"/>
          <w:kern w:val="0"/>
          <w:sz w:val="32"/>
          <w:szCs w:val="32"/>
        </w:rPr>
        <w:t>%；竣工产值60亿元，</w:t>
      </w:r>
      <w:r w:rsidR="00D81D4E" w:rsidRPr="000259A1">
        <w:rPr>
          <w:rFonts w:ascii="仿宋" w:eastAsia="仿宋" w:hAnsi="仿宋" w:cs="宋体" w:hint="eastAsia"/>
          <w:kern w:val="0"/>
          <w:sz w:val="32"/>
          <w:szCs w:val="32"/>
        </w:rPr>
        <w:t>比上年</w:t>
      </w:r>
      <w:r w:rsidR="003F1E7E" w:rsidRPr="000259A1">
        <w:rPr>
          <w:rFonts w:ascii="仿宋" w:eastAsia="仿宋" w:hAnsi="仿宋" w:cs="宋体"/>
          <w:kern w:val="0"/>
          <w:sz w:val="32"/>
          <w:szCs w:val="32"/>
        </w:rPr>
        <w:t>下降3.8%。房屋施工面积37.7万平方米，</w:t>
      </w:r>
      <w:r w:rsidR="00D81D4E" w:rsidRPr="000259A1">
        <w:rPr>
          <w:rFonts w:ascii="仿宋" w:eastAsia="仿宋" w:hAnsi="仿宋" w:cs="宋体" w:hint="eastAsia"/>
          <w:kern w:val="0"/>
          <w:sz w:val="32"/>
          <w:szCs w:val="32"/>
        </w:rPr>
        <w:t>比上年</w:t>
      </w:r>
      <w:r w:rsidR="003F1E7E" w:rsidRPr="000259A1">
        <w:rPr>
          <w:rFonts w:ascii="仿宋" w:eastAsia="仿宋" w:hAnsi="仿宋" w:cs="宋体"/>
          <w:kern w:val="0"/>
          <w:sz w:val="32"/>
          <w:szCs w:val="32"/>
        </w:rPr>
        <w:t>下降15.7%。</w:t>
      </w:r>
      <w:r w:rsidR="003F1E7E" w:rsidRPr="000259A1">
        <w:rPr>
          <w:rFonts w:ascii="宋体" w:eastAsia="仿宋" w:hAnsi="宋体" w:cs="宋体"/>
          <w:kern w:val="0"/>
          <w:sz w:val="32"/>
          <w:szCs w:val="32"/>
        </w:rPr>
        <w:t> </w:t>
      </w:r>
      <w:r w:rsidR="003F1E7E" w:rsidRPr="000259A1">
        <w:rPr>
          <w:rFonts w:ascii="仿宋" w:eastAsia="仿宋" w:hAnsi="仿宋" w:cs="宋体"/>
          <w:kern w:val="0"/>
          <w:sz w:val="32"/>
          <w:szCs w:val="32"/>
        </w:rPr>
        <w:br/>
      </w:r>
      <w:r w:rsidR="003F1E7E" w:rsidRPr="000259A1">
        <w:rPr>
          <w:rFonts w:ascii="仿宋" w:eastAsia="仿宋" w:hAnsi="仿宋" w:cs="宋体" w:hint="eastAsia"/>
          <w:kern w:val="0"/>
          <w:sz w:val="32"/>
          <w:szCs w:val="32"/>
        </w:rPr>
        <w:t xml:space="preserve">    </w:t>
      </w:r>
      <w:r w:rsidR="003E3527" w:rsidRPr="000259A1">
        <w:rPr>
          <w:rFonts w:ascii="仿宋" w:eastAsia="仿宋" w:hAnsi="仿宋" w:cs="宋体" w:hint="eastAsia"/>
          <w:b/>
          <w:kern w:val="0"/>
          <w:sz w:val="32"/>
          <w:szCs w:val="32"/>
        </w:rPr>
        <w:t>四</w:t>
      </w:r>
      <w:r w:rsidR="003F1E7E" w:rsidRPr="000259A1">
        <w:rPr>
          <w:rFonts w:ascii="仿宋" w:eastAsia="仿宋" w:hAnsi="仿宋" w:cs="宋体"/>
          <w:b/>
          <w:kern w:val="0"/>
          <w:sz w:val="32"/>
          <w:szCs w:val="32"/>
        </w:rPr>
        <w:t>、固定资产投资和房地产业</w:t>
      </w:r>
    </w:p>
    <w:p w:rsidR="00DF3253" w:rsidRDefault="003F1E7E" w:rsidP="00DF3253">
      <w:pPr>
        <w:spacing w:line="360" w:lineRule="auto"/>
        <w:ind w:firstLineChars="196" w:firstLine="627"/>
        <w:rPr>
          <w:rFonts w:ascii="仿宋" w:eastAsia="仿宋" w:hAnsi="仿宋"/>
          <w:color w:val="FF0000"/>
          <w:sz w:val="32"/>
          <w:szCs w:val="32"/>
        </w:rPr>
      </w:pPr>
      <w:r w:rsidRPr="000259A1">
        <w:rPr>
          <w:rFonts w:ascii="仿宋" w:eastAsia="仿宋" w:hAnsi="仿宋" w:cs="宋体"/>
          <w:kern w:val="0"/>
          <w:sz w:val="32"/>
          <w:szCs w:val="32"/>
        </w:rPr>
        <w:lastRenderedPageBreak/>
        <w:t>全年固定资产投资（不含农户）155.3亿元，比上年</w:t>
      </w:r>
      <w:r w:rsidR="00E37787" w:rsidRPr="000259A1">
        <w:rPr>
          <w:rFonts w:ascii="仿宋" w:eastAsia="仿宋" w:hAnsi="仿宋" w:cs="宋体" w:hint="eastAsia"/>
          <w:kern w:val="0"/>
          <w:sz w:val="32"/>
          <w:szCs w:val="32"/>
        </w:rPr>
        <w:t>增长</w:t>
      </w:r>
      <w:r w:rsidRPr="000259A1">
        <w:rPr>
          <w:rFonts w:ascii="仿宋" w:eastAsia="仿宋" w:hAnsi="仿宋" w:cs="宋体"/>
          <w:kern w:val="0"/>
          <w:sz w:val="32"/>
          <w:szCs w:val="32"/>
        </w:rPr>
        <w:t>13.0%</w:t>
      </w:r>
      <w:r w:rsidR="00D03AB1">
        <w:rPr>
          <w:rFonts w:ascii="仿宋" w:eastAsia="仿宋" w:hAnsi="仿宋" w:cs="宋体"/>
          <w:kern w:val="0"/>
          <w:sz w:val="32"/>
          <w:szCs w:val="32"/>
        </w:rPr>
        <w:t>。其中</w:t>
      </w:r>
      <w:r w:rsidR="00D03AB1">
        <w:rPr>
          <w:rFonts w:ascii="仿宋" w:eastAsia="仿宋" w:hAnsi="仿宋" w:cs="宋体" w:hint="eastAsia"/>
          <w:kern w:val="0"/>
          <w:sz w:val="32"/>
          <w:szCs w:val="32"/>
        </w:rPr>
        <w:t>，</w:t>
      </w:r>
      <w:r w:rsidRPr="000259A1">
        <w:rPr>
          <w:rFonts w:ascii="仿宋" w:eastAsia="仿宋" w:hAnsi="仿宋" w:cs="宋体"/>
          <w:kern w:val="0"/>
          <w:sz w:val="32"/>
          <w:szCs w:val="32"/>
        </w:rPr>
        <w:t>区本级固定资产6.2亿元，下降81.4%；油田投资92.3亿元，</w:t>
      </w:r>
      <w:r w:rsidR="00A46934" w:rsidRPr="000259A1">
        <w:rPr>
          <w:rFonts w:ascii="仿宋" w:eastAsia="仿宋" w:hAnsi="仿宋" w:cs="宋体" w:hint="eastAsia"/>
          <w:kern w:val="0"/>
          <w:sz w:val="32"/>
          <w:szCs w:val="32"/>
        </w:rPr>
        <w:t>增长</w:t>
      </w:r>
      <w:r w:rsidRPr="000259A1">
        <w:rPr>
          <w:rFonts w:ascii="仿宋" w:eastAsia="仿宋" w:hAnsi="仿宋" w:cs="宋体"/>
          <w:kern w:val="0"/>
          <w:sz w:val="32"/>
          <w:szCs w:val="32"/>
        </w:rPr>
        <w:t>1.2倍。建设项目投资137.7亿元，</w:t>
      </w:r>
      <w:r w:rsidR="00EC679A" w:rsidRPr="000259A1">
        <w:rPr>
          <w:rFonts w:ascii="仿宋" w:eastAsia="仿宋" w:hAnsi="仿宋" w:cs="宋体" w:hint="eastAsia"/>
          <w:kern w:val="0"/>
          <w:sz w:val="32"/>
          <w:szCs w:val="32"/>
        </w:rPr>
        <w:t>增长</w:t>
      </w:r>
      <w:r w:rsidRPr="000259A1">
        <w:rPr>
          <w:rFonts w:ascii="仿宋" w:eastAsia="仿宋" w:hAnsi="仿宋" w:cs="宋体"/>
          <w:kern w:val="0"/>
          <w:sz w:val="32"/>
          <w:szCs w:val="32"/>
        </w:rPr>
        <w:t>7.6%；房地产开发投资17.6亿元，</w:t>
      </w:r>
      <w:r w:rsidR="00EC679A" w:rsidRPr="000259A1">
        <w:rPr>
          <w:rFonts w:ascii="仿宋" w:eastAsia="仿宋" w:hAnsi="仿宋" w:cs="宋体" w:hint="eastAsia"/>
          <w:kern w:val="0"/>
          <w:sz w:val="32"/>
          <w:szCs w:val="32"/>
        </w:rPr>
        <w:t>增长</w:t>
      </w:r>
      <w:r w:rsidRPr="000259A1">
        <w:rPr>
          <w:rFonts w:ascii="仿宋" w:eastAsia="仿宋" w:hAnsi="仿宋" w:cs="宋体"/>
          <w:kern w:val="0"/>
          <w:sz w:val="32"/>
          <w:szCs w:val="32"/>
        </w:rPr>
        <w:t>85.9%。</w:t>
      </w:r>
    </w:p>
    <w:p w:rsidR="00DF3253" w:rsidRPr="000B12C8" w:rsidRDefault="003F1E7E" w:rsidP="00DF3253">
      <w:pPr>
        <w:spacing w:line="360" w:lineRule="auto"/>
        <w:ind w:firstLineChars="196" w:firstLine="627"/>
        <w:rPr>
          <w:rFonts w:ascii="仿宋" w:eastAsia="仿宋" w:hAnsi="仿宋"/>
          <w:color w:val="FF0000"/>
          <w:sz w:val="32"/>
          <w:szCs w:val="32"/>
        </w:rPr>
      </w:pPr>
      <w:r w:rsidRPr="000259A1">
        <w:rPr>
          <w:rFonts w:ascii="仿宋" w:eastAsia="仿宋" w:hAnsi="仿宋" w:cs="宋体"/>
          <w:kern w:val="0"/>
          <w:sz w:val="32"/>
          <w:szCs w:val="32"/>
        </w:rPr>
        <w:t>全年第一产业投资0.1</w:t>
      </w:r>
      <w:r w:rsidR="000B2804" w:rsidRPr="000259A1">
        <w:rPr>
          <w:rFonts w:ascii="仿宋" w:eastAsia="仿宋" w:hAnsi="仿宋" w:cs="宋体"/>
          <w:kern w:val="0"/>
          <w:sz w:val="32"/>
          <w:szCs w:val="32"/>
        </w:rPr>
        <w:t>亿元，占固定资产投资</w:t>
      </w:r>
      <w:r w:rsidRPr="000259A1">
        <w:rPr>
          <w:rFonts w:ascii="仿宋" w:eastAsia="仿宋" w:hAnsi="仿宋" w:cs="宋体"/>
          <w:kern w:val="0"/>
          <w:sz w:val="32"/>
          <w:szCs w:val="32"/>
        </w:rPr>
        <w:t>比重为</w:t>
      </w:r>
      <w:r w:rsidR="000B2804" w:rsidRPr="000B12C8">
        <w:rPr>
          <w:rFonts w:ascii="仿宋" w:eastAsia="仿宋" w:hAnsi="仿宋" w:cs="宋体"/>
          <w:kern w:val="0"/>
          <w:sz w:val="32"/>
          <w:szCs w:val="32"/>
        </w:rPr>
        <w:t>0.</w:t>
      </w:r>
      <w:r w:rsidR="00F76F84" w:rsidRPr="000B12C8">
        <w:rPr>
          <w:rFonts w:ascii="仿宋" w:eastAsia="仿宋" w:hAnsi="仿宋" w:cs="宋体" w:hint="eastAsia"/>
          <w:kern w:val="0"/>
          <w:sz w:val="32"/>
          <w:szCs w:val="32"/>
        </w:rPr>
        <w:t>1</w:t>
      </w:r>
      <w:r w:rsidRPr="000B12C8">
        <w:rPr>
          <w:rFonts w:ascii="仿宋" w:eastAsia="仿宋" w:hAnsi="仿宋" w:cs="宋体"/>
          <w:kern w:val="0"/>
          <w:sz w:val="32"/>
          <w:szCs w:val="32"/>
        </w:rPr>
        <w:t>%；第二产业投资121.2</w:t>
      </w:r>
      <w:r w:rsidR="00415E9B" w:rsidRPr="000B12C8">
        <w:rPr>
          <w:rFonts w:ascii="仿宋" w:eastAsia="仿宋" w:hAnsi="仿宋" w:cs="宋体"/>
          <w:kern w:val="0"/>
          <w:sz w:val="32"/>
          <w:szCs w:val="32"/>
        </w:rPr>
        <w:t>亿元</w:t>
      </w:r>
      <w:r w:rsidR="00415E9B" w:rsidRPr="000B12C8">
        <w:rPr>
          <w:rFonts w:ascii="仿宋" w:eastAsia="仿宋" w:hAnsi="仿宋" w:cs="宋体" w:hint="eastAsia"/>
          <w:kern w:val="0"/>
          <w:sz w:val="32"/>
          <w:szCs w:val="32"/>
        </w:rPr>
        <w:t>，</w:t>
      </w:r>
      <w:r w:rsidR="000B2804" w:rsidRPr="000B12C8">
        <w:rPr>
          <w:rFonts w:ascii="仿宋" w:eastAsia="仿宋" w:hAnsi="仿宋" w:cs="宋体" w:hint="eastAsia"/>
          <w:kern w:val="0"/>
          <w:sz w:val="32"/>
          <w:szCs w:val="32"/>
        </w:rPr>
        <w:t>比上年增长</w:t>
      </w:r>
      <w:r w:rsidRPr="000B12C8">
        <w:rPr>
          <w:rFonts w:ascii="仿宋" w:eastAsia="仿宋" w:hAnsi="仿宋" w:cs="宋体"/>
          <w:kern w:val="0"/>
          <w:sz w:val="32"/>
          <w:szCs w:val="32"/>
        </w:rPr>
        <w:t>4.6%，占</w:t>
      </w:r>
      <w:r w:rsidR="000B2804" w:rsidRPr="000B12C8">
        <w:rPr>
          <w:rFonts w:ascii="仿宋" w:eastAsia="仿宋" w:hAnsi="仿宋" w:cs="宋体" w:hint="eastAsia"/>
          <w:kern w:val="0"/>
          <w:sz w:val="32"/>
          <w:szCs w:val="32"/>
        </w:rPr>
        <w:t>固定资产投资</w:t>
      </w:r>
      <w:r w:rsidRPr="000B12C8">
        <w:rPr>
          <w:rFonts w:ascii="仿宋" w:eastAsia="仿宋" w:hAnsi="仿宋" w:cs="宋体"/>
          <w:kern w:val="0"/>
          <w:sz w:val="32"/>
          <w:szCs w:val="32"/>
        </w:rPr>
        <w:t>比</w:t>
      </w:r>
      <w:r w:rsidR="000B2804" w:rsidRPr="000B12C8">
        <w:rPr>
          <w:rFonts w:ascii="仿宋" w:eastAsia="仿宋" w:hAnsi="仿宋" w:cs="宋体" w:hint="eastAsia"/>
          <w:kern w:val="0"/>
          <w:sz w:val="32"/>
          <w:szCs w:val="32"/>
        </w:rPr>
        <w:t>重为</w:t>
      </w:r>
      <w:r w:rsidRPr="000B12C8">
        <w:rPr>
          <w:rFonts w:ascii="仿宋" w:eastAsia="仿宋" w:hAnsi="仿宋" w:cs="宋体"/>
          <w:kern w:val="0"/>
          <w:sz w:val="32"/>
          <w:szCs w:val="32"/>
        </w:rPr>
        <w:t>78.0%</w:t>
      </w:r>
      <w:r w:rsidR="00415E9B" w:rsidRPr="000B12C8">
        <w:rPr>
          <w:rFonts w:ascii="仿宋" w:eastAsia="仿宋" w:hAnsi="仿宋" w:cs="宋体" w:hint="eastAsia"/>
          <w:kern w:val="0"/>
          <w:sz w:val="32"/>
          <w:szCs w:val="32"/>
        </w:rPr>
        <w:t>；</w:t>
      </w:r>
      <w:r w:rsidRPr="000B12C8">
        <w:rPr>
          <w:rFonts w:ascii="仿宋" w:eastAsia="仿宋" w:hAnsi="仿宋" w:cs="宋体"/>
          <w:kern w:val="0"/>
          <w:sz w:val="32"/>
          <w:szCs w:val="32"/>
        </w:rPr>
        <w:t>第三产业投资34.0亿元，</w:t>
      </w:r>
      <w:r w:rsidR="000B2804" w:rsidRPr="000B12C8">
        <w:rPr>
          <w:rFonts w:ascii="仿宋" w:eastAsia="仿宋" w:hAnsi="仿宋" w:cs="宋体" w:hint="eastAsia"/>
          <w:kern w:val="0"/>
          <w:sz w:val="32"/>
          <w:szCs w:val="32"/>
        </w:rPr>
        <w:t>比上年增长</w:t>
      </w:r>
      <w:r w:rsidRPr="000B12C8">
        <w:rPr>
          <w:rFonts w:ascii="仿宋" w:eastAsia="仿宋" w:hAnsi="仿宋" w:cs="宋体"/>
          <w:kern w:val="0"/>
          <w:sz w:val="32"/>
          <w:szCs w:val="32"/>
        </w:rPr>
        <w:t>66.3%，占</w:t>
      </w:r>
      <w:r w:rsidR="000B2804" w:rsidRPr="000B12C8">
        <w:rPr>
          <w:rFonts w:ascii="仿宋" w:eastAsia="仿宋" w:hAnsi="仿宋" w:cs="宋体" w:hint="eastAsia"/>
          <w:kern w:val="0"/>
          <w:sz w:val="32"/>
          <w:szCs w:val="32"/>
        </w:rPr>
        <w:t>固定资产投资比重为</w:t>
      </w:r>
      <w:r w:rsidRPr="000B12C8">
        <w:rPr>
          <w:rFonts w:ascii="仿宋" w:eastAsia="仿宋" w:hAnsi="仿宋" w:cs="宋体"/>
          <w:kern w:val="0"/>
          <w:sz w:val="32"/>
          <w:szCs w:val="32"/>
        </w:rPr>
        <w:t>21.9%。</w:t>
      </w:r>
    </w:p>
    <w:p w:rsidR="003F1E7E" w:rsidRPr="00DF3253" w:rsidRDefault="003F1E7E" w:rsidP="00DF3253">
      <w:pPr>
        <w:spacing w:line="360" w:lineRule="auto"/>
        <w:ind w:firstLineChars="196" w:firstLine="627"/>
        <w:rPr>
          <w:rFonts w:ascii="仿宋" w:eastAsia="仿宋" w:hAnsi="仿宋"/>
          <w:color w:val="FF0000"/>
          <w:sz w:val="32"/>
          <w:szCs w:val="32"/>
        </w:rPr>
      </w:pPr>
      <w:r w:rsidRPr="000B12C8">
        <w:rPr>
          <w:rFonts w:ascii="仿宋" w:eastAsia="仿宋" w:hAnsi="仿宋" w:cs="宋体"/>
          <w:kern w:val="0"/>
          <w:sz w:val="32"/>
          <w:szCs w:val="32"/>
        </w:rPr>
        <w:t>全年房屋施工面积546万平方米，比上年下降2.4%；房屋竣工面积32.8万平方米，</w:t>
      </w:r>
      <w:r w:rsidR="000B2804" w:rsidRPr="000B12C8">
        <w:rPr>
          <w:rFonts w:ascii="仿宋" w:eastAsia="仿宋" w:hAnsi="仿宋" w:cs="宋体" w:hint="eastAsia"/>
          <w:kern w:val="0"/>
          <w:sz w:val="32"/>
          <w:szCs w:val="32"/>
        </w:rPr>
        <w:t>比上年</w:t>
      </w:r>
      <w:r w:rsidRPr="000B12C8">
        <w:rPr>
          <w:rFonts w:ascii="仿宋" w:eastAsia="仿宋" w:hAnsi="仿宋" w:cs="宋体"/>
          <w:kern w:val="0"/>
          <w:sz w:val="32"/>
          <w:szCs w:val="32"/>
        </w:rPr>
        <w:t>下降58.9%。全年商品房销售面积106.</w:t>
      </w:r>
      <w:r w:rsidR="00A06E6E" w:rsidRPr="000B12C8">
        <w:rPr>
          <w:rFonts w:ascii="仿宋" w:eastAsia="仿宋" w:hAnsi="仿宋" w:cs="宋体" w:hint="eastAsia"/>
          <w:kern w:val="0"/>
          <w:sz w:val="32"/>
          <w:szCs w:val="32"/>
        </w:rPr>
        <w:t>6</w:t>
      </w:r>
      <w:r w:rsidRPr="000259A1">
        <w:rPr>
          <w:rFonts w:ascii="仿宋" w:eastAsia="仿宋" w:hAnsi="仿宋" w:cs="宋体"/>
          <w:kern w:val="0"/>
          <w:sz w:val="32"/>
          <w:szCs w:val="32"/>
        </w:rPr>
        <w:t>万平方米，</w:t>
      </w:r>
      <w:r w:rsidR="000B2804" w:rsidRPr="000259A1">
        <w:rPr>
          <w:rFonts w:ascii="仿宋" w:eastAsia="仿宋" w:hAnsi="仿宋" w:cs="宋体" w:hint="eastAsia"/>
          <w:kern w:val="0"/>
          <w:sz w:val="32"/>
          <w:szCs w:val="32"/>
        </w:rPr>
        <w:t>比上年增长</w:t>
      </w:r>
      <w:r w:rsidRPr="000259A1">
        <w:rPr>
          <w:rFonts w:ascii="仿宋" w:eastAsia="仿宋" w:hAnsi="仿宋" w:cs="宋体"/>
          <w:kern w:val="0"/>
          <w:sz w:val="32"/>
          <w:szCs w:val="32"/>
        </w:rPr>
        <w:t>16.2%；商品房销售额48.4亿元，</w:t>
      </w:r>
      <w:r w:rsidR="000B2804" w:rsidRPr="000259A1">
        <w:rPr>
          <w:rFonts w:ascii="仿宋" w:eastAsia="仿宋" w:hAnsi="仿宋" w:cs="宋体" w:hint="eastAsia"/>
          <w:kern w:val="0"/>
          <w:sz w:val="32"/>
          <w:szCs w:val="32"/>
        </w:rPr>
        <w:t>比上年增长</w:t>
      </w:r>
      <w:r w:rsidRPr="000259A1">
        <w:rPr>
          <w:rFonts w:ascii="仿宋" w:eastAsia="仿宋" w:hAnsi="仿宋" w:cs="宋体"/>
          <w:kern w:val="0"/>
          <w:sz w:val="32"/>
          <w:szCs w:val="32"/>
        </w:rPr>
        <w:t>16.0%。</w:t>
      </w:r>
    </w:p>
    <w:p w:rsidR="007A62A5" w:rsidRPr="003F1E7E" w:rsidRDefault="007A62A5" w:rsidP="008A6EDC">
      <w:pPr>
        <w:spacing w:line="360" w:lineRule="auto"/>
        <w:ind w:firstLineChars="200" w:firstLine="480"/>
        <w:rPr>
          <w:rFonts w:asciiTheme="minorEastAsia" w:eastAsiaTheme="minorEastAsia" w:hAnsiTheme="minorEastAsia"/>
          <w:sz w:val="24"/>
          <w:szCs w:val="24"/>
        </w:rPr>
      </w:pPr>
    </w:p>
    <w:p w:rsidR="00691A39" w:rsidRPr="00EE48D0" w:rsidRDefault="00691A39" w:rsidP="008647C9">
      <w:pPr>
        <w:jc w:val="center"/>
        <w:rPr>
          <w:rFonts w:ascii="宋体" w:hAnsi="宋体"/>
          <w:b/>
          <w:sz w:val="24"/>
          <w:szCs w:val="24"/>
        </w:rPr>
      </w:pPr>
      <w:r w:rsidRPr="00EE48D0">
        <w:rPr>
          <w:rFonts w:ascii="宋体" w:hAnsi="宋体" w:hint="eastAsia"/>
          <w:b/>
          <w:sz w:val="24"/>
          <w:szCs w:val="24"/>
        </w:rPr>
        <w:t>（图二）</w:t>
      </w:r>
      <w:r w:rsidRPr="00EE48D0">
        <w:rPr>
          <w:rFonts w:ascii="宋体" w:hAnsi="宋体"/>
          <w:b/>
          <w:sz w:val="24"/>
          <w:szCs w:val="24"/>
        </w:rPr>
        <w:t>20</w:t>
      </w:r>
      <w:r w:rsidR="00550B7E">
        <w:rPr>
          <w:rFonts w:ascii="宋体" w:hAnsi="宋体" w:hint="eastAsia"/>
          <w:b/>
          <w:sz w:val="24"/>
          <w:szCs w:val="24"/>
        </w:rPr>
        <w:t>13</w:t>
      </w:r>
      <w:r w:rsidRPr="00EE48D0">
        <w:rPr>
          <w:rFonts w:ascii="宋体" w:hAnsi="宋体" w:hint="eastAsia"/>
          <w:b/>
          <w:sz w:val="24"/>
          <w:szCs w:val="24"/>
        </w:rPr>
        <w:t>-</w:t>
      </w:r>
      <w:r w:rsidRPr="00EE48D0">
        <w:rPr>
          <w:rFonts w:ascii="宋体" w:hAnsi="宋体"/>
          <w:b/>
          <w:sz w:val="24"/>
          <w:szCs w:val="24"/>
        </w:rPr>
        <w:t>201</w:t>
      </w:r>
      <w:r w:rsidR="003F1E7E">
        <w:rPr>
          <w:rFonts w:ascii="宋体" w:hAnsi="宋体" w:hint="eastAsia"/>
          <w:b/>
          <w:sz w:val="24"/>
          <w:szCs w:val="24"/>
        </w:rPr>
        <w:t>7</w:t>
      </w:r>
      <w:r w:rsidRPr="00EE48D0">
        <w:rPr>
          <w:rFonts w:ascii="宋体" w:hAnsi="宋体" w:hint="eastAsia"/>
          <w:b/>
          <w:sz w:val="24"/>
          <w:szCs w:val="24"/>
        </w:rPr>
        <w:t>年固定资产投资及增长速度</w:t>
      </w:r>
    </w:p>
    <w:p w:rsidR="00AB6068" w:rsidRPr="005959E3" w:rsidRDefault="00AB6068" w:rsidP="00AB6068">
      <w:pPr>
        <w:ind w:firstLineChars="200" w:firstLine="480"/>
        <w:jc w:val="center"/>
        <w:rPr>
          <w:rFonts w:ascii="宋体" w:hAnsi="宋体"/>
          <w:sz w:val="24"/>
          <w:szCs w:val="24"/>
        </w:rPr>
      </w:pPr>
    </w:p>
    <w:p w:rsidR="00691A39" w:rsidRPr="00EE48D0" w:rsidRDefault="005B6D88" w:rsidP="00691A39">
      <w:pPr>
        <w:rPr>
          <w:rFonts w:ascii="宋体" w:hAnsi="宋体"/>
          <w:sz w:val="28"/>
          <w:szCs w:val="28"/>
        </w:rPr>
      </w:pPr>
      <w:r>
        <w:rPr>
          <w:noProof/>
        </w:rPr>
        <w:lastRenderedPageBreak/>
        <w:drawing>
          <wp:inline distT="0" distB="0" distL="0" distR="0">
            <wp:extent cx="5448300" cy="4133850"/>
            <wp:effectExtent l="0" t="0" r="0" b="0"/>
            <wp:docPr id="2"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435A" w:rsidRPr="000259A1" w:rsidRDefault="003E3527" w:rsidP="000259A1">
      <w:pPr>
        <w:spacing w:line="360" w:lineRule="auto"/>
        <w:ind w:firstLineChars="196" w:firstLine="630"/>
        <w:rPr>
          <w:rFonts w:ascii="仿宋" w:eastAsia="仿宋" w:hAnsi="仿宋"/>
          <w:b/>
          <w:sz w:val="32"/>
          <w:szCs w:val="32"/>
        </w:rPr>
      </w:pPr>
      <w:r w:rsidRPr="000259A1">
        <w:rPr>
          <w:rFonts w:ascii="仿宋" w:eastAsia="仿宋" w:hAnsi="仿宋" w:hint="eastAsia"/>
          <w:b/>
          <w:sz w:val="32"/>
          <w:szCs w:val="32"/>
        </w:rPr>
        <w:t>五</w:t>
      </w:r>
      <w:r w:rsidR="005E78CA" w:rsidRPr="000259A1">
        <w:rPr>
          <w:rFonts w:ascii="仿宋" w:eastAsia="仿宋" w:hAnsi="仿宋" w:hint="eastAsia"/>
          <w:b/>
          <w:sz w:val="32"/>
          <w:szCs w:val="32"/>
        </w:rPr>
        <w:t>、贸易</w:t>
      </w:r>
    </w:p>
    <w:p w:rsidR="00451DC8" w:rsidRPr="000259A1" w:rsidRDefault="00451DC8" w:rsidP="00451DC8">
      <w:pPr>
        <w:spacing w:line="360" w:lineRule="auto"/>
        <w:rPr>
          <w:rFonts w:ascii="仿宋" w:eastAsia="仿宋" w:hAnsi="仿宋"/>
          <w:sz w:val="32"/>
          <w:szCs w:val="32"/>
        </w:rPr>
      </w:pPr>
      <w:r w:rsidRPr="000259A1">
        <w:rPr>
          <w:rFonts w:ascii="仿宋" w:eastAsia="仿宋" w:hAnsi="仿宋" w:hint="eastAsia"/>
          <w:sz w:val="32"/>
          <w:szCs w:val="32"/>
        </w:rPr>
        <w:t xml:space="preserve">    全年社会消费品零售总额1</w:t>
      </w:r>
      <w:r w:rsidR="00737B46">
        <w:rPr>
          <w:rFonts w:ascii="仿宋" w:eastAsia="仿宋" w:hAnsi="仿宋" w:hint="eastAsia"/>
          <w:sz w:val="32"/>
          <w:szCs w:val="32"/>
        </w:rPr>
        <w:t>91.1</w:t>
      </w:r>
      <w:r w:rsidRPr="000259A1">
        <w:rPr>
          <w:rFonts w:ascii="仿宋" w:eastAsia="仿宋" w:hAnsi="仿宋" w:hint="eastAsia"/>
          <w:sz w:val="32"/>
          <w:szCs w:val="32"/>
        </w:rPr>
        <w:t>亿元，比上年增长5.4%。分城乡看，城镇零售额181亿元，增长5.5%；乡村零售额10</w:t>
      </w:r>
      <w:r w:rsidR="00744D04" w:rsidRPr="000259A1">
        <w:rPr>
          <w:rFonts w:ascii="仿宋" w:eastAsia="仿宋" w:hAnsi="仿宋" w:hint="eastAsia"/>
          <w:sz w:val="32"/>
          <w:szCs w:val="32"/>
        </w:rPr>
        <w:t>.1</w:t>
      </w:r>
      <w:r w:rsidRPr="000259A1">
        <w:rPr>
          <w:rFonts w:ascii="仿宋" w:eastAsia="仿宋" w:hAnsi="仿宋" w:hint="eastAsia"/>
          <w:sz w:val="32"/>
          <w:szCs w:val="32"/>
        </w:rPr>
        <w:t>亿元，增长4%。按消费形态看,商品零售额157亿元，增长7.6%；餐饮收入额34</w:t>
      </w:r>
      <w:r w:rsidR="00744D04" w:rsidRPr="000259A1">
        <w:rPr>
          <w:rFonts w:ascii="仿宋" w:eastAsia="仿宋" w:hAnsi="仿宋" w:hint="eastAsia"/>
          <w:sz w:val="32"/>
          <w:szCs w:val="32"/>
        </w:rPr>
        <w:t>.1</w:t>
      </w:r>
      <w:r w:rsidRPr="000259A1">
        <w:rPr>
          <w:rFonts w:ascii="仿宋" w:eastAsia="仿宋" w:hAnsi="仿宋" w:hint="eastAsia"/>
          <w:sz w:val="32"/>
          <w:szCs w:val="32"/>
        </w:rPr>
        <w:t>亿元，下降3.5%。</w:t>
      </w:r>
    </w:p>
    <w:p w:rsidR="0050389E" w:rsidRPr="000259A1" w:rsidRDefault="00451DC8" w:rsidP="0050389E">
      <w:pPr>
        <w:spacing w:line="360" w:lineRule="auto"/>
        <w:ind w:firstLine="480"/>
        <w:rPr>
          <w:rFonts w:ascii="仿宋" w:eastAsia="仿宋" w:hAnsi="仿宋"/>
          <w:sz w:val="32"/>
          <w:szCs w:val="32"/>
        </w:rPr>
      </w:pPr>
      <w:r w:rsidRPr="000259A1">
        <w:rPr>
          <w:rFonts w:ascii="仿宋" w:eastAsia="仿宋" w:hAnsi="仿宋" w:hint="eastAsia"/>
          <w:sz w:val="32"/>
          <w:szCs w:val="32"/>
        </w:rPr>
        <w:t>在限额以上批发零售业商品零售类值中，全年粮油、食品、饮料、烟酒类零售额</w:t>
      </w:r>
      <w:r w:rsidR="000B12C8">
        <w:rPr>
          <w:rFonts w:ascii="仿宋" w:eastAsia="仿宋" w:hAnsi="仿宋" w:hint="eastAsia"/>
          <w:sz w:val="32"/>
          <w:szCs w:val="32"/>
        </w:rPr>
        <w:t>2</w:t>
      </w:r>
      <w:r w:rsidRPr="000259A1">
        <w:rPr>
          <w:rFonts w:ascii="仿宋" w:eastAsia="仿宋" w:hAnsi="仿宋" w:hint="eastAsia"/>
          <w:sz w:val="32"/>
          <w:szCs w:val="32"/>
        </w:rPr>
        <w:t>亿元，比上年增长54.8%；服装、鞋帽、针纺织品类零售额3.9亿元，增长8.2%；化妆品类零售额0.1亿元，增长16.8%；金银珠宝类零售额1亿元，增长7.7%；日用品类零售额0.6亿元，增长41.6%；家用电器和音像器材类零售额1.9亿元，下降27%；中西药品类零售额1亿元，增长7.8%；文化办公用品类零售额0.6亿元，增</w:t>
      </w:r>
      <w:r w:rsidRPr="000259A1">
        <w:rPr>
          <w:rFonts w:ascii="仿宋" w:eastAsia="仿宋" w:hAnsi="仿宋" w:hint="eastAsia"/>
          <w:sz w:val="32"/>
          <w:szCs w:val="32"/>
        </w:rPr>
        <w:lastRenderedPageBreak/>
        <w:t>长20.1%；家具类零售额1.7亿元，下降3.0%；通讯器材类零售额0.07亿元，下降57.2%；石油及制品类零售额2.1亿元，下降20.3%；建筑及装潢材料类零售额0.2亿元，增长42.9%；汽车类零售额</w:t>
      </w:r>
      <w:r w:rsidRPr="000B12C8">
        <w:rPr>
          <w:rFonts w:ascii="仿宋" w:eastAsia="仿宋" w:hAnsi="仿宋" w:hint="eastAsia"/>
          <w:sz w:val="32"/>
          <w:szCs w:val="32"/>
        </w:rPr>
        <w:t>15.</w:t>
      </w:r>
      <w:r w:rsidR="00A07A2A" w:rsidRPr="000B12C8">
        <w:rPr>
          <w:rFonts w:ascii="仿宋" w:eastAsia="仿宋" w:hAnsi="仿宋" w:hint="eastAsia"/>
          <w:sz w:val="32"/>
          <w:szCs w:val="32"/>
        </w:rPr>
        <w:t>6</w:t>
      </w:r>
      <w:r w:rsidRPr="000259A1">
        <w:rPr>
          <w:rFonts w:ascii="仿宋" w:eastAsia="仿宋" w:hAnsi="仿宋" w:hint="eastAsia"/>
          <w:sz w:val="32"/>
          <w:szCs w:val="32"/>
        </w:rPr>
        <w:t>亿元，增长3.4%。</w:t>
      </w:r>
    </w:p>
    <w:p w:rsidR="0050389E" w:rsidRPr="0050389E" w:rsidRDefault="0050389E" w:rsidP="0050389E">
      <w:pPr>
        <w:spacing w:line="360" w:lineRule="auto"/>
        <w:ind w:firstLine="480"/>
        <w:rPr>
          <w:rFonts w:asciiTheme="minorEastAsia" w:eastAsiaTheme="minorEastAsia" w:hAnsiTheme="minorEastAsia"/>
          <w:sz w:val="24"/>
          <w:szCs w:val="24"/>
        </w:rPr>
      </w:pPr>
    </w:p>
    <w:p w:rsidR="00691A39" w:rsidRPr="00EE48D0" w:rsidRDefault="00691A39" w:rsidP="00691A39">
      <w:pPr>
        <w:pStyle w:val="p15"/>
        <w:spacing w:line="360" w:lineRule="auto"/>
        <w:ind w:firstLine="645"/>
        <w:jc w:val="center"/>
        <w:rPr>
          <w:rFonts w:ascii="宋体" w:hAnsi="宋体"/>
          <w:b/>
          <w:sz w:val="24"/>
          <w:szCs w:val="24"/>
        </w:rPr>
      </w:pPr>
      <w:r w:rsidRPr="00EE48D0">
        <w:rPr>
          <w:rFonts w:ascii="宋体" w:hAnsi="宋体" w:hint="eastAsia"/>
          <w:b/>
          <w:sz w:val="24"/>
          <w:szCs w:val="24"/>
        </w:rPr>
        <w:t>（图三）</w:t>
      </w:r>
      <w:r w:rsidR="00550B7E">
        <w:rPr>
          <w:rFonts w:ascii="宋体" w:hAnsi="宋体" w:hint="eastAsia"/>
          <w:b/>
          <w:sz w:val="24"/>
          <w:szCs w:val="24"/>
        </w:rPr>
        <w:t>2013</w:t>
      </w:r>
      <w:r w:rsidR="007444D3">
        <w:rPr>
          <w:rFonts w:ascii="宋体" w:hAnsi="宋体" w:hint="eastAsia"/>
          <w:b/>
          <w:sz w:val="24"/>
          <w:szCs w:val="24"/>
        </w:rPr>
        <w:t>-2017</w:t>
      </w:r>
      <w:r w:rsidRPr="00EE48D0">
        <w:rPr>
          <w:rFonts w:ascii="宋体" w:hAnsi="宋体" w:hint="eastAsia"/>
          <w:b/>
          <w:sz w:val="24"/>
          <w:szCs w:val="24"/>
        </w:rPr>
        <w:t>年社会消费品零售总额及其增长速度</w:t>
      </w:r>
    </w:p>
    <w:p w:rsidR="005B7CFE" w:rsidRPr="00EE48D0" w:rsidRDefault="005B7CFE" w:rsidP="00691A39">
      <w:pPr>
        <w:pStyle w:val="p15"/>
        <w:spacing w:line="360" w:lineRule="auto"/>
        <w:ind w:firstLine="645"/>
        <w:jc w:val="center"/>
        <w:rPr>
          <w:rFonts w:ascii="宋体" w:hAnsi="宋体" w:cs="仿宋_GB2312"/>
          <w:b/>
          <w:sz w:val="24"/>
          <w:szCs w:val="24"/>
        </w:rPr>
      </w:pPr>
    </w:p>
    <w:p w:rsidR="0050389E" w:rsidRDefault="005B6D88" w:rsidP="0050389E">
      <w:pPr>
        <w:spacing w:line="360" w:lineRule="auto"/>
        <w:jc w:val="center"/>
        <w:rPr>
          <w:rFonts w:ascii="仿宋_GB2312" w:eastAsia="仿宋_GB2312" w:hAnsi="华文仿宋"/>
          <w:sz w:val="28"/>
          <w:szCs w:val="28"/>
        </w:rPr>
      </w:pPr>
      <w:r>
        <w:rPr>
          <w:rFonts w:ascii="仿宋_GB2312" w:eastAsia="仿宋_GB2312" w:hAnsi="华文仿宋"/>
          <w:noProof/>
          <w:sz w:val="28"/>
          <w:szCs w:val="28"/>
        </w:rPr>
        <w:drawing>
          <wp:inline distT="0" distB="0" distL="0" distR="0">
            <wp:extent cx="5572125" cy="3895725"/>
            <wp:effectExtent l="19050" t="0" r="9525" b="0"/>
            <wp:docPr id="3"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89E" w:rsidRPr="000259A1" w:rsidRDefault="0050389E" w:rsidP="0050389E">
      <w:pPr>
        <w:spacing w:before="100" w:beforeAutospacing="1" w:line="360" w:lineRule="auto"/>
        <w:ind w:firstLine="482"/>
        <w:rPr>
          <w:rFonts w:ascii="仿宋" w:eastAsia="仿宋" w:hAnsi="仿宋"/>
          <w:sz w:val="32"/>
          <w:szCs w:val="32"/>
        </w:rPr>
      </w:pPr>
      <w:r w:rsidRPr="000259A1">
        <w:rPr>
          <w:rFonts w:ascii="仿宋" w:eastAsia="仿宋" w:hAnsi="仿宋" w:hint="eastAsia"/>
          <w:sz w:val="32"/>
          <w:szCs w:val="32"/>
        </w:rPr>
        <w:t>全年实现外贸出口总额5.</w:t>
      </w:r>
      <w:r w:rsidR="00F174D4">
        <w:rPr>
          <w:rFonts w:ascii="仿宋" w:eastAsia="仿宋" w:hAnsi="仿宋" w:hint="eastAsia"/>
          <w:sz w:val="32"/>
          <w:szCs w:val="32"/>
        </w:rPr>
        <w:t>56</w:t>
      </w:r>
      <w:r w:rsidRPr="000259A1">
        <w:rPr>
          <w:rFonts w:ascii="仿宋" w:eastAsia="仿宋" w:hAnsi="仿宋" w:hint="eastAsia"/>
          <w:sz w:val="32"/>
          <w:szCs w:val="32"/>
        </w:rPr>
        <w:t>亿元，外贸进口总额2</w:t>
      </w:r>
      <w:r w:rsidR="00F174D4">
        <w:rPr>
          <w:rFonts w:ascii="仿宋" w:eastAsia="仿宋" w:hAnsi="仿宋" w:hint="eastAsia"/>
          <w:sz w:val="32"/>
          <w:szCs w:val="32"/>
        </w:rPr>
        <w:t>.3</w:t>
      </w:r>
      <w:r w:rsidRPr="000259A1">
        <w:rPr>
          <w:rFonts w:ascii="仿宋" w:eastAsia="仿宋" w:hAnsi="仿宋" w:hint="eastAsia"/>
          <w:sz w:val="32"/>
          <w:szCs w:val="32"/>
        </w:rPr>
        <w:t>亿元。全年实际利用外资5489.6万美元，实际到位内资58.5亿元。</w:t>
      </w:r>
    </w:p>
    <w:p w:rsidR="005E78CA" w:rsidRPr="000259A1" w:rsidRDefault="0050389E" w:rsidP="0050389E">
      <w:pPr>
        <w:spacing w:line="360" w:lineRule="auto"/>
        <w:rPr>
          <w:rFonts w:ascii="仿宋" w:eastAsia="仿宋" w:hAnsi="仿宋"/>
          <w:b/>
          <w:sz w:val="32"/>
          <w:szCs w:val="32"/>
        </w:rPr>
      </w:pPr>
      <w:r w:rsidRPr="000259A1">
        <w:rPr>
          <w:rFonts w:ascii="仿宋" w:eastAsia="仿宋" w:hAnsi="仿宋" w:hint="eastAsia"/>
          <w:sz w:val="32"/>
          <w:szCs w:val="32"/>
        </w:rPr>
        <w:t xml:space="preserve">    </w:t>
      </w:r>
      <w:r w:rsidR="003E3527" w:rsidRPr="000259A1">
        <w:rPr>
          <w:rFonts w:ascii="仿宋" w:eastAsia="仿宋" w:hAnsi="仿宋" w:hint="eastAsia"/>
          <w:b/>
          <w:sz w:val="32"/>
          <w:szCs w:val="32"/>
        </w:rPr>
        <w:t>六</w:t>
      </w:r>
      <w:r w:rsidR="005E78CA" w:rsidRPr="000259A1">
        <w:rPr>
          <w:rFonts w:ascii="仿宋" w:eastAsia="仿宋" w:hAnsi="仿宋" w:hint="eastAsia"/>
          <w:b/>
          <w:sz w:val="32"/>
          <w:szCs w:val="32"/>
        </w:rPr>
        <w:t>、财政税收</w:t>
      </w:r>
      <w:r w:rsidR="001A1259">
        <w:rPr>
          <w:rFonts w:ascii="仿宋" w:eastAsia="仿宋" w:hAnsi="仿宋" w:hint="eastAsia"/>
          <w:b/>
          <w:sz w:val="32"/>
          <w:szCs w:val="32"/>
        </w:rPr>
        <w:t>和金融</w:t>
      </w:r>
    </w:p>
    <w:p w:rsidR="005E78CA" w:rsidRPr="000259A1" w:rsidRDefault="0051529B" w:rsidP="000B12C8">
      <w:pPr>
        <w:spacing w:line="360" w:lineRule="auto"/>
        <w:ind w:firstLineChars="200" w:firstLine="640"/>
        <w:rPr>
          <w:rFonts w:ascii="仿宋" w:eastAsia="仿宋" w:hAnsi="仿宋"/>
          <w:sz w:val="32"/>
          <w:szCs w:val="32"/>
        </w:rPr>
      </w:pPr>
      <w:r w:rsidRPr="000259A1">
        <w:rPr>
          <w:rFonts w:ascii="仿宋" w:eastAsia="仿宋" w:hAnsi="仿宋" w:hint="eastAsia"/>
          <w:sz w:val="32"/>
          <w:szCs w:val="32"/>
        </w:rPr>
        <w:t>全年</w:t>
      </w:r>
      <w:r w:rsidR="005E78CA" w:rsidRPr="000259A1">
        <w:rPr>
          <w:rFonts w:ascii="仿宋" w:eastAsia="仿宋" w:hAnsi="仿宋" w:hint="eastAsia"/>
          <w:sz w:val="32"/>
          <w:szCs w:val="32"/>
        </w:rPr>
        <w:t>税收收入完成</w:t>
      </w:r>
      <w:r w:rsidR="0090223B">
        <w:rPr>
          <w:rFonts w:ascii="仿宋" w:eastAsia="仿宋" w:hAnsi="仿宋" w:hint="eastAsia"/>
          <w:sz w:val="32"/>
          <w:szCs w:val="32"/>
        </w:rPr>
        <w:t>31.9</w:t>
      </w:r>
      <w:r w:rsidR="005E78CA" w:rsidRPr="000259A1">
        <w:rPr>
          <w:rFonts w:ascii="仿宋" w:eastAsia="仿宋" w:hAnsi="仿宋" w:hint="eastAsia"/>
          <w:sz w:val="32"/>
          <w:szCs w:val="32"/>
        </w:rPr>
        <w:t>亿元，</w:t>
      </w:r>
      <w:r w:rsidR="008830B3" w:rsidRPr="000259A1">
        <w:rPr>
          <w:rFonts w:ascii="仿宋" w:eastAsia="仿宋" w:hAnsi="仿宋" w:hint="eastAsia"/>
          <w:sz w:val="32"/>
          <w:szCs w:val="32"/>
        </w:rPr>
        <w:t>比上年</w:t>
      </w:r>
      <w:r w:rsidR="006156C8" w:rsidRPr="000259A1">
        <w:rPr>
          <w:rFonts w:ascii="仿宋" w:eastAsia="仿宋" w:hAnsi="仿宋" w:hint="eastAsia"/>
          <w:sz w:val="32"/>
          <w:szCs w:val="32"/>
        </w:rPr>
        <w:t>增长3.1</w:t>
      </w:r>
      <w:r w:rsidR="005E78CA" w:rsidRPr="000259A1">
        <w:rPr>
          <w:rFonts w:ascii="仿宋" w:eastAsia="仿宋" w:hAnsi="仿宋" w:hint="eastAsia"/>
          <w:sz w:val="32"/>
          <w:szCs w:val="32"/>
        </w:rPr>
        <w:t>%。</w:t>
      </w:r>
      <w:r w:rsidR="00272C6B" w:rsidRPr="000259A1">
        <w:rPr>
          <w:rFonts w:ascii="仿宋" w:eastAsia="仿宋" w:hAnsi="仿宋" w:hint="eastAsia"/>
          <w:sz w:val="32"/>
          <w:szCs w:val="32"/>
        </w:rPr>
        <w:t>公共</w:t>
      </w:r>
      <w:r w:rsidR="00272C6B" w:rsidRPr="000259A1">
        <w:rPr>
          <w:rFonts w:ascii="仿宋" w:eastAsia="仿宋" w:hAnsi="仿宋" w:hint="eastAsia"/>
          <w:sz w:val="32"/>
          <w:szCs w:val="32"/>
        </w:rPr>
        <w:lastRenderedPageBreak/>
        <w:t>财政</w:t>
      </w:r>
      <w:r w:rsidR="005E78CA" w:rsidRPr="000259A1">
        <w:rPr>
          <w:rFonts w:ascii="仿宋" w:eastAsia="仿宋" w:hAnsi="仿宋" w:hint="eastAsia"/>
          <w:sz w:val="32"/>
          <w:szCs w:val="32"/>
        </w:rPr>
        <w:t>预算收入实现</w:t>
      </w:r>
      <w:r w:rsidR="00710271" w:rsidRPr="000259A1">
        <w:rPr>
          <w:rFonts w:ascii="仿宋" w:eastAsia="仿宋" w:hAnsi="仿宋" w:hint="eastAsia"/>
          <w:sz w:val="32"/>
          <w:szCs w:val="32"/>
        </w:rPr>
        <w:t>18.9</w:t>
      </w:r>
      <w:r w:rsidR="005E78CA" w:rsidRPr="000259A1">
        <w:rPr>
          <w:rFonts w:ascii="仿宋" w:eastAsia="仿宋" w:hAnsi="仿宋" w:hint="eastAsia"/>
          <w:sz w:val="32"/>
          <w:szCs w:val="32"/>
        </w:rPr>
        <w:t>亿元</w:t>
      </w:r>
      <w:r w:rsidR="00710271" w:rsidRPr="000259A1">
        <w:rPr>
          <w:rFonts w:ascii="仿宋" w:eastAsia="仿宋" w:hAnsi="仿宋" w:hint="eastAsia"/>
          <w:sz w:val="32"/>
          <w:szCs w:val="32"/>
        </w:rPr>
        <w:t>,比上年增长</w:t>
      </w:r>
      <w:r w:rsidR="00FE5674" w:rsidRPr="000259A1">
        <w:rPr>
          <w:rFonts w:ascii="仿宋" w:eastAsia="仿宋" w:hAnsi="仿宋" w:hint="eastAsia"/>
          <w:sz w:val="32"/>
          <w:szCs w:val="32"/>
        </w:rPr>
        <w:t>3.4</w:t>
      </w:r>
      <w:r w:rsidR="005E78CA" w:rsidRPr="000259A1">
        <w:rPr>
          <w:rFonts w:ascii="仿宋" w:eastAsia="仿宋" w:hAnsi="仿宋" w:hint="eastAsia"/>
          <w:sz w:val="32"/>
          <w:szCs w:val="32"/>
        </w:rPr>
        <w:t>%</w:t>
      </w:r>
      <w:r w:rsidR="009138BE" w:rsidRPr="000259A1">
        <w:rPr>
          <w:rFonts w:ascii="仿宋" w:eastAsia="仿宋" w:hAnsi="仿宋" w:hint="eastAsia"/>
          <w:sz w:val="32"/>
          <w:szCs w:val="32"/>
        </w:rPr>
        <w:t>。其中：</w:t>
      </w:r>
      <w:r w:rsidR="005E78CA" w:rsidRPr="000259A1">
        <w:rPr>
          <w:rFonts w:ascii="仿宋" w:eastAsia="仿宋" w:hAnsi="仿宋" w:hint="eastAsia"/>
          <w:sz w:val="32"/>
          <w:szCs w:val="32"/>
        </w:rPr>
        <w:t>财政口径税收</w:t>
      </w:r>
      <w:r w:rsidR="009138BE" w:rsidRPr="000B12C8">
        <w:rPr>
          <w:rFonts w:ascii="仿宋" w:eastAsia="仿宋" w:hAnsi="仿宋" w:hint="eastAsia"/>
          <w:sz w:val="32"/>
          <w:szCs w:val="32"/>
        </w:rPr>
        <w:t>收入</w:t>
      </w:r>
      <w:r w:rsidR="005E78CA" w:rsidRPr="000B12C8">
        <w:rPr>
          <w:rFonts w:ascii="仿宋" w:eastAsia="仿宋" w:hAnsi="仿宋" w:hint="eastAsia"/>
          <w:sz w:val="32"/>
          <w:szCs w:val="32"/>
        </w:rPr>
        <w:t>实现17.</w:t>
      </w:r>
      <w:r w:rsidR="008763F3" w:rsidRPr="000B12C8">
        <w:rPr>
          <w:rFonts w:ascii="仿宋" w:eastAsia="仿宋" w:hAnsi="仿宋" w:hint="eastAsia"/>
          <w:sz w:val="32"/>
          <w:szCs w:val="32"/>
        </w:rPr>
        <w:t>2</w:t>
      </w:r>
      <w:r w:rsidR="005E78CA" w:rsidRPr="000B12C8">
        <w:rPr>
          <w:rFonts w:ascii="仿宋" w:eastAsia="仿宋" w:hAnsi="仿宋" w:hint="eastAsia"/>
          <w:sz w:val="32"/>
          <w:szCs w:val="32"/>
        </w:rPr>
        <w:t>亿元(不含教育费附加)，</w:t>
      </w:r>
      <w:r w:rsidR="008763F3" w:rsidRPr="000B12C8">
        <w:rPr>
          <w:rFonts w:ascii="仿宋" w:eastAsia="仿宋" w:hAnsi="仿宋" w:hint="eastAsia"/>
          <w:sz w:val="32"/>
          <w:szCs w:val="32"/>
        </w:rPr>
        <w:t>增长</w:t>
      </w:r>
      <w:r w:rsidR="00E957BE" w:rsidRPr="000B12C8">
        <w:rPr>
          <w:rFonts w:ascii="仿宋" w:eastAsia="仿宋" w:hAnsi="仿宋" w:hint="eastAsia"/>
          <w:sz w:val="32"/>
          <w:szCs w:val="32"/>
        </w:rPr>
        <w:t>0.9</w:t>
      </w:r>
      <w:r w:rsidR="005E78CA" w:rsidRPr="000B12C8">
        <w:rPr>
          <w:rFonts w:ascii="仿宋" w:eastAsia="仿宋" w:hAnsi="仿宋" w:hint="eastAsia"/>
          <w:sz w:val="32"/>
          <w:szCs w:val="32"/>
        </w:rPr>
        <w:t>%，</w:t>
      </w:r>
      <w:r w:rsidR="005E78CA" w:rsidRPr="000259A1">
        <w:rPr>
          <w:rFonts w:ascii="仿宋" w:eastAsia="仿宋" w:hAnsi="仿宋" w:hint="eastAsia"/>
          <w:sz w:val="32"/>
          <w:szCs w:val="32"/>
        </w:rPr>
        <w:t>占比为</w:t>
      </w:r>
      <w:r w:rsidR="006557BE" w:rsidRPr="000259A1">
        <w:rPr>
          <w:rFonts w:ascii="仿宋" w:eastAsia="仿宋" w:hAnsi="仿宋" w:hint="eastAsia"/>
          <w:sz w:val="32"/>
          <w:szCs w:val="32"/>
        </w:rPr>
        <w:t>91</w:t>
      </w:r>
      <w:r w:rsidR="005E78CA" w:rsidRPr="000259A1">
        <w:rPr>
          <w:rFonts w:ascii="仿宋" w:eastAsia="仿宋" w:hAnsi="仿宋" w:hint="eastAsia"/>
          <w:sz w:val="32"/>
          <w:szCs w:val="32"/>
        </w:rPr>
        <w:t>%；政府非税收入完成</w:t>
      </w:r>
      <w:r w:rsidR="006557BE" w:rsidRPr="000259A1">
        <w:rPr>
          <w:rFonts w:ascii="仿宋" w:eastAsia="仿宋" w:hAnsi="仿宋" w:hint="eastAsia"/>
          <w:sz w:val="32"/>
          <w:szCs w:val="32"/>
        </w:rPr>
        <w:t>1.7</w:t>
      </w:r>
      <w:r w:rsidR="005E78CA" w:rsidRPr="000259A1">
        <w:rPr>
          <w:rFonts w:ascii="仿宋" w:eastAsia="仿宋" w:hAnsi="仿宋" w:hint="eastAsia"/>
          <w:sz w:val="32"/>
          <w:szCs w:val="32"/>
        </w:rPr>
        <w:t>亿元，</w:t>
      </w:r>
      <w:r w:rsidR="006557BE" w:rsidRPr="000259A1">
        <w:rPr>
          <w:rFonts w:ascii="仿宋" w:eastAsia="仿宋" w:hAnsi="仿宋" w:hint="eastAsia"/>
          <w:sz w:val="32"/>
          <w:szCs w:val="32"/>
        </w:rPr>
        <w:t>增长</w:t>
      </w:r>
      <w:r w:rsidR="00F132CD" w:rsidRPr="000259A1">
        <w:rPr>
          <w:rFonts w:ascii="仿宋" w:eastAsia="仿宋" w:hAnsi="仿宋" w:hint="eastAsia"/>
          <w:sz w:val="32"/>
          <w:szCs w:val="32"/>
        </w:rPr>
        <w:t>38.0</w:t>
      </w:r>
      <w:r w:rsidR="005E78CA" w:rsidRPr="000259A1">
        <w:rPr>
          <w:rFonts w:ascii="仿宋" w:eastAsia="仿宋" w:hAnsi="仿宋" w:hint="eastAsia"/>
          <w:sz w:val="32"/>
          <w:szCs w:val="32"/>
        </w:rPr>
        <w:t>%</w:t>
      </w:r>
      <w:r w:rsidR="00E4641A" w:rsidRPr="000259A1">
        <w:rPr>
          <w:rFonts w:ascii="仿宋" w:eastAsia="仿宋" w:hAnsi="仿宋" w:hint="eastAsia"/>
          <w:sz w:val="32"/>
          <w:szCs w:val="32"/>
        </w:rPr>
        <w:t>，</w:t>
      </w:r>
      <w:r w:rsidR="005E78CA" w:rsidRPr="000259A1">
        <w:rPr>
          <w:rFonts w:ascii="仿宋" w:eastAsia="仿宋" w:hAnsi="仿宋" w:hint="eastAsia"/>
          <w:sz w:val="32"/>
          <w:szCs w:val="32"/>
        </w:rPr>
        <w:t>占比为</w:t>
      </w:r>
      <w:r w:rsidR="00F132CD" w:rsidRPr="000259A1">
        <w:rPr>
          <w:rFonts w:ascii="仿宋" w:eastAsia="仿宋" w:hAnsi="仿宋" w:hint="eastAsia"/>
          <w:sz w:val="32"/>
          <w:szCs w:val="32"/>
        </w:rPr>
        <w:t>9</w:t>
      </w:r>
      <w:r w:rsidR="005E78CA" w:rsidRPr="000259A1">
        <w:rPr>
          <w:rFonts w:ascii="仿宋" w:eastAsia="仿宋" w:hAnsi="仿宋" w:hint="eastAsia"/>
          <w:sz w:val="32"/>
          <w:szCs w:val="32"/>
        </w:rPr>
        <w:t>%。</w:t>
      </w:r>
    </w:p>
    <w:p w:rsidR="009C4341" w:rsidRPr="000259A1" w:rsidRDefault="005E78CA" w:rsidP="000B12C8">
      <w:pPr>
        <w:widowControl/>
        <w:spacing w:line="360" w:lineRule="auto"/>
        <w:ind w:firstLineChars="200" w:firstLine="640"/>
        <w:rPr>
          <w:rFonts w:ascii="仿宋" w:eastAsia="仿宋" w:hAnsi="仿宋"/>
          <w:sz w:val="32"/>
          <w:szCs w:val="32"/>
        </w:rPr>
      </w:pPr>
      <w:r w:rsidRPr="000259A1">
        <w:rPr>
          <w:rFonts w:ascii="仿宋" w:eastAsia="仿宋" w:hAnsi="仿宋" w:hint="eastAsia"/>
          <w:sz w:val="32"/>
          <w:szCs w:val="32"/>
        </w:rPr>
        <w:t>全年</w:t>
      </w:r>
      <w:r w:rsidR="00D40B5F" w:rsidRPr="000259A1">
        <w:rPr>
          <w:rFonts w:ascii="仿宋" w:eastAsia="仿宋" w:hAnsi="仿宋" w:hint="eastAsia"/>
          <w:sz w:val="32"/>
          <w:szCs w:val="32"/>
        </w:rPr>
        <w:t>一般</w:t>
      </w:r>
      <w:r w:rsidRPr="000259A1">
        <w:rPr>
          <w:rFonts w:ascii="仿宋" w:eastAsia="仿宋" w:hAnsi="仿宋" w:hint="eastAsia"/>
          <w:sz w:val="32"/>
          <w:szCs w:val="32"/>
        </w:rPr>
        <w:t>公共财政预算支出</w:t>
      </w:r>
      <w:r w:rsidR="00E420F2" w:rsidRPr="000259A1">
        <w:rPr>
          <w:rFonts w:ascii="仿宋" w:eastAsia="仿宋" w:hAnsi="仿宋" w:hint="eastAsia"/>
          <w:sz w:val="32"/>
          <w:szCs w:val="32"/>
        </w:rPr>
        <w:t>22.5</w:t>
      </w:r>
      <w:r w:rsidRPr="000259A1">
        <w:rPr>
          <w:rFonts w:ascii="仿宋" w:eastAsia="仿宋" w:hAnsi="仿宋" w:hint="eastAsia"/>
          <w:sz w:val="32"/>
          <w:szCs w:val="32"/>
        </w:rPr>
        <w:t>亿元，比上年</w:t>
      </w:r>
      <w:r w:rsidR="00B23220" w:rsidRPr="000259A1">
        <w:rPr>
          <w:rFonts w:ascii="仿宋" w:eastAsia="仿宋" w:hAnsi="仿宋" w:hint="eastAsia"/>
          <w:sz w:val="32"/>
          <w:szCs w:val="32"/>
        </w:rPr>
        <w:t>增长</w:t>
      </w:r>
      <w:r w:rsidR="00654811" w:rsidRPr="000259A1">
        <w:rPr>
          <w:rFonts w:ascii="仿宋" w:eastAsia="仿宋" w:hAnsi="仿宋" w:hint="eastAsia"/>
          <w:sz w:val="32"/>
          <w:szCs w:val="32"/>
        </w:rPr>
        <w:t>24.1</w:t>
      </w:r>
      <w:r w:rsidRPr="000259A1">
        <w:rPr>
          <w:rFonts w:ascii="仿宋" w:eastAsia="仿宋" w:hAnsi="仿宋" w:hint="eastAsia"/>
          <w:sz w:val="32"/>
          <w:szCs w:val="32"/>
        </w:rPr>
        <w:t>%。</w:t>
      </w:r>
      <w:r w:rsidR="00EB23A2" w:rsidRPr="000259A1">
        <w:rPr>
          <w:rFonts w:ascii="仿宋" w:eastAsia="仿宋" w:hAnsi="仿宋" w:cs="宋体" w:hint="eastAsia"/>
          <w:color w:val="000000"/>
          <w:kern w:val="0"/>
          <w:sz w:val="32"/>
          <w:szCs w:val="32"/>
        </w:rPr>
        <w:t>其中，一般公共服务支出</w:t>
      </w:r>
      <w:r w:rsidR="00654811" w:rsidRPr="000259A1">
        <w:rPr>
          <w:rFonts w:ascii="仿宋" w:eastAsia="仿宋" w:hAnsi="仿宋" w:cs="宋体" w:hint="eastAsia"/>
          <w:color w:val="000000"/>
          <w:kern w:val="0"/>
          <w:sz w:val="32"/>
          <w:szCs w:val="32"/>
        </w:rPr>
        <w:t>3.2</w:t>
      </w:r>
      <w:r w:rsidR="00EB23A2" w:rsidRPr="000259A1">
        <w:rPr>
          <w:rFonts w:ascii="仿宋" w:eastAsia="仿宋" w:hAnsi="仿宋" w:cs="宋体" w:hint="eastAsia"/>
          <w:color w:val="000000"/>
          <w:kern w:val="0"/>
          <w:sz w:val="32"/>
          <w:szCs w:val="32"/>
        </w:rPr>
        <w:t>亿元，增长</w:t>
      </w:r>
      <w:r w:rsidR="00654811" w:rsidRPr="000259A1">
        <w:rPr>
          <w:rFonts w:ascii="仿宋" w:eastAsia="仿宋" w:hAnsi="仿宋" w:cs="宋体" w:hint="eastAsia"/>
          <w:color w:val="000000"/>
          <w:kern w:val="0"/>
          <w:sz w:val="32"/>
          <w:szCs w:val="32"/>
        </w:rPr>
        <w:t>18.3</w:t>
      </w:r>
      <w:r w:rsidR="00EB23A2" w:rsidRPr="000259A1">
        <w:rPr>
          <w:rFonts w:ascii="仿宋" w:eastAsia="仿宋" w:hAnsi="仿宋" w:cs="宋体" w:hint="eastAsia"/>
          <w:color w:val="000000"/>
          <w:kern w:val="0"/>
          <w:sz w:val="32"/>
          <w:szCs w:val="32"/>
        </w:rPr>
        <w:t>%；教育支出</w:t>
      </w:r>
      <w:r w:rsidR="00654811" w:rsidRPr="000259A1">
        <w:rPr>
          <w:rFonts w:ascii="仿宋" w:eastAsia="仿宋" w:hAnsi="仿宋" w:cs="宋体" w:hint="eastAsia"/>
          <w:color w:val="000000"/>
          <w:kern w:val="0"/>
          <w:sz w:val="32"/>
          <w:szCs w:val="32"/>
        </w:rPr>
        <w:t>4.3</w:t>
      </w:r>
      <w:r w:rsidR="00EB23A2" w:rsidRPr="000259A1">
        <w:rPr>
          <w:rFonts w:ascii="仿宋" w:eastAsia="仿宋" w:hAnsi="仿宋" w:cs="宋体" w:hint="eastAsia"/>
          <w:color w:val="000000"/>
          <w:kern w:val="0"/>
          <w:sz w:val="32"/>
          <w:szCs w:val="32"/>
        </w:rPr>
        <w:t>亿元，增长</w:t>
      </w:r>
      <w:r w:rsidR="00654811" w:rsidRPr="000259A1">
        <w:rPr>
          <w:rFonts w:ascii="仿宋" w:eastAsia="仿宋" w:hAnsi="仿宋" w:cs="宋体" w:hint="eastAsia"/>
          <w:color w:val="000000"/>
          <w:kern w:val="0"/>
          <w:sz w:val="32"/>
          <w:szCs w:val="32"/>
        </w:rPr>
        <w:t>20.5</w:t>
      </w:r>
      <w:r w:rsidR="00EB23A2" w:rsidRPr="000259A1">
        <w:rPr>
          <w:rFonts w:ascii="仿宋" w:eastAsia="仿宋" w:hAnsi="仿宋" w:cs="宋体" w:hint="eastAsia"/>
          <w:color w:val="000000"/>
          <w:kern w:val="0"/>
          <w:sz w:val="32"/>
          <w:szCs w:val="32"/>
        </w:rPr>
        <w:t>%；社会保障和就业支出2.</w:t>
      </w:r>
      <w:r w:rsidR="00654811" w:rsidRPr="000259A1">
        <w:rPr>
          <w:rFonts w:ascii="仿宋" w:eastAsia="仿宋" w:hAnsi="仿宋" w:cs="宋体" w:hint="eastAsia"/>
          <w:color w:val="000000"/>
          <w:kern w:val="0"/>
          <w:sz w:val="32"/>
          <w:szCs w:val="32"/>
        </w:rPr>
        <w:t>8</w:t>
      </w:r>
      <w:r w:rsidR="00EB23A2" w:rsidRPr="000259A1">
        <w:rPr>
          <w:rFonts w:ascii="仿宋" w:eastAsia="仿宋" w:hAnsi="仿宋" w:cs="宋体" w:hint="eastAsia"/>
          <w:color w:val="000000"/>
          <w:kern w:val="0"/>
          <w:sz w:val="32"/>
          <w:szCs w:val="32"/>
        </w:rPr>
        <w:t>亿元，增长</w:t>
      </w:r>
      <w:r w:rsidR="00654811" w:rsidRPr="000259A1">
        <w:rPr>
          <w:rFonts w:ascii="仿宋" w:eastAsia="仿宋" w:hAnsi="仿宋" w:cs="宋体" w:hint="eastAsia"/>
          <w:color w:val="000000"/>
          <w:kern w:val="0"/>
          <w:sz w:val="32"/>
          <w:szCs w:val="32"/>
        </w:rPr>
        <w:t>29.3</w:t>
      </w:r>
      <w:r w:rsidR="00EB23A2" w:rsidRPr="000259A1">
        <w:rPr>
          <w:rFonts w:ascii="仿宋" w:eastAsia="仿宋" w:hAnsi="仿宋" w:cs="宋体" w:hint="eastAsia"/>
          <w:color w:val="000000"/>
          <w:kern w:val="0"/>
          <w:sz w:val="32"/>
          <w:szCs w:val="32"/>
        </w:rPr>
        <w:t>%</w:t>
      </w:r>
      <w:r w:rsidR="00654811" w:rsidRPr="000259A1">
        <w:rPr>
          <w:rFonts w:ascii="仿宋" w:eastAsia="仿宋" w:hAnsi="仿宋" w:cs="宋体" w:hint="eastAsia"/>
          <w:color w:val="000000"/>
          <w:kern w:val="0"/>
          <w:sz w:val="32"/>
          <w:szCs w:val="32"/>
        </w:rPr>
        <w:t>；</w:t>
      </w:r>
      <w:r w:rsidR="00EB23A2" w:rsidRPr="000259A1">
        <w:rPr>
          <w:rFonts w:ascii="仿宋" w:eastAsia="仿宋" w:hAnsi="仿宋" w:cs="宋体" w:hint="eastAsia"/>
          <w:color w:val="000000"/>
          <w:kern w:val="0"/>
          <w:sz w:val="32"/>
          <w:szCs w:val="32"/>
        </w:rPr>
        <w:t>城乡社区事务支出</w:t>
      </w:r>
      <w:r w:rsidR="00654811" w:rsidRPr="000259A1">
        <w:rPr>
          <w:rFonts w:ascii="仿宋" w:eastAsia="仿宋" w:hAnsi="仿宋" w:cs="宋体" w:hint="eastAsia"/>
          <w:color w:val="000000"/>
          <w:kern w:val="0"/>
          <w:sz w:val="32"/>
          <w:szCs w:val="32"/>
        </w:rPr>
        <w:t>5.3</w:t>
      </w:r>
      <w:r w:rsidR="00EB23A2" w:rsidRPr="000259A1">
        <w:rPr>
          <w:rFonts w:ascii="仿宋" w:eastAsia="仿宋" w:hAnsi="仿宋" w:cs="宋体" w:hint="eastAsia"/>
          <w:color w:val="000000"/>
          <w:kern w:val="0"/>
          <w:sz w:val="32"/>
          <w:szCs w:val="32"/>
        </w:rPr>
        <w:t>亿元，</w:t>
      </w:r>
      <w:r w:rsidR="00654811" w:rsidRPr="000259A1">
        <w:rPr>
          <w:rFonts w:ascii="仿宋" w:eastAsia="仿宋" w:hAnsi="仿宋" w:cs="宋体" w:hint="eastAsia"/>
          <w:color w:val="000000"/>
          <w:kern w:val="0"/>
          <w:sz w:val="32"/>
          <w:szCs w:val="32"/>
        </w:rPr>
        <w:t>增长39.4</w:t>
      </w:r>
      <w:r w:rsidR="00EB23A2" w:rsidRPr="000259A1">
        <w:rPr>
          <w:rFonts w:ascii="仿宋" w:eastAsia="仿宋" w:hAnsi="仿宋" w:cs="宋体" w:hint="eastAsia"/>
          <w:color w:val="000000"/>
          <w:kern w:val="0"/>
          <w:sz w:val="32"/>
          <w:szCs w:val="32"/>
        </w:rPr>
        <w:t>%。</w:t>
      </w:r>
    </w:p>
    <w:p w:rsidR="009C4341" w:rsidRPr="00EE48D0" w:rsidRDefault="009C4341" w:rsidP="009F6893">
      <w:pPr>
        <w:jc w:val="center"/>
        <w:rPr>
          <w:rFonts w:ascii="宋体" w:hAnsi="宋体"/>
          <w:b/>
          <w:sz w:val="24"/>
          <w:szCs w:val="24"/>
        </w:rPr>
      </w:pPr>
    </w:p>
    <w:p w:rsidR="009F6893" w:rsidRPr="00EE48D0" w:rsidRDefault="009F6893" w:rsidP="009F6893">
      <w:pPr>
        <w:jc w:val="center"/>
        <w:rPr>
          <w:rFonts w:ascii="宋体" w:hAnsi="宋体"/>
          <w:b/>
          <w:sz w:val="24"/>
          <w:szCs w:val="24"/>
        </w:rPr>
      </w:pPr>
      <w:r w:rsidRPr="00EE48D0">
        <w:rPr>
          <w:rFonts w:ascii="宋体" w:hAnsi="宋体" w:hint="eastAsia"/>
          <w:b/>
          <w:sz w:val="24"/>
          <w:szCs w:val="24"/>
        </w:rPr>
        <w:t>（图四）</w:t>
      </w:r>
      <w:r w:rsidRPr="00EE48D0">
        <w:rPr>
          <w:rFonts w:ascii="宋体" w:hAnsi="宋体"/>
          <w:b/>
          <w:sz w:val="24"/>
          <w:szCs w:val="24"/>
        </w:rPr>
        <w:t>20</w:t>
      </w:r>
      <w:r w:rsidRPr="00EE48D0">
        <w:rPr>
          <w:rFonts w:ascii="宋体" w:hAnsi="宋体" w:hint="eastAsia"/>
          <w:b/>
          <w:sz w:val="24"/>
          <w:szCs w:val="24"/>
        </w:rPr>
        <w:t>1</w:t>
      </w:r>
      <w:r w:rsidR="00550B7E">
        <w:rPr>
          <w:rFonts w:ascii="宋体" w:hAnsi="宋体" w:hint="eastAsia"/>
          <w:b/>
          <w:sz w:val="24"/>
          <w:szCs w:val="24"/>
        </w:rPr>
        <w:t>3</w:t>
      </w:r>
      <w:r w:rsidRPr="00EE48D0">
        <w:rPr>
          <w:rFonts w:ascii="宋体" w:hAnsi="宋体"/>
          <w:b/>
          <w:sz w:val="24"/>
          <w:szCs w:val="24"/>
        </w:rPr>
        <w:t>-20</w:t>
      </w:r>
      <w:r w:rsidR="004B6BF1">
        <w:rPr>
          <w:rFonts w:ascii="宋体" w:hAnsi="宋体" w:hint="eastAsia"/>
          <w:b/>
          <w:sz w:val="24"/>
          <w:szCs w:val="24"/>
        </w:rPr>
        <w:t>17</w:t>
      </w:r>
      <w:r w:rsidRPr="00EE48D0">
        <w:rPr>
          <w:rFonts w:ascii="宋体" w:hAnsi="宋体" w:hint="eastAsia"/>
          <w:b/>
          <w:sz w:val="24"/>
          <w:szCs w:val="24"/>
        </w:rPr>
        <w:t>年财税收支情况</w:t>
      </w:r>
    </w:p>
    <w:p w:rsidR="004E723C" w:rsidRPr="00EE48D0" w:rsidRDefault="004E723C" w:rsidP="009F6893">
      <w:pPr>
        <w:jc w:val="center"/>
        <w:rPr>
          <w:rFonts w:ascii="宋体" w:hAnsi="宋体"/>
          <w:b/>
          <w:sz w:val="24"/>
          <w:szCs w:val="24"/>
        </w:rPr>
      </w:pPr>
    </w:p>
    <w:p w:rsidR="005E78CA" w:rsidRDefault="006268B8" w:rsidP="009F6893">
      <w:pPr>
        <w:spacing w:line="360" w:lineRule="auto"/>
        <w:rPr>
          <w:rFonts w:asciiTheme="minorEastAsia" w:eastAsiaTheme="minorEastAsia" w:hAnsiTheme="minorEastAsia"/>
          <w:sz w:val="24"/>
          <w:szCs w:val="24"/>
        </w:rPr>
      </w:pPr>
      <w:r>
        <w:rPr>
          <w:rFonts w:asciiTheme="minorEastAsia" w:eastAsiaTheme="minorEastAsia" w:hAnsiTheme="minorEastAsia"/>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54pt;margin-top:1.95pt;width:69pt;height:27.75pt;z-index:251657728;mso-width-relative:margin;mso-height-relative:margin" filled="f" stroked="f">
            <v:textbox style="mso-next-textbox:#_x0000_s1029">
              <w:txbxContent>
                <w:p w:rsidR="00C74637" w:rsidRPr="00C74637" w:rsidRDefault="00C74637">
                  <w:pPr>
                    <w:rPr>
                      <w:b/>
                    </w:rPr>
                  </w:pPr>
                  <w:r w:rsidRPr="00C74637">
                    <w:rPr>
                      <w:rFonts w:hint="eastAsia"/>
                      <w:b/>
                    </w:rPr>
                    <w:t>增速</w:t>
                  </w:r>
                  <w:r w:rsidRPr="00C74637">
                    <w:rPr>
                      <w:rFonts w:hint="eastAsia"/>
                      <w:b/>
                    </w:rPr>
                    <w:t>100%</w:t>
                  </w:r>
                </w:p>
              </w:txbxContent>
            </v:textbox>
          </v:shape>
        </w:pict>
      </w:r>
      <w:r w:rsidR="005B6D88">
        <w:rPr>
          <w:rFonts w:asciiTheme="minorEastAsia" w:eastAsiaTheme="minorEastAsia" w:hAnsiTheme="minorEastAsia"/>
          <w:noProof/>
          <w:sz w:val="24"/>
          <w:szCs w:val="24"/>
        </w:rPr>
        <w:drawing>
          <wp:inline distT="0" distB="0" distL="0" distR="0">
            <wp:extent cx="5505450" cy="4305300"/>
            <wp:effectExtent l="0" t="0" r="0" b="0"/>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259" w:rsidRDefault="001A1259" w:rsidP="009F6893">
      <w:pPr>
        <w:spacing w:line="360" w:lineRule="auto"/>
        <w:rPr>
          <w:rFonts w:asciiTheme="minorEastAsia" w:eastAsiaTheme="minorEastAsia" w:hAnsiTheme="minorEastAsia"/>
          <w:sz w:val="24"/>
          <w:szCs w:val="24"/>
        </w:rPr>
      </w:pPr>
    </w:p>
    <w:p w:rsidR="001A1259" w:rsidRPr="001A1259" w:rsidRDefault="001A1259" w:rsidP="00A32E19">
      <w:pPr>
        <w:ind w:firstLineChars="200" w:firstLine="640"/>
        <w:rPr>
          <w:rFonts w:ascii="仿宋" w:eastAsia="仿宋" w:hAnsi="仿宋" w:cs="仿宋_GB2312"/>
          <w:sz w:val="32"/>
          <w:szCs w:val="32"/>
        </w:rPr>
      </w:pPr>
      <w:r w:rsidRPr="000B12C8">
        <w:rPr>
          <w:rFonts w:ascii="仿宋" w:eastAsia="仿宋" w:hAnsi="仿宋" w:cs="仿宋_GB2312" w:hint="eastAsia"/>
          <w:sz w:val="32"/>
          <w:szCs w:val="32"/>
        </w:rPr>
        <w:t>年末金融业增加值</w:t>
      </w:r>
      <w:r w:rsidRPr="000B12C8">
        <w:rPr>
          <w:rFonts w:ascii="仿宋" w:eastAsia="仿宋" w:hAnsi="仿宋" w:cs="仿宋_GB2312" w:hint="eastAsia"/>
          <w:bCs/>
          <w:kern w:val="44"/>
          <w:sz w:val="32"/>
          <w:szCs w:val="32"/>
        </w:rPr>
        <w:t>22.9亿元，占GDP</w:t>
      </w:r>
      <w:r w:rsidR="00AC43A2" w:rsidRPr="000B12C8">
        <w:rPr>
          <w:rFonts w:ascii="仿宋" w:eastAsia="仿宋" w:hAnsi="仿宋" w:cs="仿宋_GB2312" w:hint="eastAsia"/>
          <w:bCs/>
          <w:kern w:val="44"/>
          <w:sz w:val="32"/>
          <w:szCs w:val="32"/>
        </w:rPr>
        <w:t>比重</w:t>
      </w:r>
      <w:r w:rsidRPr="000B12C8">
        <w:rPr>
          <w:rFonts w:ascii="仿宋" w:eastAsia="仿宋" w:hAnsi="仿宋" w:cs="仿宋_GB2312" w:hint="eastAsia"/>
          <w:bCs/>
          <w:kern w:val="44"/>
          <w:sz w:val="32"/>
          <w:szCs w:val="32"/>
        </w:rPr>
        <w:t>6.7%</w:t>
      </w:r>
      <w:r w:rsidRPr="000B12C8">
        <w:rPr>
          <w:rFonts w:ascii="仿宋" w:eastAsia="仿宋" w:hAnsi="仿宋" w:cs="仿宋_GB2312" w:hint="eastAsia"/>
          <w:sz w:val="32"/>
          <w:szCs w:val="32"/>
        </w:rPr>
        <w:t>；金融</w:t>
      </w:r>
      <w:r w:rsidRPr="000B12C8">
        <w:rPr>
          <w:rFonts w:ascii="仿宋" w:eastAsia="仿宋" w:hAnsi="仿宋" w:cs="仿宋_GB2312" w:hint="eastAsia"/>
          <w:sz w:val="32"/>
          <w:szCs w:val="32"/>
        </w:rPr>
        <w:lastRenderedPageBreak/>
        <w:t>业实现税收</w:t>
      </w:r>
      <w:r w:rsidRPr="000B12C8">
        <w:rPr>
          <w:rFonts w:ascii="仿宋" w:eastAsia="仿宋" w:hAnsi="仿宋" w:cs="仿宋_GB2312" w:hint="eastAsia"/>
          <w:bCs/>
          <w:sz w:val="32"/>
          <w:szCs w:val="32"/>
        </w:rPr>
        <w:t>8351.6万元</w:t>
      </w:r>
      <w:r w:rsidRPr="000B12C8">
        <w:rPr>
          <w:rFonts w:ascii="仿宋" w:eastAsia="仿宋" w:hAnsi="仿宋" w:cs="仿宋_GB2312" w:hint="eastAsia"/>
          <w:sz w:val="32"/>
          <w:szCs w:val="32"/>
        </w:rPr>
        <w:t>；社会融资总量完成24.3亿元。</w:t>
      </w:r>
    </w:p>
    <w:p w:rsidR="009C0127" w:rsidRPr="0044219E" w:rsidRDefault="003E3527" w:rsidP="0044219E">
      <w:pPr>
        <w:spacing w:line="360" w:lineRule="auto"/>
        <w:ind w:firstLineChars="196" w:firstLine="630"/>
        <w:rPr>
          <w:rFonts w:ascii="仿宋" w:eastAsia="仿宋" w:hAnsi="仿宋"/>
          <w:b/>
          <w:sz w:val="32"/>
          <w:szCs w:val="32"/>
        </w:rPr>
      </w:pPr>
      <w:r w:rsidRPr="0044219E">
        <w:rPr>
          <w:rFonts w:ascii="仿宋" w:eastAsia="仿宋" w:hAnsi="仿宋" w:hint="eastAsia"/>
          <w:b/>
          <w:sz w:val="32"/>
          <w:szCs w:val="32"/>
        </w:rPr>
        <w:t>七</w:t>
      </w:r>
      <w:r w:rsidR="005E78CA" w:rsidRPr="0044219E">
        <w:rPr>
          <w:rFonts w:ascii="仿宋" w:eastAsia="仿宋" w:hAnsi="仿宋" w:hint="eastAsia"/>
          <w:b/>
          <w:sz w:val="32"/>
          <w:szCs w:val="32"/>
        </w:rPr>
        <w:t>、科技创新</w:t>
      </w:r>
    </w:p>
    <w:p w:rsidR="006D405B" w:rsidRPr="0044219E" w:rsidRDefault="00075431" w:rsidP="0044219E">
      <w:pPr>
        <w:spacing w:line="360" w:lineRule="auto"/>
        <w:ind w:firstLineChars="196" w:firstLine="627"/>
        <w:rPr>
          <w:rFonts w:ascii="仿宋" w:eastAsia="仿宋" w:hAnsi="仿宋" w:cs="仿宋_GB2312"/>
          <w:kern w:val="0"/>
          <w:sz w:val="32"/>
          <w:szCs w:val="32"/>
        </w:rPr>
      </w:pPr>
      <w:r w:rsidRPr="0044219E">
        <w:rPr>
          <w:rFonts w:ascii="仿宋" w:eastAsia="仿宋" w:hAnsi="仿宋" w:cs="仿宋_GB2312" w:hint="eastAsia"/>
          <w:kern w:val="0"/>
          <w:sz w:val="32"/>
          <w:szCs w:val="32"/>
        </w:rPr>
        <w:t>高新技术企业</w:t>
      </w:r>
      <w:r w:rsidR="00770874" w:rsidRPr="0044219E">
        <w:rPr>
          <w:rFonts w:ascii="仿宋" w:eastAsia="仿宋" w:hAnsi="仿宋" w:cs="仿宋_GB2312" w:hint="eastAsia"/>
          <w:kern w:val="0"/>
          <w:sz w:val="32"/>
          <w:szCs w:val="32"/>
        </w:rPr>
        <w:t>39</w:t>
      </w:r>
      <w:r w:rsidRPr="0044219E">
        <w:rPr>
          <w:rFonts w:ascii="仿宋" w:eastAsia="仿宋" w:hAnsi="仿宋" w:cs="仿宋_GB2312" w:hint="eastAsia"/>
          <w:kern w:val="0"/>
          <w:sz w:val="32"/>
          <w:szCs w:val="32"/>
        </w:rPr>
        <w:t>家</w:t>
      </w:r>
      <w:r w:rsidR="00C728C9" w:rsidRPr="0044219E">
        <w:rPr>
          <w:rFonts w:ascii="仿宋" w:eastAsia="仿宋" w:hAnsi="仿宋" w:cs="仿宋_GB2312" w:hint="eastAsia"/>
          <w:kern w:val="0"/>
          <w:sz w:val="32"/>
          <w:szCs w:val="32"/>
        </w:rPr>
        <w:t>，</w:t>
      </w:r>
      <w:r w:rsidR="00D40B5F" w:rsidRPr="0044219E">
        <w:rPr>
          <w:rFonts w:ascii="仿宋" w:eastAsia="仿宋" w:hAnsi="仿宋" w:cs="仿宋_GB2312" w:hint="eastAsia"/>
          <w:kern w:val="0"/>
          <w:sz w:val="32"/>
          <w:szCs w:val="32"/>
        </w:rPr>
        <w:t>比上年增加10家。</w:t>
      </w:r>
      <w:r w:rsidR="006D405B" w:rsidRPr="0044219E">
        <w:rPr>
          <w:rFonts w:ascii="仿宋" w:eastAsia="仿宋" w:hAnsi="仿宋" w:cs="仿宋_GB2312" w:hint="eastAsia"/>
          <w:kern w:val="0"/>
          <w:sz w:val="32"/>
          <w:szCs w:val="32"/>
        </w:rPr>
        <w:t>实现总收入28.5亿元，高新技术产品收入12.9</w:t>
      </w:r>
      <w:r w:rsidR="00B15ADD" w:rsidRPr="0044219E">
        <w:rPr>
          <w:rFonts w:ascii="仿宋" w:eastAsia="仿宋" w:hAnsi="仿宋" w:cs="仿宋_GB2312" w:hint="eastAsia"/>
          <w:kern w:val="0"/>
          <w:sz w:val="32"/>
          <w:szCs w:val="32"/>
        </w:rPr>
        <w:t>亿元，</w:t>
      </w:r>
      <w:r w:rsidR="006D405B" w:rsidRPr="0044219E">
        <w:rPr>
          <w:rFonts w:ascii="仿宋" w:eastAsia="仿宋" w:hAnsi="仿宋" w:cs="仿宋_GB2312" w:hint="eastAsia"/>
          <w:kern w:val="0"/>
          <w:sz w:val="32"/>
          <w:szCs w:val="32"/>
        </w:rPr>
        <w:t>税收收入1.1</w:t>
      </w:r>
      <w:r w:rsidR="00B15ADD" w:rsidRPr="0044219E">
        <w:rPr>
          <w:rFonts w:ascii="仿宋" w:eastAsia="仿宋" w:hAnsi="仿宋" w:cs="仿宋_GB2312" w:hint="eastAsia"/>
          <w:kern w:val="0"/>
          <w:sz w:val="32"/>
          <w:szCs w:val="32"/>
        </w:rPr>
        <w:t>亿元。</w:t>
      </w:r>
      <w:r w:rsidR="00800949" w:rsidRPr="00160C16">
        <w:rPr>
          <w:rFonts w:ascii="仿宋" w:eastAsia="仿宋" w:hAnsi="仿宋" w:cs="仿宋_GB2312" w:hint="eastAsia"/>
          <w:kern w:val="0"/>
          <w:sz w:val="32"/>
          <w:szCs w:val="32"/>
        </w:rPr>
        <w:t>全年科学研究与试验发展（R&amp;D</w:t>
      </w:r>
      <w:r w:rsidR="00800949" w:rsidRPr="00160C16">
        <w:rPr>
          <w:rFonts w:ascii="仿宋" w:eastAsia="仿宋" w:hAnsi="仿宋" w:cs="仿宋_GB2312"/>
          <w:kern w:val="0"/>
          <w:sz w:val="32"/>
          <w:szCs w:val="32"/>
        </w:rPr>
        <w:t>）</w:t>
      </w:r>
      <w:r w:rsidR="00800949" w:rsidRPr="00160C16">
        <w:rPr>
          <w:rFonts w:ascii="仿宋" w:eastAsia="仿宋" w:hAnsi="仿宋" w:cs="仿宋_GB2312" w:hint="eastAsia"/>
          <w:kern w:val="0"/>
          <w:sz w:val="32"/>
          <w:szCs w:val="32"/>
        </w:rPr>
        <w:t>经费</w:t>
      </w:r>
      <w:r w:rsidR="002D73C7" w:rsidRPr="00160C16">
        <w:rPr>
          <w:rFonts w:ascii="仿宋" w:eastAsia="仿宋" w:hAnsi="仿宋" w:cs="仿宋_GB2312" w:hint="eastAsia"/>
          <w:kern w:val="0"/>
          <w:sz w:val="32"/>
          <w:szCs w:val="32"/>
        </w:rPr>
        <w:t>支出</w:t>
      </w:r>
      <w:r w:rsidR="00B15ADD" w:rsidRPr="00160C16">
        <w:rPr>
          <w:rFonts w:ascii="仿宋" w:eastAsia="仿宋" w:hAnsi="仿宋" w:cs="仿宋_GB2312" w:hint="eastAsia"/>
          <w:kern w:val="0"/>
          <w:sz w:val="32"/>
          <w:szCs w:val="32"/>
        </w:rPr>
        <w:t>1.6亿</w:t>
      </w:r>
      <w:r w:rsidR="00800949" w:rsidRPr="00160C16">
        <w:rPr>
          <w:rFonts w:ascii="仿宋" w:eastAsia="仿宋" w:hAnsi="仿宋" w:cs="仿宋_GB2312" w:hint="eastAsia"/>
          <w:kern w:val="0"/>
          <w:sz w:val="32"/>
          <w:szCs w:val="32"/>
        </w:rPr>
        <w:t>元，</w:t>
      </w:r>
      <w:r w:rsidR="00D40B5F" w:rsidRPr="0044219E">
        <w:rPr>
          <w:rFonts w:ascii="仿宋" w:eastAsia="仿宋" w:hAnsi="仿宋" w:cs="仿宋_GB2312" w:hint="eastAsia"/>
          <w:kern w:val="0"/>
          <w:sz w:val="32"/>
          <w:szCs w:val="32"/>
        </w:rPr>
        <w:t>是上年的1.6倍，</w:t>
      </w:r>
      <w:r w:rsidR="00800949" w:rsidRPr="0044219E">
        <w:rPr>
          <w:rFonts w:ascii="仿宋" w:eastAsia="仿宋" w:hAnsi="仿宋" w:cs="仿宋_GB2312" w:hint="eastAsia"/>
          <w:kern w:val="0"/>
          <w:sz w:val="32"/>
          <w:szCs w:val="32"/>
        </w:rPr>
        <w:t>占地区生产总值的</w:t>
      </w:r>
      <w:r w:rsidR="00770874" w:rsidRPr="0044219E">
        <w:rPr>
          <w:rFonts w:ascii="仿宋" w:eastAsia="仿宋" w:hAnsi="仿宋" w:cs="仿宋_GB2312" w:hint="eastAsia"/>
          <w:kern w:val="0"/>
          <w:sz w:val="32"/>
          <w:szCs w:val="32"/>
        </w:rPr>
        <w:t>0.5</w:t>
      </w:r>
      <w:r w:rsidR="002D73C7" w:rsidRPr="0044219E">
        <w:rPr>
          <w:rFonts w:ascii="仿宋" w:eastAsia="仿宋" w:hAnsi="仿宋" w:cs="仿宋_GB2312" w:hint="eastAsia"/>
          <w:kern w:val="0"/>
          <w:sz w:val="32"/>
          <w:szCs w:val="32"/>
        </w:rPr>
        <w:t>%。</w:t>
      </w:r>
    </w:p>
    <w:p w:rsidR="006D405B" w:rsidRPr="0044219E" w:rsidRDefault="00B3379C" w:rsidP="0044219E">
      <w:pPr>
        <w:spacing w:line="360" w:lineRule="auto"/>
        <w:ind w:firstLineChars="196" w:firstLine="627"/>
        <w:rPr>
          <w:rFonts w:ascii="仿宋" w:eastAsia="仿宋" w:hAnsi="仿宋" w:cs="宋体"/>
          <w:kern w:val="0"/>
          <w:sz w:val="32"/>
          <w:szCs w:val="32"/>
        </w:rPr>
      </w:pPr>
      <w:r w:rsidRPr="0044219E">
        <w:rPr>
          <w:rFonts w:ascii="仿宋" w:eastAsia="仿宋" w:hAnsi="仿宋" w:cs="宋体" w:hint="eastAsia"/>
          <w:kern w:val="0"/>
          <w:sz w:val="32"/>
          <w:szCs w:val="32"/>
        </w:rPr>
        <w:t>小巨人企业</w:t>
      </w:r>
      <w:r w:rsidR="00A57CA9" w:rsidRPr="0044219E">
        <w:rPr>
          <w:rFonts w:ascii="仿宋" w:eastAsia="仿宋" w:hAnsi="仿宋" w:cs="宋体" w:hint="eastAsia"/>
          <w:kern w:val="0"/>
          <w:sz w:val="32"/>
          <w:szCs w:val="32"/>
        </w:rPr>
        <w:t>52</w:t>
      </w:r>
      <w:r w:rsidRPr="0044219E">
        <w:rPr>
          <w:rFonts w:ascii="仿宋" w:eastAsia="仿宋" w:hAnsi="仿宋" w:cs="宋体" w:hint="eastAsia"/>
          <w:kern w:val="0"/>
          <w:sz w:val="32"/>
          <w:szCs w:val="32"/>
        </w:rPr>
        <w:t>家，</w:t>
      </w:r>
      <w:r w:rsidR="00097837" w:rsidRPr="0044219E">
        <w:rPr>
          <w:rFonts w:ascii="仿宋" w:eastAsia="仿宋" w:hAnsi="仿宋" w:cs="宋体" w:hint="eastAsia"/>
          <w:kern w:val="0"/>
          <w:sz w:val="32"/>
          <w:szCs w:val="32"/>
        </w:rPr>
        <w:t>比上年增加20家。</w:t>
      </w:r>
      <w:r w:rsidR="006D405B" w:rsidRPr="0044219E">
        <w:rPr>
          <w:rFonts w:ascii="仿宋" w:eastAsia="仿宋" w:hAnsi="仿宋" w:cs="宋体" w:hint="eastAsia"/>
          <w:kern w:val="0"/>
          <w:sz w:val="32"/>
          <w:szCs w:val="32"/>
        </w:rPr>
        <w:t>实现销售收入27亿元，实现利润2.4亿元，实现税收收入1.2亿元，拥有知识产权共372项。</w:t>
      </w:r>
    </w:p>
    <w:p w:rsidR="00B700E5" w:rsidRPr="0044219E" w:rsidRDefault="001F07AE" w:rsidP="0044219E">
      <w:pPr>
        <w:widowControl/>
        <w:spacing w:line="360" w:lineRule="auto"/>
        <w:ind w:firstLineChars="200" w:firstLine="640"/>
        <w:rPr>
          <w:rFonts w:ascii="仿宋" w:eastAsia="仿宋" w:hAnsi="仿宋" w:cs="仿宋_GB2312"/>
          <w:sz w:val="32"/>
          <w:szCs w:val="32"/>
        </w:rPr>
      </w:pPr>
      <w:r w:rsidRPr="0044219E">
        <w:rPr>
          <w:rFonts w:ascii="仿宋" w:eastAsia="仿宋" w:hAnsi="仿宋" w:cs="仿宋_GB2312" w:hint="eastAsia"/>
          <w:sz w:val="32"/>
          <w:szCs w:val="32"/>
        </w:rPr>
        <w:t>年末</w:t>
      </w:r>
      <w:r w:rsidR="009E1270" w:rsidRPr="0044219E">
        <w:rPr>
          <w:rFonts w:ascii="仿宋" w:eastAsia="仿宋" w:hAnsi="仿宋" w:cs="仿宋_GB2312" w:hint="eastAsia"/>
          <w:sz w:val="32"/>
          <w:szCs w:val="32"/>
        </w:rPr>
        <w:t>有</w:t>
      </w:r>
      <w:r w:rsidR="00B700E5" w:rsidRPr="0044219E">
        <w:rPr>
          <w:rFonts w:ascii="仿宋" w:eastAsia="仿宋" w:hAnsi="仿宋" w:cs="仿宋_GB2312" w:hint="eastAsia"/>
          <w:sz w:val="32"/>
          <w:szCs w:val="32"/>
        </w:rPr>
        <w:t>市级以上企业技术研发机构78个，省级公共服务平台9个，院士工作站2个、研究院</w:t>
      </w:r>
      <w:r w:rsidR="00976E21" w:rsidRPr="0044219E">
        <w:rPr>
          <w:rFonts w:ascii="仿宋" w:eastAsia="仿宋" w:hAnsi="仿宋" w:cs="仿宋_GB2312" w:hint="eastAsia"/>
          <w:sz w:val="32"/>
          <w:szCs w:val="32"/>
        </w:rPr>
        <w:t>5</w:t>
      </w:r>
      <w:r w:rsidR="00B700E5" w:rsidRPr="0044219E">
        <w:rPr>
          <w:rFonts w:ascii="仿宋" w:eastAsia="仿宋" w:hAnsi="仿宋" w:cs="仿宋_GB2312" w:hint="eastAsia"/>
          <w:sz w:val="32"/>
          <w:szCs w:val="32"/>
        </w:rPr>
        <w:t>个、产业创新联盟</w:t>
      </w:r>
      <w:r w:rsidR="00950BD8" w:rsidRPr="0044219E">
        <w:rPr>
          <w:rFonts w:ascii="仿宋" w:eastAsia="仿宋" w:hAnsi="仿宋" w:cs="仿宋_GB2312" w:hint="eastAsia"/>
          <w:sz w:val="32"/>
          <w:szCs w:val="32"/>
        </w:rPr>
        <w:t>4</w:t>
      </w:r>
      <w:r w:rsidR="00B700E5" w:rsidRPr="0044219E">
        <w:rPr>
          <w:rFonts w:ascii="仿宋" w:eastAsia="仿宋" w:hAnsi="仿宋" w:cs="仿宋_GB2312" w:hint="eastAsia"/>
          <w:sz w:val="32"/>
          <w:szCs w:val="32"/>
        </w:rPr>
        <w:t>个，</w:t>
      </w:r>
      <w:r w:rsidR="009E1270" w:rsidRPr="0044219E">
        <w:rPr>
          <w:rFonts w:ascii="仿宋" w:eastAsia="仿宋" w:hAnsi="仿宋" w:cs="仿宋_GB2312" w:hint="eastAsia"/>
          <w:kern w:val="0"/>
          <w:sz w:val="32"/>
          <w:szCs w:val="32"/>
        </w:rPr>
        <w:t>科技进步贡献率达到59.7</w:t>
      </w:r>
      <w:r w:rsidR="00E51C9D" w:rsidRPr="0044219E">
        <w:rPr>
          <w:rFonts w:ascii="仿宋" w:eastAsia="仿宋" w:hAnsi="仿宋" w:cs="仿宋_GB2312" w:hint="eastAsia"/>
          <w:kern w:val="0"/>
          <w:sz w:val="32"/>
          <w:szCs w:val="32"/>
        </w:rPr>
        <w:t>%</w:t>
      </w:r>
      <w:r w:rsidR="00020958" w:rsidRPr="0044219E">
        <w:rPr>
          <w:rFonts w:ascii="仿宋" w:eastAsia="仿宋" w:hAnsi="仿宋" w:cs="仿宋_GB2312" w:hint="eastAsia"/>
          <w:kern w:val="0"/>
          <w:sz w:val="32"/>
          <w:szCs w:val="32"/>
        </w:rPr>
        <w:t>。</w:t>
      </w:r>
      <w:r w:rsidR="009E1270" w:rsidRPr="0044219E">
        <w:rPr>
          <w:rFonts w:ascii="仿宋" w:eastAsia="仿宋" w:hAnsi="仿宋" w:cs="仿宋_GB2312" w:hint="eastAsia"/>
          <w:color w:val="000000"/>
          <w:sz w:val="32"/>
          <w:szCs w:val="32"/>
        </w:rPr>
        <w:t>市级以上创业基地4个</w:t>
      </w:r>
      <w:r w:rsidR="00502118" w:rsidRPr="0044219E">
        <w:rPr>
          <w:rFonts w:ascii="仿宋" w:eastAsia="仿宋" w:hAnsi="仿宋" w:cs="仿宋_GB2312" w:hint="eastAsia"/>
          <w:color w:val="000000"/>
          <w:sz w:val="32"/>
          <w:szCs w:val="32"/>
        </w:rPr>
        <w:t>,</w:t>
      </w:r>
      <w:r w:rsidR="00502118" w:rsidRPr="0044219E">
        <w:rPr>
          <w:rFonts w:ascii="仿宋" w:eastAsia="仿宋" w:hAnsi="仿宋" w:cs="仿宋_GB2312" w:hint="eastAsia"/>
          <w:sz w:val="32"/>
          <w:szCs w:val="32"/>
        </w:rPr>
        <w:t>其中3家已经获批省级创新创业基地，1</w:t>
      </w:r>
      <w:r w:rsidR="00B700E5" w:rsidRPr="0044219E">
        <w:rPr>
          <w:rFonts w:ascii="仿宋" w:eastAsia="仿宋" w:hAnsi="仿宋" w:cs="仿宋_GB2312" w:hint="eastAsia"/>
          <w:sz w:val="32"/>
          <w:szCs w:val="32"/>
        </w:rPr>
        <w:t>家正在申报国家级创业基地。</w:t>
      </w:r>
    </w:p>
    <w:p w:rsidR="009C0127" w:rsidRPr="0044219E" w:rsidRDefault="00CE1AEC" w:rsidP="0044219E">
      <w:pPr>
        <w:tabs>
          <w:tab w:val="left" w:pos="426"/>
        </w:tabs>
        <w:autoSpaceDE w:val="0"/>
        <w:autoSpaceDN w:val="0"/>
        <w:adjustRightInd w:val="0"/>
        <w:spacing w:line="360" w:lineRule="auto"/>
        <w:ind w:firstLineChars="200" w:firstLine="640"/>
        <w:jc w:val="left"/>
        <w:rPr>
          <w:rFonts w:ascii="仿宋" w:eastAsia="仿宋" w:hAnsi="仿宋" w:cs="宋体"/>
          <w:kern w:val="0"/>
          <w:sz w:val="32"/>
          <w:szCs w:val="32"/>
          <w:lang w:val="zh-CN"/>
        </w:rPr>
      </w:pPr>
      <w:r w:rsidRPr="0044219E">
        <w:rPr>
          <w:rFonts w:ascii="仿宋" w:eastAsia="仿宋" w:hAnsi="仿宋" w:cs="仿宋_GB2312" w:hint="eastAsia"/>
          <w:sz w:val="32"/>
          <w:szCs w:val="32"/>
        </w:rPr>
        <w:t>全年专利申请</w:t>
      </w:r>
      <w:r w:rsidR="0036729C" w:rsidRPr="0044219E">
        <w:rPr>
          <w:rFonts w:ascii="仿宋" w:eastAsia="仿宋" w:hAnsi="仿宋" w:cs="仿宋_GB2312" w:hint="eastAsia"/>
          <w:sz w:val="32"/>
          <w:szCs w:val="32"/>
        </w:rPr>
        <w:t>578</w:t>
      </w:r>
      <w:r w:rsidR="009C0127" w:rsidRPr="0044219E">
        <w:rPr>
          <w:rFonts w:ascii="仿宋" w:eastAsia="仿宋" w:hAnsi="仿宋" w:cs="仿宋_GB2312" w:hint="eastAsia"/>
          <w:sz w:val="32"/>
          <w:szCs w:val="32"/>
        </w:rPr>
        <w:t>件，</w:t>
      </w:r>
      <w:r w:rsidR="00AD13C4" w:rsidRPr="0044219E">
        <w:rPr>
          <w:rFonts w:ascii="仿宋" w:eastAsia="仿宋" w:hAnsi="仿宋" w:cs="仿宋_GB2312" w:hint="eastAsia"/>
          <w:sz w:val="32"/>
          <w:szCs w:val="32"/>
        </w:rPr>
        <w:t>其中：</w:t>
      </w:r>
      <w:r w:rsidR="0036729C" w:rsidRPr="0044219E">
        <w:rPr>
          <w:rFonts w:ascii="仿宋" w:eastAsia="仿宋" w:hAnsi="仿宋" w:cs="仿宋_GB2312" w:hint="eastAsia"/>
          <w:sz w:val="32"/>
          <w:szCs w:val="32"/>
        </w:rPr>
        <w:t>发明专利237件，实用新型</w:t>
      </w:r>
      <w:r w:rsidR="00AD13C4" w:rsidRPr="0044219E">
        <w:rPr>
          <w:rFonts w:ascii="仿宋" w:eastAsia="仿宋" w:hAnsi="仿宋" w:cs="仿宋_GB2312" w:hint="eastAsia"/>
          <w:sz w:val="32"/>
          <w:szCs w:val="32"/>
        </w:rPr>
        <w:t>专利</w:t>
      </w:r>
      <w:r w:rsidR="0036729C" w:rsidRPr="0044219E">
        <w:rPr>
          <w:rFonts w:ascii="仿宋" w:eastAsia="仿宋" w:hAnsi="仿宋" w:cs="仿宋_GB2312" w:hint="eastAsia"/>
          <w:sz w:val="32"/>
          <w:szCs w:val="32"/>
        </w:rPr>
        <w:t>299件，外观设计</w:t>
      </w:r>
      <w:r w:rsidR="00AD13C4" w:rsidRPr="0044219E">
        <w:rPr>
          <w:rFonts w:ascii="仿宋" w:eastAsia="仿宋" w:hAnsi="仿宋" w:cs="仿宋_GB2312" w:hint="eastAsia"/>
          <w:sz w:val="32"/>
          <w:szCs w:val="32"/>
        </w:rPr>
        <w:t>专利</w:t>
      </w:r>
      <w:r w:rsidR="0036729C" w:rsidRPr="0044219E">
        <w:rPr>
          <w:rFonts w:ascii="仿宋" w:eastAsia="仿宋" w:hAnsi="仿宋" w:cs="仿宋_GB2312" w:hint="eastAsia"/>
          <w:sz w:val="32"/>
          <w:szCs w:val="32"/>
        </w:rPr>
        <w:t>42</w:t>
      </w:r>
      <w:r w:rsidR="00AD13C4" w:rsidRPr="0044219E">
        <w:rPr>
          <w:rFonts w:ascii="仿宋" w:eastAsia="仿宋" w:hAnsi="仿宋" w:cs="仿宋_GB2312" w:hint="eastAsia"/>
          <w:sz w:val="32"/>
          <w:szCs w:val="32"/>
        </w:rPr>
        <w:t>件。</w:t>
      </w:r>
      <w:r w:rsidR="0036729C" w:rsidRPr="0044219E">
        <w:rPr>
          <w:rFonts w:ascii="仿宋" w:eastAsia="仿宋" w:hAnsi="仿宋" w:cs="仿宋_GB2312" w:hint="eastAsia"/>
          <w:sz w:val="32"/>
          <w:szCs w:val="32"/>
        </w:rPr>
        <w:t>专利授权377</w:t>
      </w:r>
      <w:r w:rsidR="00AD13C4" w:rsidRPr="0044219E">
        <w:rPr>
          <w:rFonts w:ascii="仿宋" w:eastAsia="仿宋" w:hAnsi="仿宋" w:cs="仿宋_GB2312" w:hint="eastAsia"/>
          <w:sz w:val="32"/>
          <w:szCs w:val="32"/>
        </w:rPr>
        <w:t>件，其中：</w:t>
      </w:r>
      <w:r w:rsidR="0036729C" w:rsidRPr="0044219E">
        <w:rPr>
          <w:rFonts w:ascii="仿宋" w:eastAsia="仿宋" w:hAnsi="仿宋" w:cs="仿宋_GB2312" w:hint="eastAsia"/>
          <w:sz w:val="32"/>
          <w:szCs w:val="32"/>
        </w:rPr>
        <w:t>发明专利52件，</w:t>
      </w:r>
      <w:r w:rsidR="00AD13C4" w:rsidRPr="0044219E">
        <w:rPr>
          <w:rFonts w:ascii="仿宋" w:eastAsia="仿宋" w:hAnsi="仿宋" w:cs="仿宋_GB2312" w:hint="eastAsia"/>
          <w:sz w:val="32"/>
          <w:szCs w:val="32"/>
        </w:rPr>
        <w:t>实用新型专利</w:t>
      </w:r>
      <w:r w:rsidR="0036729C" w:rsidRPr="0044219E">
        <w:rPr>
          <w:rFonts w:ascii="仿宋" w:eastAsia="仿宋" w:hAnsi="仿宋" w:cs="仿宋_GB2312" w:hint="eastAsia"/>
          <w:sz w:val="32"/>
          <w:szCs w:val="32"/>
        </w:rPr>
        <w:t>296</w:t>
      </w:r>
      <w:r w:rsidR="00AD13C4" w:rsidRPr="0044219E">
        <w:rPr>
          <w:rFonts w:ascii="仿宋" w:eastAsia="仿宋" w:hAnsi="仿宋" w:cs="仿宋_GB2312" w:hint="eastAsia"/>
          <w:sz w:val="32"/>
          <w:szCs w:val="32"/>
        </w:rPr>
        <w:t>件</w:t>
      </w:r>
      <w:r w:rsidR="0036729C" w:rsidRPr="0044219E">
        <w:rPr>
          <w:rFonts w:ascii="仿宋" w:eastAsia="仿宋" w:hAnsi="仿宋" w:cs="仿宋_GB2312" w:hint="eastAsia"/>
          <w:sz w:val="32"/>
          <w:szCs w:val="32"/>
        </w:rPr>
        <w:t>，</w:t>
      </w:r>
      <w:r w:rsidR="00AD13C4" w:rsidRPr="0044219E">
        <w:rPr>
          <w:rFonts w:ascii="仿宋" w:eastAsia="仿宋" w:hAnsi="仿宋" w:cs="仿宋_GB2312" w:hint="eastAsia"/>
          <w:sz w:val="32"/>
          <w:szCs w:val="32"/>
        </w:rPr>
        <w:t>外观设计专利</w:t>
      </w:r>
      <w:r w:rsidR="0036729C" w:rsidRPr="0044219E">
        <w:rPr>
          <w:rFonts w:ascii="仿宋" w:eastAsia="仿宋" w:hAnsi="仿宋" w:cs="仿宋_GB2312" w:hint="eastAsia"/>
          <w:sz w:val="32"/>
          <w:szCs w:val="32"/>
        </w:rPr>
        <w:t>29件。获省</w:t>
      </w:r>
      <w:r w:rsidR="009C0127" w:rsidRPr="0044219E">
        <w:rPr>
          <w:rFonts w:ascii="仿宋" w:eastAsia="仿宋" w:hAnsi="仿宋" w:cs="仿宋_GB2312" w:hint="eastAsia"/>
          <w:sz w:val="32"/>
          <w:szCs w:val="32"/>
        </w:rPr>
        <w:t>科技进步奖</w:t>
      </w:r>
      <w:r w:rsidR="0036729C" w:rsidRPr="0044219E">
        <w:rPr>
          <w:rFonts w:ascii="仿宋" w:eastAsia="仿宋" w:hAnsi="仿宋" w:cs="仿宋_GB2312" w:hint="eastAsia"/>
          <w:sz w:val="32"/>
          <w:szCs w:val="32"/>
        </w:rPr>
        <w:t>12</w:t>
      </w:r>
      <w:r w:rsidR="009C0127" w:rsidRPr="0044219E">
        <w:rPr>
          <w:rFonts w:ascii="仿宋" w:eastAsia="仿宋" w:hAnsi="仿宋" w:cs="仿宋_GB2312" w:hint="eastAsia"/>
          <w:sz w:val="32"/>
          <w:szCs w:val="32"/>
        </w:rPr>
        <w:t>项</w:t>
      </w:r>
      <w:r w:rsidR="0036729C" w:rsidRPr="0044219E">
        <w:rPr>
          <w:rFonts w:ascii="仿宋" w:eastAsia="仿宋" w:hAnsi="仿宋" w:cs="仿宋_GB2312" w:hint="eastAsia"/>
          <w:sz w:val="32"/>
          <w:szCs w:val="32"/>
        </w:rPr>
        <w:t>，</w:t>
      </w:r>
      <w:proofErr w:type="gramStart"/>
      <w:r w:rsidR="0036729C" w:rsidRPr="0044219E">
        <w:rPr>
          <w:rFonts w:ascii="仿宋" w:eastAsia="仿宋" w:hAnsi="仿宋" w:cs="仿宋_GB2312" w:hint="eastAsia"/>
          <w:sz w:val="32"/>
          <w:szCs w:val="32"/>
        </w:rPr>
        <w:t>省工人</w:t>
      </w:r>
      <w:proofErr w:type="gramEnd"/>
      <w:r w:rsidR="0036729C" w:rsidRPr="0044219E">
        <w:rPr>
          <w:rFonts w:ascii="仿宋" w:eastAsia="仿宋" w:hAnsi="仿宋" w:cs="仿宋_GB2312" w:hint="eastAsia"/>
          <w:sz w:val="32"/>
          <w:szCs w:val="32"/>
        </w:rPr>
        <w:t>创新奖1项。</w:t>
      </w:r>
    </w:p>
    <w:p w:rsidR="005E78CA" w:rsidRPr="0044219E" w:rsidRDefault="00941C44" w:rsidP="0044219E">
      <w:pPr>
        <w:spacing w:line="360" w:lineRule="auto"/>
        <w:ind w:firstLineChars="196" w:firstLine="630"/>
        <w:rPr>
          <w:rFonts w:ascii="仿宋" w:eastAsia="仿宋" w:hAnsi="仿宋"/>
          <w:b/>
          <w:sz w:val="32"/>
          <w:szCs w:val="32"/>
        </w:rPr>
      </w:pPr>
      <w:r w:rsidRPr="0044219E">
        <w:rPr>
          <w:rFonts w:ascii="仿宋" w:eastAsia="仿宋" w:hAnsi="仿宋" w:hint="eastAsia"/>
          <w:b/>
          <w:sz w:val="32"/>
          <w:szCs w:val="32"/>
        </w:rPr>
        <w:t>八</w:t>
      </w:r>
      <w:r w:rsidR="005E78CA" w:rsidRPr="0044219E">
        <w:rPr>
          <w:rFonts w:ascii="仿宋" w:eastAsia="仿宋" w:hAnsi="仿宋" w:hint="eastAsia"/>
          <w:b/>
          <w:sz w:val="32"/>
          <w:szCs w:val="32"/>
        </w:rPr>
        <w:t>、教育</w:t>
      </w:r>
      <w:r w:rsidR="00C81764" w:rsidRPr="0044219E">
        <w:rPr>
          <w:rFonts w:ascii="仿宋" w:eastAsia="仿宋" w:hAnsi="仿宋" w:hint="eastAsia"/>
          <w:b/>
          <w:sz w:val="32"/>
          <w:szCs w:val="32"/>
        </w:rPr>
        <w:t>和</w:t>
      </w:r>
      <w:r w:rsidR="005E78CA" w:rsidRPr="0044219E">
        <w:rPr>
          <w:rFonts w:ascii="仿宋" w:eastAsia="仿宋" w:hAnsi="仿宋" w:hint="eastAsia"/>
          <w:b/>
          <w:sz w:val="32"/>
          <w:szCs w:val="32"/>
        </w:rPr>
        <w:t>卫生</w:t>
      </w:r>
    </w:p>
    <w:p w:rsidR="00502118" w:rsidRPr="0044219E" w:rsidRDefault="00274B2C" w:rsidP="0044219E">
      <w:pPr>
        <w:spacing w:line="360" w:lineRule="auto"/>
        <w:ind w:firstLineChars="200" w:firstLine="640"/>
        <w:rPr>
          <w:rFonts w:ascii="仿宋" w:eastAsia="仿宋" w:hAnsi="仿宋"/>
          <w:color w:val="FF0000"/>
          <w:sz w:val="32"/>
          <w:szCs w:val="32"/>
        </w:rPr>
      </w:pPr>
      <w:r w:rsidRPr="0044219E">
        <w:rPr>
          <w:rFonts w:ascii="仿宋" w:eastAsia="仿宋" w:hAnsi="仿宋" w:hint="eastAsia"/>
          <w:sz w:val="32"/>
          <w:szCs w:val="32"/>
        </w:rPr>
        <w:t>全年</w:t>
      </w:r>
      <w:r w:rsidR="009A2B10" w:rsidRPr="0044219E">
        <w:rPr>
          <w:rFonts w:ascii="仿宋" w:eastAsia="仿宋" w:hAnsi="仿宋" w:hint="eastAsia"/>
          <w:sz w:val="32"/>
          <w:szCs w:val="32"/>
        </w:rPr>
        <w:t>有</w:t>
      </w:r>
      <w:r w:rsidR="00502118" w:rsidRPr="0044219E">
        <w:rPr>
          <w:rFonts w:ascii="仿宋" w:eastAsia="仿宋" w:hAnsi="仿宋" w:hint="eastAsia"/>
          <w:sz w:val="32"/>
          <w:szCs w:val="32"/>
        </w:rPr>
        <w:t>幼儿园114所、小学16所、初中7所、九年一贯制学校12所、高中3所</w:t>
      </w:r>
      <w:r w:rsidR="009A2B10" w:rsidRPr="0044219E">
        <w:rPr>
          <w:rFonts w:ascii="仿宋" w:eastAsia="仿宋" w:hAnsi="仿宋" w:hint="eastAsia"/>
          <w:sz w:val="32"/>
          <w:szCs w:val="32"/>
        </w:rPr>
        <w:t>。全年</w:t>
      </w:r>
      <w:r w:rsidR="00502118" w:rsidRPr="0044219E">
        <w:rPr>
          <w:rFonts w:ascii="仿宋" w:eastAsia="仿宋" w:hAnsi="仿宋" w:hint="eastAsia"/>
          <w:sz w:val="32"/>
          <w:szCs w:val="32"/>
        </w:rPr>
        <w:t>教职工6039人，其中</w:t>
      </w:r>
      <w:r w:rsidR="009A2B10" w:rsidRPr="0044219E">
        <w:rPr>
          <w:rFonts w:ascii="仿宋" w:eastAsia="仿宋" w:hAnsi="仿宋" w:hint="eastAsia"/>
          <w:sz w:val="32"/>
          <w:szCs w:val="32"/>
        </w:rPr>
        <w:t>：幼儿园</w:t>
      </w:r>
      <w:r w:rsidR="00502118" w:rsidRPr="0044219E">
        <w:rPr>
          <w:rFonts w:ascii="仿宋" w:eastAsia="仿宋" w:hAnsi="仿宋" w:hint="eastAsia"/>
          <w:sz w:val="32"/>
          <w:szCs w:val="32"/>
        </w:rPr>
        <w:t>教职员工2028</w:t>
      </w:r>
      <w:r w:rsidR="009A2B10" w:rsidRPr="0044219E">
        <w:rPr>
          <w:rFonts w:ascii="仿宋" w:eastAsia="仿宋" w:hAnsi="仿宋" w:hint="eastAsia"/>
          <w:sz w:val="32"/>
          <w:szCs w:val="32"/>
        </w:rPr>
        <w:t>人，小学教职工</w:t>
      </w:r>
      <w:r w:rsidR="00502118" w:rsidRPr="0044219E">
        <w:rPr>
          <w:rFonts w:ascii="仿宋" w:eastAsia="仿宋" w:hAnsi="仿宋" w:hint="eastAsia"/>
          <w:sz w:val="32"/>
          <w:szCs w:val="32"/>
        </w:rPr>
        <w:t>1435</w:t>
      </w:r>
      <w:r w:rsidR="009A2B10" w:rsidRPr="0044219E">
        <w:rPr>
          <w:rFonts w:ascii="仿宋" w:eastAsia="仿宋" w:hAnsi="仿宋" w:hint="eastAsia"/>
          <w:sz w:val="32"/>
          <w:szCs w:val="32"/>
        </w:rPr>
        <w:t>人，初中教职工</w:t>
      </w:r>
      <w:r w:rsidR="00502118" w:rsidRPr="0044219E">
        <w:rPr>
          <w:rFonts w:ascii="仿宋" w:eastAsia="仿宋" w:hAnsi="仿宋" w:hint="eastAsia"/>
          <w:sz w:val="32"/>
          <w:szCs w:val="32"/>
        </w:rPr>
        <w:t>1029</w:t>
      </w:r>
      <w:r w:rsidR="00502118" w:rsidRPr="0044219E">
        <w:rPr>
          <w:rFonts w:ascii="仿宋" w:eastAsia="仿宋" w:hAnsi="仿宋" w:hint="eastAsia"/>
          <w:sz w:val="32"/>
          <w:szCs w:val="32"/>
        </w:rPr>
        <w:lastRenderedPageBreak/>
        <w:t>人，</w:t>
      </w:r>
      <w:r w:rsidR="009A2B10" w:rsidRPr="0044219E">
        <w:rPr>
          <w:rFonts w:ascii="仿宋" w:eastAsia="仿宋" w:hAnsi="仿宋" w:hint="eastAsia"/>
          <w:sz w:val="32"/>
          <w:szCs w:val="32"/>
        </w:rPr>
        <w:t>九年一贯制教职工</w:t>
      </w:r>
      <w:r w:rsidR="00502118" w:rsidRPr="0044219E">
        <w:rPr>
          <w:rFonts w:ascii="仿宋" w:eastAsia="仿宋" w:hAnsi="仿宋" w:hint="eastAsia"/>
          <w:sz w:val="32"/>
          <w:szCs w:val="32"/>
        </w:rPr>
        <w:t>797人，</w:t>
      </w:r>
      <w:r w:rsidR="009A2B10" w:rsidRPr="0044219E">
        <w:rPr>
          <w:rFonts w:ascii="仿宋" w:eastAsia="仿宋" w:hAnsi="仿宋" w:hint="eastAsia"/>
          <w:sz w:val="32"/>
          <w:szCs w:val="32"/>
        </w:rPr>
        <w:t>高中教职工</w:t>
      </w:r>
      <w:r w:rsidR="00502118" w:rsidRPr="0044219E">
        <w:rPr>
          <w:rFonts w:ascii="仿宋" w:eastAsia="仿宋" w:hAnsi="仿宋" w:hint="eastAsia"/>
          <w:sz w:val="32"/>
          <w:szCs w:val="32"/>
        </w:rPr>
        <w:t>626人。</w:t>
      </w:r>
    </w:p>
    <w:p w:rsidR="00502118" w:rsidRPr="0044219E" w:rsidRDefault="009A2B10" w:rsidP="0044219E">
      <w:pPr>
        <w:spacing w:line="360" w:lineRule="auto"/>
        <w:ind w:firstLineChars="200" w:firstLine="640"/>
        <w:rPr>
          <w:rFonts w:ascii="仿宋" w:eastAsia="仿宋" w:hAnsi="仿宋" w:cs="宋体"/>
          <w:sz w:val="32"/>
          <w:szCs w:val="32"/>
        </w:rPr>
      </w:pPr>
      <w:r w:rsidRPr="0044219E">
        <w:rPr>
          <w:rFonts w:ascii="仿宋" w:eastAsia="仿宋" w:hAnsi="仿宋" w:cs="宋体" w:hint="eastAsia"/>
          <w:sz w:val="32"/>
          <w:szCs w:val="32"/>
        </w:rPr>
        <w:t>全年幼儿园入园2146人，在园10248人，离园2747人。普通小学招生3892人，在校生24870人，毕业生3726人。初中招生4032人，在校生11505人，毕业生4274人。高中招生1960人，在校生</w:t>
      </w:r>
      <w:r w:rsidRPr="0044219E">
        <w:rPr>
          <w:rFonts w:ascii="仿宋" w:eastAsia="仿宋" w:hAnsi="仿宋" w:cs="宋体"/>
          <w:sz w:val="32"/>
          <w:szCs w:val="32"/>
        </w:rPr>
        <w:t>6</w:t>
      </w:r>
      <w:r w:rsidRPr="0044219E">
        <w:rPr>
          <w:rFonts w:ascii="仿宋" w:eastAsia="仿宋" w:hAnsi="仿宋" w:cs="宋体" w:hint="eastAsia"/>
          <w:sz w:val="32"/>
          <w:szCs w:val="32"/>
        </w:rPr>
        <w:t>040人，毕业生2127人。</w:t>
      </w:r>
      <w:r w:rsidR="00502118" w:rsidRPr="0044219E">
        <w:rPr>
          <w:rFonts w:ascii="仿宋" w:eastAsia="仿宋" w:hAnsi="仿宋" w:cs="宋体" w:hint="eastAsia"/>
          <w:sz w:val="32"/>
          <w:szCs w:val="32"/>
        </w:rPr>
        <w:t>全区中小学入学率为</w:t>
      </w:r>
      <w:r w:rsidR="00502118" w:rsidRPr="0044219E">
        <w:rPr>
          <w:rFonts w:ascii="仿宋" w:eastAsia="仿宋" w:hAnsi="仿宋" w:cs="宋体"/>
          <w:sz w:val="32"/>
          <w:szCs w:val="32"/>
        </w:rPr>
        <w:t>1</w:t>
      </w:r>
      <w:r w:rsidR="00502118" w:rsidRPr="0044219E">
        <w:rPr>
          <w:rFonts w:ascii="仿宋" w:eastAsia="仿宋" w:hAnsi="仿宋" w:cs="宋体" w:hint="eastAsia"/>
          <w:sz w:val="32"/>
          <w:szCs w:val="32"/>
        </w:rPr>
        <w:t>0</w:t>
      </w:r>
      <w:r w:rsidR="00502118" w:rsidRPr="0044219E">
        <w:rPr>
          <w:rFonts w:ascii="仿宋" w:eastAsia="仿宋" w:hAnsi="仿宋" w:cs="宋体"/>
          <w:sz w:val="32"/>
          <w:szCs w:val="32"/>
        </w:rPr>
        <w:t>0%</w:t>
      </w:r>
      <w:r w:rsidRPr="0044219E">
        <w:rPr>
          <w:rFonts w:ascii="仿宋" w:eastAsia="仿宋" w:hAnsi="仿宋" w:cs="宋体" w:hint="eastAsia"/>
          <w:sz w:val="32"/>
          <w:szCs w:val="32"/>
        </w:rPr>
        <w:t>。</w:t>
      </w:r>
      <w:r w:rsidR="00502118" w:rsidRPr="0044219E">
        <w:rPr>
          <w:rFonts w:ascii="仿宋" w:eastAsia="仿宋" w:hAnsi="仿宋" w:cs="宋体" w:hint="eastAsia"/>
          <w:sz w:val="32"/>
          <w:szCs w:val="32"/>
        </w:rPr>
        <w:t>全区升入高中学生</w:t>
      </w:r>
      <w:r w:rsidR="00502118" w:rsidRPr="0044219E">
        <w:rPr>
          <w:rFonts w:ascii="仿宋" w:eastAsia="仿宋" w:hAnsi="仿宋" w:cs="宋体"/>
          <w:sz w:val="32"/>
          <w:szCs w:val="32"/>
        </w:rPr>
        <w:t>32</w:t>
      </w:r>
      <w:r w:rsidR="00502118" w:rsidRPr="0044219E">
        <w:rPr>
          <w:rFonts w:ascii="仿宋" w:eastAsia="仿宋" w:hAnsi="仿宋" w:cs="宋体" w:hint="eastAsia"/>
          <w:sz w:val="32"/>
          <w:szCs w:val="32"/>
        </w:rPr>
        <w:t>23人，初中升学率为</w:t>
      </w:r>
      <w:r w:rsidR="00502118" w:rsidRPr="0044219E">
        <w:rPr>
          <w:rFonts w:ascii="仿宋" w:eastAsia="仿宋" w:hAnsi="仿宋" w:cs="宋体"/>
          <w:sz w:val="32"/>
          <w:szCs w:val="32"/>
        </w:rPr>
        <w:t>7</w:t>
      </w:r>
      <w:r w:rsidR="00502118" w:rsidRPr="0044219E">
        <w:rPr>
          <w:rFonts w:ascii="仿宋" w:eastAsia="仿宋" w:hAnsi="仿宋" w:cs="宋体" w:hint="eastAsia"/>
          <w:sz w:val="32"/>
          <w:szCs w:val="32"/>
        </w:rPr>
        <w:t>5</w:t>
      </w:r>
      <w:r w:rsidR="00502118" w:rsidRPr="0044219E">
        <w:rPr>
          <w:rFonts w:ascii="仿宋" w:eastAsia="仿宋" w:hAnsi="仿宋" w:cs="宋体"/>
          <w:sz w:val="32"/>
          <w:szCs w:val="32"/>
        </w:rPr>
        <w:t>.</w:t>
      </w:r>
      <w:r w:rsidR="00502118" w:rsidRPr="0044219E">
        <w:rPr>
          <w:rFonts w:ascii="仿宋" w:eastAsia="仿宋" w:hAnsi="仿宋" w:cs="宋体" w:hint="eastAsia"/>
          <w:sz w:val="32"/>
          <w:szCs w:val="32"/>
        </w:rPr>
        <w:t>4</w:t>
      </w:r>
      <w:r w:rsidR="00502118" w:rsidRPr="0044219E">
        <w:rPr>
          <w:rFonts w:ascii="仿宋" w:eastAsia="仿宋" w:hAnsi="仿宋" w:cs="宋体"/>
          <w:sz w:val="32"/>
          <w:szCs w:val="32"/>
        </w:rPr>
        <w:t>%</w:t>
      </w:r>
      <w:r w:rsidR="00502118" w:rsidRPr="0044219E">
        <w:rPr>
          <w:rFonts w:ascii="仿宋" w:eastAsia="仿宋" w:hAnsi="仿宋" w:cs="宋体" w:hint="eastAsia"/>
          <w:sz w:val="32"/>
          <w:szCs w:val="32"/>
        </w:rPr>
        <w:t>。</w:t>
      </w:r>
    </w:p>
    <w:p w:rsidR="009442BF" w:rsidRPr="009442BF" w:rsidRDefault="00FD30E7" w:rsidP="000B12C8">
      <w:pPr>
        <w:widowControl/>
        <w:ind w:firstLineChars="200" w:firstLine="640"/>
        <w:rPr>
          <w:rFonts w:ascii="仿宋" w:eastAsia="仿宋" w:hAnsi="仿宋" w:cs="宋体"/>
          <w:kern w:val="0"/>
          <w:sz w:val="32"/>
          <w:szCs w:val="32"/>
        </w:rPr>
      </w:pPr>
      <w:r>
        <w:rPr>
          <w:rFonts w:ascii="仿宋" w:eastAsia="仿宋" w:hAnsi="仿宋" w:cs="宋体" w:hint="eastAsia"/>
          <w:kern w:val="0"/>
          <w:sz w:val="32"/>
          <w:szCs w:val="32"/>
        </w:rPr>
        <w:t>年末</w:t>
      </w:r>
      <w:r w:rsidR="009442BF" w:rsidRPr="009442BF">
        <w:rPr>
          <w:rFonts w:ascii="仿宋" w:eastAsia="仿宋" w:hAnsi="仿宋" w:cs="宋体"/>
          <w:kern w:val="0"/>
          <w:sz w:val="32"/>
          <w:szCs w:val="32"/>
        </w:rPr>
        <w:t>有各级各类医疗卫生机构共计44</w:t>
      </w:r>
      <w:r w:rsidR="009442BF" w:rsidRPr="009442BF">
        <w:rPr>
          <w:rFonts w:ascii="仿宋" w:eastAsia="仿宋" w:hAnsi="仿宋" w:cs="宋体" w:hint="eastAsia"/>
          <w:kern w:val="0"/>
          <w:sz w:val="32"/>
          <w:szCs w:val="32"/>
        </w:rPr>
        <w:t>6</w:t>
      </w:r>
      <w:r w:rsidR="009442BF" w:rsidRPr="009442BF">
        <w:rPr>
          <w:rFonts w:ascii="仿宋" w:eastAsia="仿宋" w:hAnsi="仿宋" w:cs="宋体"/>
          <w:kern w:val="0"/>
          <w:sz w:val="32"/>
          <w:szCs w:val="32"/>
        </w:rPr>
        <w:t>家，医疗机构44</w:t>
      </w:r>
      <w:r w:rsidR="009442BF" w:rsidRPr="009442BF">
        <w:rPr>
          <w:rFonts w:ascii="仿宋" w:eastAsia="仿宋" w:hAnsi="仿宋" w:cs="宋体" w:hint="eastAsia"/>
          <w:kern w:val="0"/>
          <w:sz w:val="32"/>
          <w:szCs w:val="32"/>
        </w:rPr>
        <w:t>4</w:t>
      </w:r>
      <w:r w:rsidR="009442BF" w:rsidRPr="009442BF">
        <w:rPr>
          <w:rFonts w:ascii="仿宋" w:eastAsia="仿宋" w:hAnsi="仿宋" w:cs="宋体"/>
          <w:kern w:val="0"/>
          <w:sz w:val="32"/>
          <w:szCs w:val="32"/>
        </w:rPr>
        <w:t>家，卫生单位2家。其中</w:t>
      </w:r>
      <w:r w:rsidR="009442BF">
        <w:rPr>
          <w:rFonts w:ascii="仿宋" w:eastAsia="仿宋" w:hAnsi="仿宋" w:cs="宋体" w:hint="eastAsia"/>
          <w:kern w:val="0"/>
          <w:sz w:val="32"/>
          <w:szCs w:val="32"/>
        </w:rPr>
        <w:t>，</w:t>
      </w:r>
      <w:r w:rsidR="009442BF" w:rsidRPr="009442BF">
        <w:rPr>
          <w:rFonts w:ascii="仿宋" w:eastAsia="仿宋" w:hAnsi="仿宋" w:cs="宋体"/>
          <w:kern w:val="0"/>
          <w:sz w:val="32"/>
          <w:szCs w:val="32"/>
        </w:rPr>
        <w:t>医院2</w:t>
      </w:r>
      <w:r w:rsidR="009442BF" w:rsidRPr="009442BF">
        <w:rPr>
          <w:rFonts w:ascii="仿宋" w:eastAsia="仿宋" w:hAnsi="仿宋" w:cs="宋体" w:hint="eastAsia"/>
          <w:kern w:val="0"/>
          <w:sz w:val="32"/>
          <w:szCs w:val="32"/>
        </w:rPr>
        <w:t>6</w:t>
      </w:r>
      <w:r w:rsidR="009442BF" w:rsidRPr="009442BF">
        <w:rPr>
          <w:rFonts w:ascii="仿宋" w:eastAsia="仿宋" w:hAnsi="仿宋" w:cs="宋体"/>
          <w:kern w:val="0"/>
          <w:sz w:val="32"/>
          <w:szCs w:val="32"/>
        </w:rPr>
        <w:t>家、门诊部</w:t>
      </w:r>
      <w:r w:rsidR="009442BF" w:rsidRPr="009442BF">
        <w:rPr>
          <w:rFonts w:ascii="仿宋" w:eastAsia="仿宋" w:hAnsi="仿宋" w:cs="宋体" w:hint="eastAsia"/>
          <w:kern w:val="0"/>
          <w:sz w:val="32"/>
          <w:szCs w:val="32"/>
        </w:rPr>
        <w:t>14</w:t>
      </w:r>
      <w:r w:rsidR="009442BF" w:rsidRPr="009442BF">
        <w:rPr>
          <w:rFonts w:ascii="仿宋" w:eastAsia="仿宋" w:hAnsi="仿宋" w:cs="宋体"/>
          <w:kern w:val="0"/>
          <w:sz w:val="32"/>
          <w:szCs w:val="32"/>
        </w:rPr>
        <w:t>家、社区卫生服务中心17家、社区卫生服务站</w:t>
      </w:r>
      <w:r w:rsidR="009442BF" w:rsidRPr="009442BF">
        <w:rPr>
          <w:rFonts w:ascii="仿宋" w:eastAsia="仿宋" w:hAnsi="仿宋" w:cs="宋体" w:hint="eastAsia"/>
          <w:kern w:val="0"/>
          <w:sz w:val="32"/>
          <w:szCs w:val="32"/>
        </w:rPr>
        <w:t>39</w:t>
      </w:r>
      <w:r w:rsidR="009442BF" w:rsidRPr="009442BF">
        <w:rPr>
          <w:rFonts w:ascii="仿宋" w:eastAsia="仿宋" w:hAnsi="仿宋" w:cs="宋体"/>
          <w:kern w:val="0"/>
          <w:sz w:val="32"/>
          <w:szCs w:val="32"/>
        </w:rPr>
        <w:t>家、村卫生所</w:t>
      </w:r>
      <w:r w:rsidR="009442BF" w:rsidRPr="009442BF">
        <w:rPr>
          <w:rFonts w:ascii="仿宋" w:eastAsia="仿宋" w:hAnsi="仿宋" w:cs="宋体" w:hint="eastAsia"/>
          <w:kern w:val="0"/>
          <w:sz w:val="32"/>
          <w:szCs w:val="32"/>
        </w:rPr>
        <w:t>30</w:t>
      </w:r>
      <w:r w:rsidR="009442BF" w:rsidRPr="009442BF">
        <w:rPr>
          <w:rFonts w:ascii="仿宋" w:eastAsia="仿宋" w:hAnsi="仿宋" w:cs="宋体"/>
          <w:kern w:val="0"/>
          <w:sz w:val="32"/>
          <w:szCs w:val="32"/>
        </w:rPr>
        <w:t>家、个体诊所</w:t>
      </w:r>
      <w:r w:rsidR="009442BF" w:rsidRPr="009442BF">
        <w:rPr>
          <w:rFonts w:ascii="仿宋" w:eastAsia="仿宋" w:hAnsi="仿宋" w:cs="宋体" w:hint="eastAsia"/>
          <w:kern w:val="0"/>
          <w:sz w:val="32"/>
          <w:szCs w:val="32"/>
        </w:rPr>
        <w:t>306</w:t>
      </w:r>
      <w:r w:rsidR="009442BF" w:rsidRPr="009442BF">
        <w:rPr>
          <w:rFonts w:ascii="仿宋" w:eastAsia="仿宋" w:hAnsi="仿宋" w:cs="宋体"/>
          <w:kern w:val="0"/>
          <w:sz w:val="32"/>
          <w:szCs w:val="32"/>
        </w:rPr>
        <w:t>家、企事业卫生所1</w:t>
      </w:r>
      <w:r w:rsidR="009442BF" w:rsidRPr="009442BF">
        <w:rPr>
          <w:rFonts w:ascii="仿宋" w:eastAsia="仿宋" w:hAnsi="仿宋" w:cs="宋体" w:hint="eastAsia"/>
          <w:kern w:val="0"/>
          <w:sz w:val="32"/>
          <w:szCs w:val="32"/>
        </w:rPr>
        <w:t>2</w:t>
      </w:r>
      <w:r w:rsidR="009442BF" w:rsidRPr="009442BF">
        <w:rPr>
          <w:rFonts w:ascii="仿宋" w:eastAsia="仿宋" w:hAnsi="仿宋" w:cs="宋体"/>
          <w:kern w:val="0"/>
          <w:sz w:val="32"/>
          <w:szCs w:val="32"/>
        </w:rPr>
        <w:t>家、卫生监督所1家、疾病预防控制中心1家。卫生技术人员5</w:t>
      </w:r>
      <w:r w:rsidR="009442BF" w:rsidRPr="009442BF">
        <w:rPr>
          <w:rFonts w:ascii="仿宋" w:eastAsia="仿宋" w:hAnsi="仿宋" w:cs="宋体" w:hint="eastAsia"/>
          <w:kern w:val="0"/>
          <w:sz w:val="32"/>
          <w:szCs w:val="32"/>
        </w:rPr>
        <w:t>86</w:t>
      </w:r>
      <w:r w:rsidR="009442BF" w:rsidRPr="009442BF">
        <w:rPr>
          <w:rFonts w:ascii="仿宋" w:eastAsia="仿宋" w:hAnsi="仿宋" w:cs="宋体"/>
          <w:kern w:val="0"/>
          <w:sz w:val="32"/>
          <w:szCs w:val="32"/>
        </w:rPr>
        <w:t>1人，其中高级职称</w:t>
      </w:r>
      <w:r w:rsidR="009442BF" w:rsidRPr="009442BF">
        <w:rPr>
          <w:rFonts w:ascii="仿宋" w:eastAsia="仿宋" w:hAnsi="仿宋" w:cs="宋体" w:hint="eastAsia"/>
          <w:kern w:val="0"/>
          <w:sz w:val="32"/>
          <w:szCs w:val="32"/>
        </w:rPr>
        <w:t>501</w:t>
      </w:r>
      <w:r w:rsidR="009442BF" w:rsidRPr="009442BF">
        <w:rPr>
          <w:rFonts w:ascii="仿宋" w:eastAsia="仿宋" w:hAnsi="仿宋" w:cs="宋体"/>
          <w:kern w:val="0"/>
          <w:sz w:val="32"/>
          <w:szCs w:val="32"/>
        </w:rPr>
        <w:t>人，中级职称20</w:t>
      </w:r>
      <w:r w:rsidR="009442BF" w:rsidRPr="009442BF">
        <w:rPr>
          <w:rFonts w:ascii="仿宋" w:eastAsia="仿宋" w:hAnsi="仿宋" w:cs="宋体" w:hint="eastAsia"/>
          <w:kern w:val="0"/>
          <w:sz w:val="32"/>
          <w:szCs w:val="32"/>
        </w:rPr>
        <w:t>68</w:t>
      </w:r>
      <w:r w:rsidR="009442BF" w:rsidRPr="009442BF">
        <w:rPr>
          <w:rFonts w:ascii="仿宋" w:eastAsia="仿宋" w:hAnsi="仿宋" w:cs="宋体"/>
          <w:kern w:val="0"/>
          <w:sz w:val="32"/>
          <w:szCs w:val="32"/>
        </w:rPr>
        <w:t>人，初级职称2</w:t>
      </w:r>
      <w:r w:rsidR="009442BF" w:rsidRPr="009442BF">
        <w:rPr>
          <w:rFonts w:ascii="仿宋" w:eastAsia="仿宋" w:hAnsi="仿宋" w:cs="宋体" w:hint="eastAsia"/>
          <w:kern w:val="0"/>
          <w:sz w:val="32"/>
          <w:szCs w:val="32"/>
        </w:rPr>
        <w:t>30</w:t>
      </w:r>
      <w:r w:rsidR="009442BF" w:rsidRPr="009442BF">
        <w:rPr>
          <w:rFonts w:ascii="仿宋" w:eastAsia="仿宋" w:hAnsi="仿宋" w:cs="宋体"/>
          <w:kern w:val="0"/>
          <w:sz w:val="32"/>
          <w:szCs w:val="32"/>
        </w:rPr>
        <w:t>7人。</w:t>
      </w:r>
      <w:r>
        <w:rPr>
          <w:rFonts w:ascii="仿宋" w:eastAsia="仿宋" w:hAnsi="仿宋" w:cs="宋体" w:hint="eastAsia"/>
          <w:kern w:val="0"/>
          <w:sz w:val="32"/>
          <w:szCs w:val="32"/>
        </w:rPr>
        <w:t>10</w:t>
      </w:r>
      <w:r w:rsidR="009442BF" w:rsidRPr="009442BF">
        <w:rPr>
          <w:rFonts w:ascii="仿宋" w:eastAsia="仿宋" w:hAnsi="仿宋" w:cs="宋体"/>
          <w:kern w:val="0"/>
          <w:sz w:val="32"/>
          <w:szCs w:val="32"/>
        </w:rPr>
        <w:t>万元以上大型医疗设备5</w:t>
      </w:r>
      <w:r w:rsidR="009442BF" w:rsidRPr="009442BF">
        <w:rPr>
          <w:rFonts w:ascii="仿宋" w:eastAsia="仿宋" w:hAnsi="仿宋" w:cs="宋体" w:hint="eastAsia"/>
          <w:kern w:val="0"/>
          <w:sz w:val="32"/>
          <w:szCs w:val="32"/>
        </w:rPr>
        <w:t>75</w:t>
      </w:r>
      <w:r w:rsidR="009442BF" w:rsidRPr="009442BF">
        <w:rPr>
          <w:rFonts w:ascii="仿宋" w:eastAsia="仿宋" w:hAnsi="仿宋" w:cs="宋体"/>
          <w:kern w:val="0"/>
          <w:sz w:val="32"/>
          <w:szCs w:val="32"/>
        </w:rPr>
        <w:t>台件，50万元以上大型设备1</w:t>
      </w:r>
      <w:r w:rsidR="009442BF" w:rsidRPr="009442BF">
        <w:rPr>
          <w:rFonts w:ascii="仿宋" w:eastAsia="仿宋" w:hAnsi="仿宋" w:cs="宋体" w:hint="eastAsia"/>
          <w:kern w:val="0"/>
          <w:sz w:val="32"/>
          <w:szCs w:val="32"/>
        </w:rPr>
        <w:t>40</w:t>
      </w:r>
      <w:r w:rsidR="009442BF" w:rsidRPr="009442BF">
        <w:rPr>
          <w:rFonts w:ascii="仿宋" w:eastAsia="仿宋" w:hAnsi="仿宋" w:cs="宋体"/>
          <w:kern w:val="0"/>
          <w:sz w:val="32"/>
          <w:szCs w:val="32"/>
        </w:rPr>
        <w:t>台件，100万元以上大型设备7</w:t>
      </w:r>
      <w:r w:rsidR="009442BF" w:rsidRPr="009442BF">
        <w:rPr>
          <w:rFonts w:ascii="仿宋" w:eastAsia="仿宋" w:hAnsi="仿宋" w:cs="宋体" w:hint="eastAsia"/>
          <w:kern w:val="0"/>
          <w:sz w:val="32"/>
          <w:szCs w:val="32"/>
        </w:rPr>
        <w:t>3</w:t>
      </w:r>
      <w:r w:rsidR="009442BF" w:rsidRPr="009442BF">
        <w:rPr>
          <w:rFonts w:ascii="仿宋" w:eastAsia="仿宋" w:hAnsi="仿宋" w:cs="宋体"/>
          <w:kern w:val="0"/>
          <w:sz w:val="32"/>
          <w:szCs w:val="32"/>
        </w:rPr>
        <w:t>台件。</w:t>
      </w:r>
    </w:p>
    <w:p w:rsidR="003E6067" w:rsidRPr="0044219E" w:rsidRDefault="002D440A" w:rsidP="0044219E">
      <w:pPr>
        <w:spacing w:line="360" w:lineRule="auto"/>
        <w:ind w:firstLineChars="200" w:firstLine="643"/>
        <w:rPr>
          <w:rFonts w:ascii="仿宋" w:eastAsia="仿宋" w:hAnsi="仿宋"/>
          <w:b/>
          <w:sz w:val="32"/>
          <w:szCs w:val="32"/>
        </w:rPr>
      </w:pPr>
      <w:r w:rsidRPr="0044219E">
        <w:rPr>
          <w:rFonts w:ascii="仿宋" w:eastAsia="仿宋" w:hAnsi="仿宋" w:hint="eastAsia"/>
          <w:b/>
          <w:sz w:val="32"/>
          <w:szCs w:val="32"/>
        </w:rPr>
        <w:t>九</w:t>
      </w:r>
      <w:r w:rsidR="009265D3">
        <w:rPr>
          <w:rFonts w:ascii="仿宋" w:eastAsia="仿宋" w:hAnsi="仿宋" w:hint="eastAsia"/>
          <w:b/>
          <w:sz w:val="32"/>
          <w:szCs w:val="32"/>
        </w:rPr>
        <w:t>、文化</w:t>
      </w:r>
      <w:r w:rsidR="00935BA3">
        <w:rPr>
          <w:rFonts w:ascii="仿宋" w:eastAsia="仿宋" w:hAnsi="仿宋" w:hint="eastAsia"/>
          <w:b/>
          <w:sz w:val="32"/>
          <w:szCs w:val="32"/>
        </w:rPr>
        <w:t>和</w:t>
      </w:r>
      <w:r w:rsidR="00B57285" w:rsidRPr="0044219E">
        <w:rPr>
          <w:rFonts w:ascii="仿宋" w:eastAsia="仿宋" w:hAnsi="仿宋" w:hint="eastAsia"/>
          <w:b/>
          <w:sz w:val="32"/>
          <w:szCs w:val="32"/>
        </w:rPr>
        <w:t>旅游</w:t>
      </w:r>
    </w:p>
    <w:p w:rsidR="008C3F00" w:rsidRPr="008C3F00" w:rsidRDefault="008C3F00" w:rsidP="00935BA3">
      <w:pPr>
        <w:widowControl/>
        <w:spacing w:line="360" w:lineRule="auto"/>
        <w:ind w:firstLineChars="200" w:firstLine="640"/>
        <w:jc w:val="left"/>
        <w:rPr>
          <w:rFonts w:ascii="仿宋" w:eastAsia="仿宋" w:hAnsi="仿宋"/>
          <w:sz w:val="32"/>
          <w:szCs w:val="32"/>
        </w:rPr>
      </w:pPr>
      <w:r w:rsidRPr="005633E9">
        <w:rPr>
          <w:rFonts w:ascii="仿宋" w:eastAsia="仿宋" w:hAnsi="仿宋" w:hint="eastAsia"/>
          <w:sz w:val="32"/>
          <w:szCs w:val="32"/>
        </w:rPr>
        <w:t>年末有国家文化产业示范基地1个，美术馆1个，</w:t>
      </w:r>
      <w:r w:rsidR="00935BA3" w:rsidRPr="005633E9">
        <w:rPr>
          <w:rFonts w:ascii="仿宋" w:eastAsia="仿宋" w:hAnsi="仿宋" w:hint="eastAsia"/>
          <w:sz w:val="32"/>
          <w:szCs w:val="32"/>
        </w:rPr>
        <w:t>文化馆1个，图书馆1个。非物质文化遗产省级</w:t>
      </w:r>
      <w:r w:rsidR="00935BA3" w:rsidRPr="005633E9">
        <w:rPr>
          <w:rFonts w:eastAsia="仿宋"/>
          <w:bCs/>
          <w:kern w:val="0"/>
          <w:sz w:val="32"/>
          <w:szCs w:val="32"/>
        </w:rPr>
        <w:t>1</w:t>
      </w:r>
      <w:r w:rsidR="00935BA3" w:rsidRPr="005633E9">
        <w:rPr>
          <w:rFonts w:ascii="仿宋" w:eastAsia="仿宋" w:hAnsi="仿宋" w:cs="仿宋" w:hint="eastAsia"/>
          <w:bCs/>
          <w:kern w:val="0"/>
          <w:sz w:val="32"/>
          <w:szCs w:val="32"/>
        </w:rPr>
        <w:t>项、市级</w:t>
      </w:r>
      <w:r w:rsidR="00FF5C54" w:rsidRPr="005633E9">
        <w:rPr>
          <w:rFonts w:eastAsia="仿宋" w:hint="eastAsia"/>
          <w:bCs/>
          <w:kern w:val="0"/>
          <w:sz w:val="32"/>
          <w:szCs w:val="32"/>
        </w:rPr>
        <w:t>4</w:t>
      </w:r>
      <w:r w:rsidR="00935BA3" w:rsidRPr="005633E9">
        <w:rPr>
          <w:rFonts w:ascii="仿宋" w:eastAsia="仿宋" w:hAnsi="仿宋" w:cs="仿宋" w:hint="eastAsia"/>
          <w:bCs/>
          <w:kern w:val="0"/>
          <w:sz w:val="32"/>
          <w:szCs w:val="32"/>
        </w:rPr>
        <w:t>项、区级</w:t>
      </w:r>
      <w:r w:rsidR="00FF5C54" w:rsidRPr="005633E9">
        <w:rPr>
          <w:rFonts w:eastAsia="仿宋" w:hint="eastAsia"/>
          <w:bCs/>
          <w:kern w:val="0"/>
          <w:sz w:val="32"/>
          <w:szCs w:val="32"/>
        </w:rPr>
        <w:t>5</w:t>
      </w:r>
      <w:r w:rsidR="00935BA3" w:rsidRPr="005633E9">
        <w:rPr>
          <w:rFonts w:ascii="仿宋" w:eastAsia="仿宋" w:hAnsi="仿宋" w:cs="仿宋" w:hint="eastAsia"/>
          <w:bCs/>
          <w:kern w:val="0"/>
          <w:sz w:val="32"/>
          <w:szCs w:val="32"/>
        </w:rPr>
        <w:t>项。</w:t>
      </w:r>
    </w:p>
    <w:p w:rsidR="000B3389" w:rsidRPr="0044219E" w:rsidRDefault="000B3389" w:rsidP="0044219E">
      <w:pPr>
        <w:widowControl/>
        <w:spacing w:line="360" w:lineRule="auto"/>
        <w:ind w:firstLineChars="200" w:firstLine="640"/>
        <w:jc w:val="left"/>
        <w:rPr>
          <w:rFonts w:ascii="仿宋" w:eastAsia="仿宋" w:hAnsi="仿宋" w:cs="宋体"/>
          <w:kern w:val="0"/>
          <w:sz w:val="32"/>
          <w:szCs w:val="32"/>
        </w:rPr>
      </w:pPr>
      <w:r w:rsidRPr="0044219E">
        <w:rPr>
          <w:rFonts w:ascii="仿宋" w:eastAsia="仿宋" w:hAnsi="仿宋" w:cs="宋体"/>
          <w:kern w:val="0"/>
          <w:sz w:val="32"/>
          <w:szCs w:val="32"/>
        </w:rPr>
        <w:t>全年接待国内外旅游者791.95万人次。其中，接待国内旅游者788.4万人次，接待入境旅游者3.55万人次。全年旅游总收入67.6亿元。我区现有住宿企业163家，客房</w:t>
      </w:r>
      <w:r w:rsidRPr="0044219E">
        <w:rPr>
          <w:rFonts w:ascii="仿宋" w:eastAsia="仿宋" w:hAnsi="仿宋" w:cs="宋体"/>
          <w:kern w:val="0"/>
          <w:sz w:val="32"/>
          <w:szCs w:val="32"/>
        </w:rPr>
        <w:lastRenderedPageBreak/>
        <w:t>6781间，床位10577张。其中三星级以上酒店6家，床位1700张；高端商务酒店4家，床位数1500张。</w:t>
      </w:r>
    </w:p>
    <w:p w:rsidR="005E78CA" w:rsidRPr="0044219E" w:rsidRDefault="00B55A02" w:rsidP="0044219E">
      <w:pPr>
        <w:spacing w:line="360" w:lineRule="auto"/>
        <w:ind w:firstLineChars="196" w:firstLine="630"/>
        <w:rPr>
          <w:rFonts w:ascii="仿宋" w:eastAsia="仿宋" w:hAnsi="仿宋"/>
          <w:b/>
          <w:sz w:val="32"/>
          <w:szCs w:val="32"/>
        </w:rPr>
      </w:pPr>
      <w:r w:rsidRPr="0044219E">
        <w:rPr>
          <w:rFonts w:ascii="仿宋" w:eastAsia="仿宋" w:hAnsi="仿宋" w:hint="eastAsia"/>
          <w:b/>
          <w:sz w:val="32"/>
          <w:szCs w:val="32"/>
        </w:rPr>
        <w:t>十</w:t>
      </w:r>
      <w:r w:rsidR="005E78CA" w:rsidRPr="0044219E">
        <w:rPr>
          <w:rFonts w:ascii="仿宋" w:eastAsia="仿宋" w:hAnsi="仿宋" w:hint="eastAsia"/>
          <w:b/>
          <w:sz w:val="32"/>
          <w:szCs w:val="32"/>
        </w:rPr>
        <w:t>、人口、人民生活和社会保障</w:t>
      </w:r>
    </w:p>
    <w:p w:rsidR="005E78CA" w:rsidRPr="0044219E" w:rsidRDefault="005E78CA" w:rsidP="0044219E">
      <w:pPr>
        <w:spacing w:line="360" w:lineRule="auto"/>
        <w:ind w:firstLineChars="200" w:firstLine="640"/>
        <w:rPr>
          <w:rFonts w:ascii="仿宋" w:eastAsia="仿宋" w:hAnsi="仿宋"/>
          <w:sz w:val="32"/>
          <w:szCs w:val="32"/>
        </w:rPr>
      </w:pPr>
      <w:r w:rsidRPr="0044219E">
        <w:rPr>
          <w:rFonts w:ascii="仿宋" w:eastAsia="仿宋" w:hAnsi="仿宋" w:hint="eastAsia"/>
          <w:sz w:val="32"/>
          <w:szCs w:val="32"/>
        </w:rPr>
        <w:t>年末全区户籍人口</w:t>
      </w:r>
      <w:r w:rsidR="002034F8" w:rsidRPr="0044219E">
        <w:rPr>
          <w:rFonts w:ascii="仿宋" w:eastAsia="仿宋" w:hAnsi="仿宋" w:hint="eastAsia"/>
          <w:sz w:val="32"/>
          <w:szCs w:val="32"/>
        </w:rPr>
        <w:t>447173</w:t>
      </w:r>
      <w:r w:rsidRPr="0044219E">
        <w:rPr>
          <w:rFonts w:ascii="仿宋" w:eastAsia="仿宋" w:hAnsi="仿宋" w:hint="eastAsia"/>
          <w:sz w:val="32"/>
          <w:szCs w:val="32"/>
        </w:rPr>
        <w:t>人（</w:t>
      </w:r>
      <w:r w:rsidR="000C46BD" w:rsidRPr="0044219E">
        <w:rPr>
          <w:rFonts w:ascii="仿宋" w:eastAsia="仿宋" w:hAnsi="仿宋" w:hint="eastAsia"/>
          <w:sz w:val="32"/>
          <w:szCs w:val="32"/>
        </w:rPr>
        <w:t>见下表</w:t>
      </w:r>
      <w:r w:rsidRPr="0044219E">
        <w:rPr>
          <w:rFonts w:ascii="仿宋" w:eastAsia="仿宋" w:hAnsi="仿宋" w:hint="eastAsia"/>
          <w:sz w:val="32"/>
          <w:szCs w:val="32"/>
        </w:rPr>
        <w:t>）。其中，城镇人口</w:t>
      </w:r>
      <w:r w:rsidR="002034F8" w:rsidRPr="0044219E">
        <w:rPr>
          <w:rFonts w:ascii="仿宋" w:eastAsia="仿宋" w:hAnsi="仿宋" w:hint="eastAsia"/>
          <w:sz w:val="32"/>
          <w:szCs w:val="32"/>
        </w:rPr>
        <w:t>426517</w:t>
      </w:r>
      <w:r w:rsidRPr="0044219E">
        <w:rPr>
          <w:rFonts w:ascii="仿宋" w:eastAsia="仿宋" w:hAnsi="仿宋" w:hint="eastAsia"/>
          <w:sz w:val="32"/>
          <w:szCs w:val="32"/>
        </w:rPr>
        <w:t xml:space="preserve">人，乡村人口 </w:t>
      </w:r>
      <w:r w:rsidR="002034F8" w:rsidRPr="0044219E">
        <w:rPr>
          <w:rFonts w:ascii="仿宋" w:eastAsia="仿宋" w:hAnsi="仿宋" w:hint="eastAsia"/>
          <w:sz w:val="32"/>
          <w:szCs w:val="32"/>
        </w:rPr>
        <w:t>20656</w:t>
      </w:r>
      <w:r w:rsidRPr="0044219E">
        <w:rPr>
          <w:rFonts w:ascii="仿宋" w:eastAsia="仿宋" w:hAnsi="仿宋" w:hint="eastAsia"/>
          <w:sz w:val="32"/>
          <w:szCs w:val="32"/>
        </w:rPr>
        <w:t>人。全年出生人口</w:t>
      </w:r>
      <w:r w:rsidR="002034F8" w:rsidRPr="0044219E">
        <w:rPr>
          <w:rFonts w:ascii="仿宋" w:eastAsia="仿宋" w:hAnsi="仿宋" w:hint="eastAsia"/>
          <w:sz w:val="32"/>
          <w:szCs w:val="32"/>
        </w:rPr>
        <w:t>4472</w:t>
      </w:r>
      <w:r w:rsidRPr="0044219E">
        <w:rPr>
          <w:rFonts w:ascii="仿宋" w:eastAsia="仿宋" w:hAnsi="仿宋" w:hint="eastAsia"/>
          <w:sz w:val="32"/>
          <w:szCs w:val="32"/>
        </w:rPr>
        <w:t>人，出生率</w:t>
      </w:r>
      <w:r w:rsidR="0081144E" w:rsidRPr="0044219E">
        <w:rPr>
          <w:rFonts w:ascii="仿宋" w:eastAsia="仿宋" w:hAnsi="仿宋" w:hint="eastAsia"/>
          <w:sz w:val="32"/>
          <w:szCs w:val="32"/>
        </w:rPr>
        <w:t>10</w:t>
      </w:r>
      <w:r w:rsidRPr="0044219E">
        <w:rPr>
          <w:rFonts w:ascii="仿宋" w:eastAsia="仿宋" w:hAnsi="仿宋" w:hint="eastAsia"/>
          <w:sz w:val="32"/>
          <w:szCs w:val="32"/>
        </w:rPr>
        <w:t>‰；死亡人口</w:t>
      </w:r>
      <w:r w:rsidR="0081144E" w:rsidRPr="0044219E">
        <w:rPr>
          <w:rFonts w:ascii="仿宋" w:eastAsia="仿宋" w:hAnsi="仿宋" w:hint="eastAsia"/>
          <w:sz w:val="32"/>
          <w:szCs w:val="32"/>
        </w:rPr>
        <w:t>6118</w:t>
      </w:r>
      <w:r w:rsidRPr="0044219E">
        <w:rPr>
          <w:rFonts w:ascii="仿宋" w:eastAsia="仿宋" w:hAnsi="仿宋" w:hint="eastAsia"/>
          <w:sz w:val="32"/>
          <w:szCs w:val="32"/>
        </w:rPr>
        <w:t>人，死亡率</w:t>
      </w:r>
      <w:r w:rsidR="0081144E" w:rsidRPr="0044219E">
        <w:rPr>
          <w:rFonts w:ascii="仿宋" w:eastAsia="仿宋" w:hAnsi="仿宋" w:hint="eastAsia"/>
          <w:sz w:val="32"/>
          <w:szCs w:val="32"/>
        </w:rPr>
        <w:t>13.7</w:t>
      </w:r>
      <w:r w:rsidR="004850E7" w:rsidRPr="0044219E">
        <w:rPr>
          <w:rFonts w:ascii="仿宋" w:eastAsia="仿宋" w:hAnsi="仿宋" w:hint="eastAsia"/>
          <w:sz w:val="32"/>
          <w:szCs w:val="32"/>
        </w:rPr>
        <w:t>‰，人口自然增长率-1.9‰。</w:t>
      </w:r>
    </w:p>
    <w:p w:rsidR="00D32FF6" w:rsidRPr="0044219E" w:rsidRDefault="00D32FF6" w:rsidP="004850E7">
      <w:pPr>
        <w:rPr>
          <w:rFonts w:ascii="仿宋" w:eastAsia="仿宋" w:hAnsi="仿宋"/>
          <w:b/>
          <w:sz w:val="32"/>
          <w:szCs w:val="32"/>
        </w:rPr>
      </w:pPr>
    </w:p>
    <w:p w:rsidR="00671C3A" w:rsidRPr="00EE48D0" w:rsidRDefault="00671C3A" w:rsidP="00671C3A">
      <w:pPr>
        <w:jc w:val="center"/>
        <w:rPr>
          <w:rFonts w:ascii="宋体" w:hAnsi="宋体"/>
          <w:b/>
          <w:sz w:val="24"/>
          <w:szCs w:val="24"/>
        </w:rPr>
      </w:pPr>
      <w:r w:rsidRPr="00EE48D0">
        <w:rPr>
          <w:rFonts w:ascii="宋体" w:hAnsi="宋体"/>
          <w:b/>
          <w:sz w:val="24"/>
          <w:szCs w:val="24"/>
        </w:rPr>
        <w:t>201</w:t>
      </w:r>
      <w:r w:rsidR="00371693">
        <w:rPr>
          <w:rFonts w:ascii="宋体" w:hAnsi="宋体" w:hint="eastAsia"/>
          <w:b/>
          <w:sz w:val="24"/>
          <w:szCs w:val="24"/>
        </w:rPr>
        <w:t>7</w:t>
      </w:r>
      <w:r w:rsidRPr="00EE48D0">
        <w:rPr>
          <w:rFonts w:ascii="宋体" w:hAnsi="宋体" w:hint="eastAsia"/>
          <w:b/>
          <w:sz w:val="24"/>
          <w:szCs w:val="24"/>
        </w:rPr>
        <w:t>年户籍人口数及构成</w:t>
      </w:r>
    </w:p>
    <w:p w:rsidR="00671C3A" w:rsidRPr="00EE48D0" w:rsidRDefault="00671C3A" w:rsidP="00FA5133">
      <w:pPr>
        <w:ind w:firstLineChars="2450" w:firstLine="5880"/>
        <w:jc w:val="right"/>
        <w:rPr>
          <w:rFonts w:ascii="宋体" w:hAnsi="宋体"/>
          <w:sz w:val="24"/>
          <w:szCs w:val="24"/>
        </w:rPr>
      </w:pPr>
    </w:p>
    <w:tbl>
      <w:tblPr>
        <w:tblW w:w="8040" w:type="dxa"/>
        <w:tblInd w:w="93" w:type="dxa"/>
        <w:tblLook w:val="04A0"/>
      </w:tblPr>
      <w:tblGrid>
        <w:gridCol w:w="2200"/>
        <w:gridCol w:w="2920"/>
        <w:gridCol w:w="2920"/>
      </w:tblGrid>
      <w:tr w:rsidR="00FA5133" w:rsidRPr="00EE48D0" w:rsidTr="00FA5133">
        <w:trPr>
          <w:trHeight w:val="570"/>
        </w:trPr>
        <w:tc>
          <w:tcPr>
            <w:tcW w:w="2200" w:type="dxa"/>
            <w:tcBorders>
              <w:top w:val="nil"/>
              <w:left w:val="nil"/>
              <w:bottom w:val="nil"/>
              <w:right w:val="nil"/>
            </w:tcBorders>
            <w:shd w:val="clear" w:color="auto" w:fill="auto"/>
            <w:noWrap/>
            <w:vAlign w:val="center"/>
            <w:hideMark/>
          </w:tcPr>
          <w:p w:rsidR="00FA5133" w:rsidRPr="00EE48D0" w:rsidRDefault="00FA5133" w:rsidP="00FA5133">
            <w:pPr>
              <w:widowControl/>
              <w:jc w:val="left"/>
              <w:rPr>
                <w:rFonts w:ascii="宋体" w:hAnsi="宋体" w:cs="宋体"/>
                <w:kern w:val="0"/>
                <w:sz w:val="22"/>
                <w:szCs w:val="22"/>
              </w:rPr>
            </w:pPr>
          </w:p>
        </w:tc>
        <w:tc>
          <w:tcPr>
            <w:tcW w:w="2920" w:type="dxa"/>
            <w:tcBorders>
              <w:top w:val="nil"/>
              <w:left w:val="nil"/>
              <w:bottom w:val="nil"/>
              <w:right w:val="nil"/>
            </w:tcBorders>
            <w:shd w:val="clear" w:color="auto" w:fill="auto"/>
            <w:noWrap/>
            <w:vAlign w:val="center"/>
            <w:hideMark/>
          </w:tcPr>
          <w:p w:rsidR="00FA5133" w:rsidRPr="00EE48D0" w:rsidRDefault="00FA5133" w:rsidP="00FA5133">
            <w:pPr>
              <w:widowControl/>
              <w:jc w:val="left"/>
              <w:rPr>
                <w:rFonts w:ascii="宋体" w:hAnsi="宋体" w:cs="宋体"/>
                <w:kern w:val="0"/>
                <w:sz w:val="22"/>
                <w:szCs w:val="22"/>
              </w:rPr>
            </w:pPr>
          </w:p>
        </w:tc>
        <w:tc>
          <w:tcPr>
            <w:tcW w:w="2920" w:type="dxa"/>
            <w:tcBorders>
              <w:top w:val="nil"/>
              <w:left w:val="nil"/>
              <w:bottom w:val="nil"/>
              <w:right w:val="nil"/>
            </w:tcBorders>
            <w:shd w:val="clear" w:color="auto" w:fill="auto"/>
            <w:noWrap/>
            <w:vAlign w:val="center"/>
            <w:hideMark/>
          </w:tcPr>
          <w:p w:rsidR="00FA5133" w:rsidRPr="00EE48D0" w:rsidRDefault="00FA5133" w:rsidP="00FA5133">
            <w:pPr>
              <w:widowControl/>
              <w:jc w:val="right"/>
              <w:rPr>
                <w:rFonts w:ascii="宋体" w:hAnsi="宋体" w:cs="宋体"/>
                <w:kern w:val="0"/>
                <w:sz w:val="22"/>
                <w:szCs w:val="22"/>
              </w:rPr>
            </w:pPr>
            <w:r w:rsidRPr="00EE48D0">
              <w:rPr>
                <w:rFonts w:ascii="宋体" w:hAnsi="宋体" w:cs="宋体" w:hint="eastAsia"/>
                <w:kern w:val="0"/>
                <w:sz w:val="22"/>
                <w:szCs w:val="22"/>
              </w:rPr>
              <w:t>单位：万人</w:t>
            </w:r>
          </w:p>
        </w:tc>
      </w:tr>
      <w:tr w:rsidR="00FA5133" w:rsidRPr="00EE48D0" w:rsidTr="00FA5133">
        <w:trPr>
          <w:trHeight w:val="300"/>
        </w:trPr>
        <w:tc>
          <w:tcPr>
            <w:tcW w:w="2200" w:type="dxa"/>
            <w:tcBorders>
              <w:top w:val="single" w:sz="8" w:space="0" w:color="auto"/>
              <w:left w:val="nil"/>
              <w:bottom w:val="single" w:sz="8" w:space="0" w:color="auto"/>
              <w:right w:val="single" w:sz="8" w:space="0" w:color="auto"/>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 xml:space="preserve">　</w:t>
            </w:r>
          </w:p>
        </w:tc>
        <w:tc>
          <w:tcPr>
            <w:tcW w:w="2920" w:type="dxa"/>
            <w:tcBorders>
              <w:top w:val="single" w:sz="8" w:space="0" w:color="auto"/>
              <w:left w:val="nil"/>
              <w:bottom w:val="single" w:sz="8" w:space="0" w:color="auto"/>
              <w:right w:val="single" w:sz="8" w:space="0" w:color="auto"/>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年末数</w:t>
            </w:r>
          </w:p>
        </w:tc>
        <w:tc>
          <w:tcPr>
            <w:tcW w:w="2920" w:type="dxa"/>
            <w:tcBorders>
              <w:top w:val="single" w:sz="8" w:space="0" w:color="auto"/>
              <w:left w:val="nil"/>
              <w:bottom w:val="single" w:sz="8" w:space="0" w:color="auto"/>
              <w:right w:val="nil"/>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比重（%）</w:t>
            </w:r>
          </w:p>
        </w:tc>
      </w:tr>
      <w:tr w:rsidR="00FA5133" w:rsidRPr="00EE48D0" w:rsidTr="00FA5133">
        <w:trPr>
          <w:trHeight w:val="360"/>
        </w:trPr>
        <w:tc>
          <w:tcPr>
            <w:tcW w:w="2200" w:type="dxa"/>
            <w:tcBorders>
              <w:top w:val="nil"/>
              <w:left w:val="nil"/>
              <w:bottom w:val="nil"/>
              <w:right w:val="nil"/>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全区总人口</w:t>
            </w:r>
          </w:p>
        </w:tc>
        <w:tc>
          <w:tcPr>
            <w:tcW w:w="2920" w:type="dxa"/>
            <w:tcBorders>
              <w:top w:val="nil"/>
              <w:left w:val="single" w:sz="8" w:space="0" w:color="auto"/>
              <w:bottom w:val="nil"/>
              <w:right w:val="single" w:sz="8" w:space="0" w:color="auto"/>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44.</w:t>
            </w:r>
            <w:r w:rsidR="00371693">
              <w:rPr>
                <w:rFonts w:ascii="宋体" w:hAnsi="宋体" w:cs="宋体" w:hint="eastAsia"/>
                <w:kern w:val="0"/>
                <w:sz w:val="24"/>
                <w:szCs w:val="24"/>
              </w:rPr>
              <w:t>7</w:t>
            </w:r>
          </w:p>
        </w:tc>
        <w:tc>
          <w:tcPr>
            <w:tcW w:w="2920" w:type="dxa"/>
            <w:tcBorders>
              <w:top w:val="nil"/>
              <w:left w:val="nil"/>
              <w:bottom w:val="nil"/>
              <w:right w:val="nil"/>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100</w:t>
            </w:r>
          </w:p>
        </w:tc>
      </w:tr>
      <w:tr w:rsidR="00FA5133" w:rsidRPr="00EE48D0" w:rsidTr="00FA5133">
        <w:trPr>
          <w:trHeight w:val="360"/>
        </w:trPr>
        <w:tc>
          <w:tcPr>
            <w:tcW w:w="2200" w:type="dxa"/>
            <w:tcBorders>
              <w:top w:val="nil"/>
              <w:left w:val="nil"/>
              <w:bottom w:val="nil"/>
              <w:right w:val="nil"/>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城镇</w:t>
            </w:r>
          </w:p>
        </w:tc>
        <w:tc>
          <w:tcPr>
            <w:tcW w:w="2920" w:type="dxa"/>
            <w:tcBorders>
              <w:top w:val="nil"/>
              <w:left w:val="single" w:sz="8" w:space="0" w:color="auto"/>
              <w:bottom w:val="nil"/>
              <w:right w:val="single" w:sz="8" w:space="0" w:color="auto"/>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42.</w:t>
            </w:r>
            <w:r w:rsidR="006C7077" w:rsidRPr="00EE48D0">
              <w:rPr>
                <w:rFonts w:ascii="宋体" w:hAnsi="宋体" w:cs="宋体" w:hint="eastAsia"/>
                <w:kern w:val="0"/>
                <w:sz w:val="24"/>
                <w:szCs w:val="24"/>
              </w:rPr>
              <w:t>6</w:t>
            </w:r>
          </w:p>
        </w:tc>
        <w:tc>
          <w:tcPr>
            <w:tcW w:w="2920" w:type="dxa"/>
            <w:tcBorders>
              <w:top w:val="nil"/>
              <w:left w:val="nil"/>
              <w:bottom w:val="nil"/>
              <w:right w:val="nil"/>
            </w:tcBorders>
            <w:shd w:val="clear" w:color="auto" w:fill="auto"/>
            <w:vAlign w:val="center"/>
            <w:hideMark/>
          </w:tcPr>
          <w:p w:rsidR="00FA5133" w:rsidRPr="00EE48D0" w:rsidRDefault="00FA5133" w:rsidP="00597DA9">
            <w:pPr>
              <w:widowControl/>
              <w:jc w:val="center"/>
              <w:rPr>
                <w:rFonts w:ascii="宋体" w:hAnsi="宋体" w:cs="宋体"/>
                <w:kern w:val="0"/>
                <w:sz w:val="24"/>
                <w:szCs w:val="24"/>
              </w:rPr>
            </w:pPr>
            <w:r w:rsidRPr="00EE48D0">
              <w:rPr>
                <w:rFonts w:ascii="宋体" w:hAnsi="宋体" w:cs="宋体" w:hint="eastAsia"/>
                <w:kern w:val="0"/>
                <w:sz w:val="24"/>
                <w:szCs w:val="24"/>
              </w:rPr>
              <w:t>95.</w:t>
            </w:r>
            <w:r w:rsidR="00597DA9">
              <w:rPr>
                <w:rFonts w:ascii="宋体" w:hAnsi="宋体" w:cs="宋体" w:hint="eastAsia"/>
                <w:kern w:val="0"/>
                <w:sz w:val="24"/>
                <w:szCs w:val="24"/>
              </w:rPr>
              <w:t>4</w:t>
            </w:r>
          </w:p>
        </w:tc>
      </w:tr>
      <w:tr w:rsidR="00FA5133" w:rsidRPr="00EE48D0" w:rsidTr="00FA5133">
        <w:trPr>
          <w:trHeight w:val="360"/>
        </w:trPr>
        <w:tc>
          <w:tcPr>
            <w:tcW w:w="2200" w:type="dxa"/>
            <w:tcBorders>
              <w:top w:val="nil"/>
              <w:left w:val="nil"/>
              <w:bottom w:val="nil"/>
              <w:right w:val="nil"/>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乡村</w:t>
            </w:r>
          </w:p>
        </w:tc>
        <w:tc>
          <w:tcPr>
            <w:tcW w:w="2920" w:type="dxa"/>
            <w:tcBorders>
              <w:top w:val="nil"/>
              <w:left w:val="single" w:sz="8" w:space="0" w:color="auto"/>
              <w:bottom w:val="nil"/>
              <w:right w:val="single" w:sz="8" w:space="0" w:color="auto"/>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2.</w:t>
            </w:r>
            <w:r w:rsidR="00597DA9">
              <w:rPr>
                <w:rFonts w:ascii="宋体" w:hAnsi="宋体" w:cs="宋体" w:hint="eastAsia"/>
                <w:kern w:val="0"/>
                <w:sz w:val="24"/>
                <w:szCs w:val="24"/>
              </w:rPr>
              <w:t>1</w:t>
            </w:r>
          </w:p>
        </w:tc>
        <w:tc>
          <w:tcPr>
            <w:tcW w:w="2920" w:type="dxa"/>
            <w:tcBorders>
              <w:top w:val="nil"/>
              <w:left w:val="nil"/>
              <w:bottom w:val="nil"/>
              <w:right w:val="nil"/>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4</w:t>
            </w:r>
            <w:r w:rsidR="00AA0A48" w:rsidRPr="00EE48D0">
              <w:rPr>
                <w:rFonts w:ascii="宋体" w:hAnsi="宋体" w:cs="宋体" w:hint="eastAsia"/>
                <w:kern w:val="0"/>
                <w:sz w:val="24"/>
                <w:szCs w:val="24"/>
              </w:rPr>
              <w:t>.</w:t>
            </w:r>
            <w:r w:rsidR="00597DA9">
              <w:rPr>
                <w:rFonts w:ascii="宋体" w:hAnsi="宋体" w:cs="宋体" w:hint="eastAsia"/>
                <w:kern w:val="0"/>
                <w:sz w:val="24"/>
                <w:szCs w:val="24"/>
              </w:rPr>
              <w:t>6</w:t>
            </w:r>
          </w:p>
        </w:tc>
      </w:tr>
      <w:tr w:rsidR="00FA5133" w:rsidRPr="00EE48D0" w:rsidTr="00FA5133">
        <w:trPr>
          <w:trHeight w:val="360"/>
        </w:trPr>
        <w:tc>
          <w:tcPr>
            <w:tcW w:w="2200" w:type="dxa"/>
            <w:tcBorders>
              <w:top w:val="nil"/>
              <w:left w:val="nil"/>
              <w:bottom w:val="nil"/>
              <w:right w:val="nil"/>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其中：男性</w:t>
            </w:r>
          </w:p>
        </w:tc>
        <w:tc>
          <w:tcPr>
            <w:tcW w:w="2920" w:type="dxa"/>
            <w:tcBorders>
              <w:top w:val="nil"/>
              <w:left w:val="single" w:sz="8" w:space="0" w:color="auto"/>
              <w:bottom w:val="nil"/>
              <w:right w:val="single" w:sz="8" w:space="0" w:color="auto"/>
            </w:tcBorders>
            <w:shd w:val="clear" w:color="auto" w:fill="auto"/>
            <w:vAlign w:val="center"/>
            <w:hideMark/>
          </w:tcPr>
          <w:p w:rsidR="00FA5133" w:rsidRPr="00EE48D0" w:rsidRDefault="00597DA9" w:rsidP="00FA5133">
            <w:pPr>
              <w:widowControl/>
              <w:jc w:val="center"/>
              <w:rPr>
                <w:rFonts w:ascii="宋体" w:hAnsi="宋体" w:cs="宋体"/>
                <w:kern w:val="0"/>
                <w:sz w:val="24"/>
                <w:szCs w:val="24"/>
              </w:rPr>
            </w:pPr>
            <w:r>
              <w:rPr>
                <w:rFonts w:ascii="宋体" w:hAnsi="宋体" w:cs="宋体" w:hint="eastAsia"/>
                <w:kern w:val="0"/>
                <w:sz w:val="24"/>
                <w:szCs w:val="24"/>
              </w:rPr>
              <w:t>22.4</w:t>
            </w:r>
          </w:p>
        </w:tc>
        <w:tc>
          <w:tcPr>
            <w:tcW w:w="2920" w:type="dxa"/>
            <w:tcBorders>
              <w:top w:val="nil"/>
              <w:left w:val="nil"/>
              <w:bottom w:val="nil"/>
              <w:right w:val="nil"/>
            </w:tcBorders>
            <w:shd w:val="clear" w:color="auto" w:fill="auto"/>
            <w:vAlign w:val="center"/>
            <w:hideMark/>
          </w:tcPr>
          <w:p w:rsidR="00FA5133" w:rsidRPr="00EE48D0" w:rsidRDefault="00FA5133" w:rsidP="00597DA9">
            <w:pPr>
              <w:widowControl/>
              <w:jc w:val="center"/>
              <w:rPr>
                <w:rFonts w:ascii="宋体" w:hAnsi="宋体" w:cs="宋体"/>
                <w:kern w:val="0"/>
                <w:sz w:val="24"/>
                <w:szCs w:val="24"/>
              </w:rPr>
            </w:pPr>
            <w:r w:rsidRPr="00EE48D0">
              <w:rPr>
                <w:rFonts w:ascii="宋体" w:hAnsi="宋体" w:cs="宋体" w:hint="eastAsia"/>
                <w:kern w:val="0"/>
                <w:sz w:val="24"/>
                <w:szCs w:val="24"/>
              </w:rPr>
              <w:t>50.</w:t>
            </w:r>
            <w:r w:rsidR="00597DA9">
              <w:rPr>
                <w:rFonts w:ascii="宋体" w:hAnsi="宋体" w:cs="宋体" w:hint="eastAsia"/>
                <w:kern w:val="0"/>
                <w:sz w:val="24"/>
                <w:szCs w:val="24"/>
              </w:rPr>
              <w:t>1</w:t>
            </w:r>
          </w:p>
        </w:tc>
      </w:tr>
      <w:tr w:rsidR="00FA5133" w:rsidRPr="00EE48D0" w:rsidTr="00FA5133">
        <w:trPr>
          <w:trHeight w:val="360"/>
        </w:trPr>
        <w:tc>
          <w:tcPr>
            <w:tcW w:w="2200" w:type="dxa"/>
            <w:tcBorders>
              <w:top w:val="nil"/>
              <w:left w:val="nil"/>
              <w:bottom w:val="nil"/>
              <w:right w:val="nil"/>
            </w:tcBorders>
            <w:shd w:val="clear" w:color="auto" w:fill="auto"/>
            <w:vAlign w:val="center"/>
            <w:hideMark/>
          </w:tcPr>
          <w:p w:rsidR="00FA5133" w:rsidRPr="00EE48D0" w:rsidRDefault="00FA5133" w:rsidP="00597DA9">
            <w:pPr>
              <w:widowControl/>
              <w:ind w:firstLineChars="300" w:firstLine="720"/>
              <w:rPr>
                <w:rFonts w:ascii="宋体" w:hAnsi="宋体" w:cs="宋体"/>
                <w:kern w:val="0"/>
                <w:sz w:val="24"/>
                <w:szCs w:val="24"/>
              </w:rPr>
            </w:pPr>
            <w:r w:rsidRPr="00EE48D0">
              <w:rPr>
                <w:rFonts w:ascii="宋体" w:hAnsi="宋体" w:cs="宋体" w:hint="eastAsia"/>
                <w:kern w:val="0"/>
                <w:sz w:val="24"/>
                <w:szCs w:val="24"/>
              </w:rPr>
              <w:t>女性</w:t>
            </w:r>
          </w:p>
        </w:tc>
        <w:tc>
          <w:tcPr>
            <w:tcW w:w="2920" w:type="dxa"/>
            <w:tcBorders>
              <w:top w:val="nil"/>
              <w:left w:val="single" w:sz="8" w:space="0" w:color="auto"/>
              <w:bottom w:val="nil"/>
              <w:right w:val="single" w:sz="8" w:space="0" w:color="auto"/>
            </w:tcBorders>
            <w:shd w:val="clear" w:color="auto" w:fill="auto"/>
            <w:vAlign w:val="center"/>
            <w:hideMark/>
          </w:tcPr>
          <w:p w:rsidR="00FA5133" w:rsidRPr="00EE48D0" w:rsidRDefault="00597DA9" w:rsidP="00FA5133">
            <w:pPr>
              <w:widowControl/>
              <w:jc w:val="center"/>
              <w:rPr>
                <w:rFonts w:ascii="宋体" w:hAnsi="宋体" w:cs="宋体"/>
                <w:kern w:val="0"/>
                <w:sz w:val="24"/>
                <w:szCs w:val="24"/>
              </w:rPr>
            </w:pPr>
            <w:r>
              <w:rPr>
                <w:rFonts w:ascii="宋体" w:hAnsi="宋体" w:cs="宋体" w:hint="eastAsia"/>
                <w:kern w:val="0"/>
                <w:sz w:val="24"/>
                <w:szCs w:val="24"/>
              </w:rPr>
              <w:t>22.3</w:t>
            </w:r>
          </w:p>
        </w:tc>
        <w:tc>
          <w:tcPr>
            <w:tcW w:w="2920" w:type="dxa"/>
            <w:tcBorders>
              <w:top w:val="nil"/>
              <w:left w:val="nil"/>
              <w:bottom w:val="nil"/>
              <w:right w:val="nil"/>
            </w:tcBorders>
            <w:shd w:val="clear" w:color="auto" w:fill="auto"/>
            <w:vAlign w:val="center"/>
            <w:hideMark/>
          </w:tcPr>
          <w:p w:rsidR="00FA5133" w:rsidRPr="00EE48D0" w:rsidRDefault="00FA5133" w:rsidP="00597DA9">
            <w:pPr>
              <w:widowControl/>
              <w:jc w:val="center"/>
              <w:rPr>
                <w:rFonts w:ascii="宋体" w:hAnsi="宋体" w:cs="宋体"/>
                <w:kern w:val="0"/>
                <w:sz w:val="24"/>
                <w:szCs w:val="24"/>
              </w:rPr>
            </w:pPr>
            <w:r w:rsidRPr="00EE48D0">
              <w:rPr>
                <w:rFonts w:ascii="宋体" w:hAnsi="宋体" w:cs="宋体" w:hint="eastAsia"/>
                <w:kern w:val="0"/>
                <w:sz w:val="24"/>
                <w:szCs w:val="24"/>
              </w:rPr>
              <w:t>49.</w:t>
            </w:r>
            <w:r w:rsidR="00597DA9">
              <w:rPr>
                <w:rFonts w:ascii="宋体" w:hAnsi="宋体" w:cs="宋体" w:hint="eastAsia"/>
                <w:kern w:val="0"/>
                <w:sz w:val="24"/>
                <w:szCs w:val="24"/>
              </w:rPr>
              <w:t>9</w:t>
            </w:r>
          </w:p>
        </w:tc>
      </w:tr>
      <w:tr w:rsidR="00FA5133" w:rsidRPr="00EE48D0" w:rsidTr="00FA5133">
        <w:trPr>
          <w:trHeight w:val="360"/>
        </w:trPr>
        <w:tc>
          <w:tcPr>
            <w:tcW w:w="2200" w:type="dxa"/>
            <w:tcBorders>
              <w:top w:val="nil"/>
              <w:left w:val="nil"/>
              <w:bottom w:val="nil"/>
              <w:right w:val="nil"/>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其中：0-17岁</w:t>
            </w:r>
          </w:p>
        </w:tc>
        <w:tc>
          <w:tcPr>
            <w:tcW w:w="2920" w:type="dxa"/>
            <w:tcBorders>
              <w:top w:val="nil"/>
              <w:left w:val="single" w:sz="8" w:space="0" w:color="auto"/>
              <w:bottom w:val="nil"/>
              <w:right w:val="single" w:sz="8" w:space="0" w:color="auto"/>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6.</w:t>
            </w:r>
            <w:r w:rsidR="00AD3541">
              <w:rPr>
                <w:rFonts w:ascii="宋体" w:hAnsi="宋体" w:cs="宋体" w:hint="eastAsia"/>
                <w:kern w:val="0"/>
                <w:sz w:val="24"/>
                <w:szCs w:val="24"/>
              </w:rPr>
              <w:t>4</w:t>
            </w:r>
          </w:p>
        </w:tc>
        <w:tc>
          <w:tcPr>
            <w:tcW w:w="2920" w:type="dxa"/>
            <w:tcBorders>
              <w:top w:val="nil"/>
              <w:left w:val="nil"/>
              <w:bottom w:val="nil"/>
              <w:right w:val="nil"/>
            </w:tcBorders>
            <w:shd w:val="clear" w:color="auto" w:fill="auto"/>
            <w:vAlign w:val="center"/>
            <w:hideMark/>
          </w:tcPr>
          <w:p w:rsidR="00FA5133" w:rsidRPr="00EE48D0" w:rsidRDefault="00FA5133" w:rsidP="00FA5133">
            <w:pPr>
              <w:widowControl/>
              <w:jc w:val="center"/>
              <w:rPr>
                <w:rFonts w:ascii="宋体" w:hAnsi="宋体" w:cs="宋体"/>
                <w:kern w:val="0"/>
                <w:sz w:val="24"/>
                <w:szCs w:val="24"/>
              </w:rPr>
            </w:pPr>
            <w:r w:rsidRPr="00EE48D0">
              <w:rPr>
                <w:rFonts w:ascii="宋体" w:hAnsi="宋体" w:cs="宋体" w:hint="eastAsia"/>
                <w:kern w:val="0"/>
                <w:sz w:val="24"/>
                <w:szCs w:val="24"/>
              </w:rPr>
              <w:t>14.</w:t>
            </w:r>
            <w:r w:rsidR="00AD3541">
              <w:rPr>
                <w:rFonts w:ascii="宋体" w:hAnsi="宋体" w:cs="宋体" w:hint="eastAsia"/>
                <w:kern w:val="0"/>
                <w:sz w:val="24"/>
                <w:szCs w:val="24"/>
              </w:rPr>
              <w:t>3</w:t>
            </w:r>
          </w:p>
        </w:tc>
      </w:tr>
      <w:tr w:rsidR="00FA5133" w:rsidRPr="00EE48D0" w:rsidTr="00FA5133">
        <w:trPr>
          <w:trHeight w:val="360"/>
        </w:trPr>
        <w:tc>
          <w:tcPr>
            <w:tcW w:w="2200" w:type="dxa"/>
            <w:tcBorders>
              <w:top w:val="nil"/>
              <w:left w:val="nil"/>
              <w:bottom w:val="nil"/>
              <w:right w:val="nil"/>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 xml:space="preserve">      18-34岁</w:t>
            </w:r>
          </w:p>
        </w:tc>
        <w:tc>
          <w:tcPr>
            <w:tcW w:w="2920" w:type="dxa"/>
            <w:tcBorders>
              <w:top w:val="nil"/>
              <w:left w:val="single" w:sz="8" w:space="0" w:color="auto"/>
              <w:bottom w:val="nil"/>
              <w:right w:val="single" w:sz="8" w:space="0" w:color="auto"/>
            </w:tcBorders>
            <w:shd w:val="clear" w:color="auto" w:fill="auto"/>
            <w:vAlign w:val="center"/>
            <w:hideMark/>
          </w:tcPr>
          <w:p w:rsidR="00FA5133" w:rsidRPr="00EE48D0" w:rsidRDefault="00AD3541" w:rsidP="00FA5133">
            <w:pPr>
              <w:widowControl/>
              <w:jc w:val="center"/>
              <w:rPr>
                <w:rFonts w:ascii="宋体" w:hAnsi="宋体" w:cs="宋体"/>
                <w:kern w:val="0"/>
                <w:sz w:val="24"/>
                <w:szCs w:val="24"/>
              </w:rPr>
            </w:pPr>
            <w:r>
              <w:rPr>
                <w:rFonts w:ascii="宋体" w:hAnsi="宋体" w:cs="宋体" w:hint="eastAsia"/>
                <w:kern w:val="0"/>
                <w:sz w:val="24"/>
                <w:szCs w:val="24"/>
              </w:rPr>
              <w:t>8.8</w:t>
            </w:r>
          </w:p>
        </w:tc>
        <w:tc>
          <w:tcPr>
            <w:tcW w:w="2920" w:type="dxa"/>
            <w:tcBorders>
              <w:top w:val="nil"/>
              <w:left w:val="nil"/>
              <w:bottom w:val="nil"/>
              <w:right w:val="nil"/>
            </w:tcBorders>
            <w:shd w:val="clear" w:color="auto" w:fill="auto"/>
            <w:vAlign w:val="center"/>
            <w:hideMark/>
          </w:tcPr>
          <w:p w:rsidR="00FA5133" w:rsidRPr="00EE48D0" w:rsidRDefault="00AD3541" w:rsidP="00FA5133">
            <w:pPr>
              <w:widowControl/>
              <w:jc w:val="center"/>
              <w:rPr>
                <w:rFonts w:ascii="宋体" w:hAnsi="宋体" w:cs="宋体"/>
                <w:kern w:val="0"/>
                <w:sz w:val="24"/>
                <w:szCs w:val="24"/>
              </w:rPr>
            </w:pPr>
            <w:r>
              <w:rPr>
                <w:rFonts w:ascii="宋体" w:hAnsi="宋体" w:cs="宋体" w:hint="eastAsia"/>
                <w:kern w:val="0"/>
                <w:sz w:val="24"/>
                <w:szCs w:val="24"/>
              </w:rPr>
              <w:t>19.7</w:t>
            </w:r>
          </w:p>
        </w:tc>
      </w:tr>
      <w:tr w:rsidR="00FA5133" w:rsidRPr="00EE48D0" w:rsidTr="00FA5133">
        <w:trPr>
          <w:trHeight w:val="360"/>
        </w:trPr>
        <w:tc>
          <w:tcPr>
            <w:tcW w:w="2200" w:type="dxa"/>
            <w:tcBorders>
              <w:top w:val="nil"/>
              <w:left w:val="nil"/>
              <w:bottom w:val="nil"/>
              <w:right w:val="nil"/>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 xml:space="preserve">      35-59岁</w:t>
            </w:r>
          </w:p>
        </w:tc>
        <w:tc>
          <w:tcPr>
            <w:tcW w:w="2920" w:type="dxa"/>
            <w:tcBorders>
              <w:top w:val="nil"/>
              <w:left w:val="single" w:sz="8" w:space="0" w:color="auto"/>
              <w:bottom w:val="nil"/>
              <w:right w:val="single" w:sz="8" w:space="0" w:color="auto"/>
            </w:tcBorders>
            <w:shd w:val="clear" w:color="auto" w:fill="auto"/>
            <w:vAlign w:val="center"/>
            <w:hideMark/>
          </w:tcPr>
          <w:p w:rsidR="00FA5133" w:rsidRPr="00EE48D0" w:rsidRDefault="00AD3541" w:rsidP="00AD3541">
            <w:pPr>
              <w:widowControl/>
              <w:jc w:val="center"/>
              <w:rPr>
                <w:rFonts w:ascii="宋体" w:hAnsi="宋体" w:cs="宋体"/>
                <w:kern w:val="0"/>
                <w:sz w:val="24"/>
                <w:szCs w:val="24"/>
              </w:rPr>
            </w:pPr>
            <w:r>
              <w:rPr>
                <w:rFonts w:ascii="宋体" w:hAnsi="宋体" w:cs="宋体" w:hint="eastAsia"/>
                <w:kern w:val="0"/>
                <w:sz w:val="24"/>
                <w:szCs w:val="24"/>
              </w:rPr>
              <w:t>20.2</w:t>
            </w:r>
          </w:p>
        </w:tc>
        <w:tc>
          <w:tcPr>
            <w:tcW w:w="2920" w:type="dxa"/>
            <w:tcBorders>
              <w:top w:val="nil"/>
              <w:left w:val="nil"/>
              <w:bottom w:val="nil"/>
              <w:right w:val="nil"/>
            </w:tcBorders>
            <w:shd w:val="clear" w:color="auto" w:fill="auto"/>
            <w:vAlign w:val="center"/>
            <w:hideMark/>
          </w:tcPr>
          <w:p w:rsidR="00FA5133" w:rsidRPr="00EE48D0" w:rsidRDefault="00AD3541" w:rsidP="00FA5133">
            <w:pPr>
              <w:widowControl/>
              <w:jc w:val="center"/>
              <w:rPr>
                <w:rFonts w:ascii="宋体" w:hAnsi="宋体" w:cs="宋体"/>
                <w:kern w:val="0"/>
                <w:sz w:val="24"/>
                <w:szCs w:val="24"/>
              </w:rPr>
            </w:pPr>
            <w:r>
              <w:rPr>
                <w:rFonts w:ascii="宋体" w:hAnsi="宋体" w:cs="宋体" w:hint="eastAsia"/>
                <w:kern w:val="0"/>
                <w:sz w:val="24"/>
                <w:szCs w:val="24"/>
              </w:rPr>
              <w:t>45.1</w:t>
            </w:r>
          </w:p>
        </w:tc>
      </w:tr>
      <w:tr w:rsidR="00FA5133" w:rsidRPr="00EE48D0" w:rsidTr="00FA5133">
        <w:trPr>
          <w:trHeight w:val="360"/>
        </w:trPr>
        <w:tc>
          <w:tcPr>
            <w:tcW w:w="2200" w:type="dxa"/>
            <w:tcBorders>
              <w:top w:val="nil"/>
              <w:left w:val="nil"/>
              <w:bottom w:val="single" w:sz="8" w:space="0" w:color="auto"/>
              <w:right w:val="nil"/>
            </w:tcBorders>
            <w:shd w:val="clear" w:color="auto" w:fill="auto"/>
            <w:vAlign w:val="center"/>
            <w:hideMark/>
          </w:tcPr>
          <w:p w:rsidR="00FA5133" w:rsidRPr="00EE48D0" w:rsidRDefault="00FA5133" w:rsidP="00FA5133">
            <w:pPr>
              <w:widowControl/>
              <w:rPr>
                <w:rFonts w:ascii="宋体" w:hAnsi="宋体" w:cs="宋体"/>
                <w:kern w:val="0"/>
                <w:sz w:val="24"/>
                <w:szCs w:val="24"/>
              </w:rPr>
            </w:pPr>
            <w:r w:rsidRPr="00EE48D0">
              <w:rPr>
                <w:rFonts w:ascii="宋体" w:hAnsi="宋体" w:cs="宋体" w:hint="eastAsia"/>
                <w:kern w:val="0"/>
                <w:sz w:val="24"/>
                <w:szCs w:val="24"/>
              </w:rPr>
              <w:t xml:space="preserve">      60岁及以上</w:t>
            </w:r>
          </w:p>
        </w:tc>
        <w:tc>
          <w:tcPr>
            <w:tcW w:w="2920" w:type="dxa"/>
            <w:tcBorders>
              <w:top w:val="nil"/>
              <w:left w:val="single" w:sz="8" w:space="0" w:color="auto"/>
              <w:bottom w:val="single" w:sz="8" w:space="0" w:color="auto"/>
              <w:right w:val="single" w:sz="8" w:space="0" w:color="auto"/>
            </w:tcBorders>
            <w:shd w:val="clear" w:color="auto" w:fill="auto"/>
            <w:vAlign w:val="center"/>
            <w:hideMark/>
          </w:tcPr>
          <w:p w:rsidR="00FA5133" w:rsidRPr="00EE48D0" w:rsidRDefault="00AD3541" w:rsidP="00FA5133">
            <w:pPr>
              <w:widowControl/>
              <w:jc w:val="center"/>
              <w:rPr>
                <w:rFonts w:ascii="宋体" w:hAnsi="宋体" w:cs="宋体"/>
                <w:kern w:val="0"/>
                <w:sz w:val="24"/>
                <w:szCs w:val="24"/>
              </w:rPr>
            </w:pPr>
            <w:r>
              <w:rPr>
                <w:rFonts w:ascii="宋体" w:hAnsi="宋体" w:cs="宋体" w:hint="eastAsia"/>
                <w:kern w:val="0"/>
                <w:sz w:val="24"/>
                <w:szCs w:val="24"/>
              </w:rPr>
              <w:t>9.3</w:t>
            </w:r>
          </w:p>
        </w:tc>
        <w:tc>
          <w:tcPr>
            <w:tcW w:w="2920" w:type="dxa"/>
            <w:tcBorders>
              <w:top w:val="nil"/>
              <w:left w:val="nil"/>
              <w:bottom w:val="single" w:sz="8" w:space="0" w:color="auto"/>
              <w:right w:val="nil"/>
            </w:tcBorders>
            <w:shd w:val="clear" w:color="auto" w:fill="auto"/>
            <w:vAlign w:val="center"/>
            <w:hideMark/>
          </w:tcPr>
          <w:p w:rsidR="00FA5133" w:rsidRPr="00EE48D0" w:rsidRDefault="00AD3541" w:rsidP="00FA5133">
            <w:pPr>
              <w:widowControl/>
              <w:jc w:val="center"/>
              <w:rPr>
                <w:rFonts w:ascii="宋体" w:hAnsi="宋体" w:cs="宋体"/>
                <w:kern w:val="0"/>
                <w:sz w:val="24"/>
                <w:szCs w:val="24"/>
              </w:rPr>
            </w:pPr>
            <w:r>
              <w:rPr>
                <w:rFonts w:ascii="宋体" w:hAnsi="宋体" w:cs="宋体" w:hint="eastAsia"/>
                <w:kern w:val="0"/>
                <w:sz w:val="24"/>
                <w:szCs w:val="24"/>
              </w:rPr>
              <w:t>20.9</w:t>
            </w:r>
          </w:p>
        </w:tc>
      </w:tr>
    </w:tbl>
    <w:p w:rsidR="00FA5133" w:rsidRPr="00EE48D0" w:rsidRDefault="00FA5133" w:rsidP="00B06C79">
      <w:pPr>
        <w:spacing w:line="360" w:lineRule="auto"/>
        <w:ind w:firstLineChars="200" w:firstLine="480"/>
        <w:rPr>
          <w:rFonts w:asciiTheme="minorEastAsia" w:eastAsiaTheme="minorEastAsia" w:hAnsiTheme="minorEastAsia"/>
          <w:sz w:val="24"/>
          <w:szCs w:val="24"/>
        </w:rPr>
      </w:pPr>
    </w:p>
    <w:p w:rsidR="00967E9F" w:rsidRPr="0044219E" w:rsidRDefault="005E78CA" w:rsidP="0044219E">
      <w:pPr>
        <w:spacing w:line="360" w:lineRule="auto"/>
        <w:ind w:firstLineChars="177" w:firstLine="566"/>
        <w:rPr>
          <w:rFonts w:ascii="仿宋" w:eastAsia="仿宋" w:hAnsi="仿宋"/>
          <w:sz w:val="32"/>
          <w:szCs w:val="32"/>
        </w:rPr>
      </w:pPr>
      <w:r w:rsidRPr="0044219E">
        <w:rPr>
          <w:rFonts w:ascii="仿宋" w:eastAsia="仿宋" w:hAnsi="仿宋" w:hint="eastAsia"/>
          <w:sz w:val="32"/>
          <w:szCs w:val="32"/>
        </w:rPr>
        <w:t>全年</w:t>
      </w:r>
      <w:r w:rsidR="00225206" w:rsidRPr="0044219E">
        <w:rPr>
          <w:rFonts w:ascii="仿宋" w:eastAsia="仿宋" w:hAnsi="仿宋" w:hint="eastAsia"/>
          <w:kern w:val="0"/>
          <w:sz w:val="32"/>
          <w:szCs w:val="32"/>
        </w:rPr>
        <w:t>城镇常住居民人均可支配收入</w:t>
      </w:r>
      <w:r w:rsidR="0032197D" w:rsidRPr="0044219E">
        <w:rPr>
          <w:rFonts w:ascii="仿宋" w:eastAsia="仿宋" w:hAnsi="仿宋" w:hint="eastAsia"/>
          <w:sz w:val="32"/>
          <w:szCs w:val="32"/>
        </w:rPr>
        <w:t>45278</w:t>
      </w:r>
      <w:r w:rsidRPr="0044219E">
        <w:rPr>
          <w:rFonts w:ascii="仿宋" w:eastAsia="仿宋" w:hAnsi="仿宋" w:hint="eastAsia"/>
          <w:sz w:val="32"/>
          <w:szCs w:val="32"/>
        </w:rPr>
        <w:t>元，比上年增长</w:t>
      </w:r>
      <w:r w:rsidR="0032197D" w:rsidRPr="0044219E">
        <w:rPr>
          <w:rFonts w:ascii="仿宋" w:eastAsia="仿宋" w:hAnsi="仿宋" w:hint="eastAsia"/>
          <w:sz w:val="32"/>
          <w:szCs w:val="32"/>
        </w:rPr>
        <w:t>6.2</w:t>
      </w:r>
      <w:r w:rsidRPr="0044219E">
        <w:rPr>
          <w:rFonts w:ascii="仿宋" w:eastAsia="仿宋" w:hAnsi="仿宋" w:hint="eastAsia"/>
          <w:sz w:val="32"/>
          <w:szCs w:val="32"/>
        </w:rPr>
        <w:t>%。</w:t>
      </w:r>
    </w:p>
    <w:p w:rsidR="003960DD" w:rsidRPr="0044219E" w:rsidRDefault="00FD30E7" w:rsidP="0044219E">
      <w:pPr>
        <w:spacing w:line="360" w:lineRule="auto"/>
        <w:ind w:firstLineChars="177" w:firstLine="566"/>
        <w:rPr>
          <w:rFonts w:ascii="仿宋" w:eastAsia="仿宋" w:hAnsi="仿宋"/>
          <w:sz w:val="32"/>
          <w:szCs w:val="32"/>
        </w:rPr>
      </w:pPr>
      <w:r>
        <w:rPr>
          <w:rFonts w:ascii="仿宋" w:eastAsia="仿宋" w:hAnsi="仿宋" w:hint="eastAsia"/>
          <w:color w:val="000000"/>
          <w:sz w:val="32"/>
          <w:szCs w:val="32"/>
        </w:rPr>
        <w:t>年末</w:t>
      </w:r>
      <w:r w:rsidR="004850E7" w:rsidRPr="0044219E">
        <w:rPr>
          <w:rFonts w:ascii="仿宋" w:eastAsia="仿宋" w:hAnsi="仿宋" w:hint="eastAsia"/>
          <w:color w:val="000000"/>
          <w:sz w:val="32"/>
          <w:szCs w:val="32"/>
        </w:rPr>
        <w:t>有城乡</w:t>
      </w:r>
      <w:proofErr w:type="gramStart"/>
      <w:r w:rsidR="004850E7" w:rsidRPr="0044219E">
        <w:rPr>
          <w:rFonts w:ascii="仿宋" w:eastAsia="仿宋" w:hAnsi="仿宋" w:hint="eastAsia"/>
          <w:color w:val="000000"/>
          <w:sz w:val="32"/>
          <w:szCs w:val="32"/>
        </w:rPr>
        <w:t>低保对象</w:t>
      </w:r>
      <w:proofErr w:type="gramEnd"/>
      <w:r w:rsidR="00AF6396" w:rsidRPr="0044219E">
        <w:rPr>
          <w:rFonts w:ascii="仿宋" w:eastAsia="仿宋" w:hAnsi="仿宋" w:hint="eastAsia"/>
          <w:color w:val="000000"/>
          <w:sz w:val="32"/>
          <w:szCs w:val="32"/>
        </w:rPr>
        <w:t>1019</w:t>
      </w:r>
      <w:r w:rsidR="004850E7" w:rsidRPr="0044219E">
        <w:rPr>
          <w:rFonts w:ascii="仿宋" w:eastAsia="仿宋" w:hAnsi="仿宋" w:hint="eastAsia"/>
          <w:color w:val="000000"/>
          <w:sz w:val="32"/>
          <w:szCs w:val="32"/>
        </w:rPr>
        <w:t>户</w:t>
      </w:r>
      <w:r w:rsidR="00AF6396" w:rsidRPr="0044219E">
        <w:rPr>
          <w:rFonts w:ascii="仿宋" w:eastAsia="仿宋" w:hAnsi="仿宋" w:hint="eastAsia"/>
          <w:color w:val="000000"/>
          <w:sz w:val="32"/>
          <w:szCs w:val="32"/>
        </w:rPr>
        <w:t>1691</w:t>
      </w:r>
      <w:r w:rsidR="004850E7" w:rsidRPr="0044219E">
        <w:rPr>
          <w:rFonts w:ascii="仿宋" w:eastAsia="仿宋" w:hAnsi="仿宋" w:hint="eastAsia"/>
          <w:color w:val="000000"/>
          <w:sz w:val="32"/>
          <w:szCs w:val="32"/>
        </w:rPr>
        <w:t>人，其中：低保户</w:t>
      </w:r>
      <w:r w:rsidR="00A24B8C" w:rsidRPr="0044219E">
        <w:rPr>
          <w:rFonts w:ascii="仿宋" w:eastAsia="仿宋" w:hAnsi="仿宋" w:hint="eastAsia"/>
          <w:color w:val="000000"/>
          <w:sz w:val="32"/>
          <w:szCs w:val="32"/>
        </w:rPr>
        <w:t>958</w:t>
      </w:r>
      <w:r w:rsidR="004850E7" w:rsidRPr="0044219E">
        <w:rPr>
          <w:rFonts w:ascii="仿宋" w:eastAsia="仿宋" w:hAnsi="仿宋" w:hint="eastAsia"/>
          <w:color w:val="000000"/>
          <w:sz w:val="32"/>
          <w:szCs w:val="32"/>
        </w:rPr>
        <w:t>户</w:t>
      </w:r>
      <w:r w:rsidR="00A24B8C" w:rsidRPr="0044219E">
        <w:rPr>
          <w:rFonts w:ascii="仿宋" w:eastAsia="仿宋" w:hAnsi="仿宋" w:hint="eastAsia"/>
          <w:color w:val="000000"/>
          <w:sz w:val="32"/>
          <w:szCs w:val="32"/>
        </w:rPr>
        <w:t>1564</w:t>
      </w:r>
      <w:r w:rsidR="003960DD" w:rsidRPr="0044219E">
        <w:rPr>
          <w:rFonts w:ascii="仿宋" w:eastAsia="仿宋" w:hAnsi="仿宋" w:hint="eastAsia"/>
          <w:color w:val="000000"/>
          <w:sz w:val="32"/>
          <w:szCs w:val="32"/>
        </w:rPr>
        <w:t>人，</w:t>
      </w:r>
      <w:proofErr w:type="gramStart"/>
      <w:r w:rsidR="004850E7" w:rsidRPr="0044219E">
        <w:rPr>
          <w:rFonts w:ascii="仿宋" w:eastAsia="仿宋" w:hAnsi="仿宋" w:hint="eastAsia"/>
          <w:color w:val="000000"/>
          <w:sz w:val="32"/>
          <w:szCs w:val="32"/>
        </w:rPr>
        <w:t>低保边缘</w:t>
      </w:r>
      <w:proofErr w:type="gramEnd"/>
      <w:r w:rsidR="004850E7" w:rsidRPr="0044219E">
        <w:rPr>
          <w:rFonts w:ascii="仿宋" w:eastAsia="仿宋" w:hAnsi="仿宋" w:hint="eastAsia"/>
          <w:color w:val="000000"/>
          <w:sz w:val="32"/>
          <w:szCs w:val="32"/>
        </w:rPr>
        <w:t>户</w:t>
      </w:r>
      <w:r w:rsidR="00A24B8C" w:rsidRPr="0044219E">
        <w:rPr>
          <w:rFonts w:ascii="仿宋" w:eastAsia="仿宋" w:hAnsi="仿宋" w:hint="eastAsia"/>
          <w:color w:val="000000"/>
          <w:sz w:val="32"/>
          <w:szCs w:val="32"/>
        </w:rPr>
        <w:t>61</w:t>
      </w:r>
      <w:r w:rsidR="004850E7" w:rsidRPr="0044219E">
        <w:rPr>
          <w:rFonts w:ascii="仿宋" w:eastAsia="仿宋" w:hAnsi="仿宋" w:hint="eastAsia"/>
          <w:color w:val="000000"/>
          <w:sz w:val="32"/>
          <w:szCs w:val="32"/>
        </w:rPr>
        <w:t>户</w:t>
      </w:r>
      <w:r w:rsidR="00A24B8C" w:rsidRPr="0044219E">
        <w:rPr>
          <w:rFonts w:ascii="仿宋" w:eastAsia="仿宋" w:hAnsi="仿宋" w:hint="eastAsia"/>
          <w:color w:val="000000"/>
          <w:sz w:val="32"/>
          <w:szCs w:val="32"/>
        </w:rPr>
        <w:t>127</w:t>
      </w:r>
      <w:r w:rsidR="004850E7" w:rsidRPr="0044219E">
        <w:rPr>
          <w:rFonts w:ascii="仿宋" w:eastAsia="仿宋" w:hAnsi="仿宋" w:hint="eastAsia"/>
          <w:color w:val="000000"/>
          <w:sz w:val="32"/>
          <w:szCs w:val="32"/>
        </w:rPr>
        <w:t>人。</w:t>
      </w:r>
      <w:r w:rsidR="003960DD" w:rsidRPr="0044219E">
        <w:rPr>
          <w:rFonts w:ascii="仿宋" w:eastAsia="仿宋" w:hAnsi="仿宋" w:hint="eastAsia"/>
          <w:color w:val="000000"/>
          <w:sz w:val="32"/>
          <w:szCs w:val="32"/>
        </w:rPr>
        <w:t>城区</w:t>
      </w:r>
      <w:proofErr w:type="gramStart"/>
      <w:r w:rsidR="003960DD" w:rsidRPr="0044219E">
        <w:rPr>
          <w:rFonts w:ascii="仿宋" w:eastAsia="仿宋" w:hAnsi="仿宋" w:hint="eastAsia"/>
          <w:color w:val="000000"/>
          <w:sz w:val="32"/>
          <w:szCs w:val="32"/>
        </w:rPr>
        <w:t>低保月</w:t>
      </w:r>
      <w:proofErr w:type="gramEnd"/>
      <w:r w:rsidR="003960DD" w:rsidRPr="0044219E">
        <w:rPr>
          <w:rFonts w:ascii="仿宋" w:eastAsia="仿宋" w:hAnsi="仿宋" w:hint="eastAsia"/>
          <w:color w:val="000000"/>
          <w:sz w:val="32"/>
          <w:szCs w:val="32"/>
        </w:rPr>
        <w:t>人均标准589元。</w:t>
      </w:r>
    </w:p>
    <w:p w:rsidR="00F13EA6" w:rsidRDefault="00053046" w:rsidP="00F13EA6">
      <w:pPr>
        <w:spacing w:line="360" w:lineRule="auto"/>
        <w:ind w:firstLineChars="177" w:firstLine="566"/>
        <w:rPr>
          <w:rFonts w:ascii="仿宋" w:eastAsia="仿宋" w:hAnsi="仿宋"/>
          <w:sz w:val="32"/>
          <w:szCs w:val="32"/>
        </w:rPr>
      </w:pPr>
      <w:r w:rsidRPr="0044219E">
        <w:rPr>
          <w:rFonts w:ascii="仿宋" w:eastAsia="仿宋" w:hAnsi="仿宋" w:hint="eastAsia"/>
          <w:sz w:val="32"/>
          <w:szCs w:val="32"/>
        </w:rPr>
        <w:t>全年</w:t>
      </w:r>
      <w:r w:rsidR="00175D35" w:rsidRPr="0044219E">
        <w:rPr>
          <w:rFonts w:ascii="仿宋" w:eastAsia="仿宋" w:hAnsi="仿宋" w:hint="eastAsia"/>
          <w:sz w:val="32"/>
          <w:szCs w:val="32"/>
        </w:rPr>
        <w:t>共办理结婚登记</w:t>
      </w:r>
      <w:r w:rsidR="001E04E4" w:rsidRPr="0044219E">
        <w:rPr>
          <w:rFonts w:ascii="仿宋" w:eastAsia="仿宋" w:hAnsi="仿宋" w:hint="eastAsia"/>
          <w:sz w:val="32"/>
          <w:szCs w:val="32"/>
        </w:rPr>
        <w:t>3524</w:t>
      </w:r>
      <w:r w:rsidR="00175D35" w:rsidRPr="0044219E">
        <w:rPr>
          <w:rFonts w:ascii="仿宋" w:eastAsia="仿宋" w:hAnsi="仿宋" w:hint="eastAsia"/>
          <w:sz w:val="32"/>
          <w:szCs w:val="32"/>
        </w:rPr>
        <w:t>对，补领结婚登记</w:t>
      </w:r>
      <w:r w:rsidR="001E04E4" w:rsidRPr="0044219E">
        <w:rPr>
          <w:rFonts w:ascii="仿宋" w:eastAsia="仿宋" w:hAnsi="仿宋" w:hint="eastAsia"/>
          <w:sz w:val="32"/>
          <w:szCs w:val="32"/>
        </w:rPr>
        <w:t>2120</w:t>
      </w:r>
      <w:r w:rsidR="00175D35" w:rsidRPr="0044219E">
        <w:rPr>
          <w:rFonts w:ascii="仿宋" w:eastAsia="仿宋" w:hAnsi="仿宋" w:hint="eastAsia"/>
          <w:sz w:val="32"/>
          <w:szCs w:val="32"/>
        </w:rPr>
        <w:t>对；</w:t>
      </w:r>
      <w:r w:rsidR="00175D35" w:rsidRPr="0044219E">
        <w:rPr>
          <w:rFonts w:ascii="仿宋" w:eastAsia="仿宋" w:hAnsi="仿宋" w:hint="eastAsia"/>
          <w:sz w:val="32"/>
          <w:szCs w:val="32"/>
        </w:rPr>
        <w:lastRenderedPageBreak/>
        <w:t>办理离婚登记</w:t>
      </w:r>
      <w:r w:rsidR="001E04E4" w:rsidRPr="0044219E">
        <w:rPr>
          <w:rFonts w:ascii="仿宋" w:eastAsia="仿宋" w:hAnsi="仿宋" w:hint="eastAsia"/>
          <w:sz w:val="32"/>
          <w:szCs w:val="32"/>
        </w:rPr>
        <w:t>1823</w:t>
      </w:r>
      <w:r w:rsidR="00175D35" w:rsidRPr="0044219E">
        <w:rPr>
          <w:rFonts w:ascii="仿宋" w:eastAsia="仿宋" w:hAnsi="仿宋" w:hint="eastAsia"/>
          <w:sz w:val="32"/>
          <w:szCs w:val="32"/>
        </w:rPr>
        <w:t>对</w:t>
      </w:r>
      <w:r w:rsidR="00774702" w:rsidRPr="0044219E">
        <w:rPr>
          <w:rFonts w:ascii="仿宋" w:eastAsia="仿宋" w:hAnsi="仿宋" w:hint="eastAsia"/>
          <w:sz w:val="32"/>
          <w:szCs w:val="32"/>
        </w:rPr>
        <w:t>，</w:t>
      </w:r>
      <w:r w:rsidR="00175D35" w:rsidRPr="0044219E">
        <w:rPr>
          <w:rFonts w:ascii="仿宋" w:eastAsia="仿宋" w:hAnsi="仿宋" w:hint="eastAsia"/>
          <w:sz w:val="32"/>
          <w:szCs w:val="32"/>
        </w:rPr>
        <w:t>婚姻登记合格率达100%</w:t>
      </w:r>
      <w:r w:rsidR="001E04E4" w:rsidRPr="0044219E">
        <w:rPr>
          <w:rFonts w:ascii="仿宋" w:eastAsia="仿宋" w:hAnsi="仿宋" w:hint="eastAsia"/>
          <w:sz w:val="32"/>
          <w:szCs w:val="32"/>
        </w:rPr>
        <w:t>。</w:t>
      </w:r>
    </w:p>
    <w:p w:rsidR="00850BBA" w:rsidRPr="00F13EA6" w:rsidRDefault="00FD30E7" w:rsidP="00F13EA6">
      <w:pPr>
        <w:spacing w:line="360" w:lineRule="auto"/>
        <w:ind w:firstLineChars="177" w:firstLine="566"/>
        <w:rPr>
          <w:rFonts w:ascii="仿宋" w:eastAsia="仿宋" w:hAnsi="仿宋"/>
          <w:sz w:val="32"/>
          <w:szCs w:val="32"/>
        </w:rPr>
      </w:pPr>
      <w:r>
        <w:rPr>
          <w:rFonts w:ascii="仿宋" w:eastAsia="仿宋" w:hAnsi="仿宋" w:cs="仿宋_GB2312" w:hint="eastAsia"/>
          <w:sz w:val="32"/>
          <w:szCs w:val="32"/>
        </w:rPr>
        <w:t>全年</w:t>
      </w:r>
      <w:r w:rsidR="001C4314" w:rsidRPr="0044219E">
        <w:rPr>
          <w:rFonts w:ascii="仿宋" w:eastAsia="仿宋" w:hAnsi="仿宋" w:cs="仿宋_GB2312" w:hint="eastAsia"/>
          <w:sz w:val="32"/>
          <w:szCs w:val="32"/>
        </w:rPr>
        <w:t>城镇新增就业</w:t>
      </w:r>
      <w:r w:rsidR="00B71B67" w:rsidRPr="0044219E">
        <w:rPr>
          <w:rFonts w:ascii="仿宋" w:eastAsia="仿宋" w:hAnsi="仿宋" w:cs="仿宋_GB2312" w:hint="eastAsia"/>
          <w:sz w:val="32"/>
          <w:szCs w:val="32"/>
        </w:rPr>
        <w:t>6477</w:t>
      </w:r>
      <w:r w:rsidR="001C4314" w:rsidRPr="0044219E">
        <w:rPr>
          <w:rFonts w:ascii="仿宋" w:eastAsia="仿宋" w:hAnsi="仿宋" w:cs="仿宋_GB2312" w:hint="eastAsia"/>
          <w:sz w:val="32"/>
          <w:szCs w:val="32"/>
        </w:rPr>
        <w:t>人，零就业家庭始终保持动态为零。职业技能培训</w:t>
      </w:r>
      <w:r w:rsidR="00B71B67" w:rsidRPr="0044219E">
        <w:rPr>
          <w:rFonts w:ascii="仿宋" w:eastAsia="仿宋" w:hAnsi="仿宋" w:cs="仿宋_GB2312" w:hint="eastAsia"/>
          <w:sz w:val="32"/>
          <w:szCs w:val="32"/>
        </w:rPr>
        <w:t>1100</w:t>
      </w:r>
      <w:r w:rsidR="001C4314" w:rsidRPr="0044219E">
        <w:rPr>
          <w:rFonts w:ascii="仿宋" w:eastAsia="仿宋" w:hAnsi="仿宋" w:cs="仿宋_GB2312" w:hint="eastAsia"/>
          <w:sz w:val="32"/>
          <w:szCs w:val="32"/>
        </w:rPr>
        <w:t>人，扶持创业带头人</w:t>
      </w:r>
      <w:r w:rsidR="00B71B67" w:rsidRPr="0044219E">
        <w:rPr>
          <w:rFonts w:ascii="仿宋" w:eastAsia="仿宋" w:hAnsi="仿宋" w:cs="仿宋_GB2312" w:hint="eastAsia"/>
          <w:sz w:val="32"/>
          <w:szCs w:val="32"/>
        </w:rPr>
        <w:t>665</w:t>
      </w:r>
      <w:r w:rsidR="001C4314" w:rsidRPr="0044219E">
        <w:rPr>
          <w:rFonts w:ascii="仿宋" w:eastAsia="仿宋" w:hAnsi="仿宋" w:cs="仿宋_GB2312" w:hint="eastAsia"/>
          <w:sz w:val="32"/>
          <w:szCs w:val="32"/>
        </w:rPr>
        <w:t>人，带动就业</w:t>
      </w:r>
      <w:r w:rsidR="00B71B67" w:rsidRPr="0044219E">
        <w:rPr>
          <w:rFonts w:ascii="仿宋" w:eastAsia="仿宋" w:hAnsi="仿宋" w:cs="仿宋_GB2312" w:hint="eastAsia"/>
          <w:sz w:val="32"/>
          <w:szCs w:val="32"/>
        </w:rPr>
        <w:t>3990人；</w:t>
      </w:r>
      <w:r w:rsidR="001C4314" w:rsidRPr="0044219E">
        <w:rPr>
          <w:rFonts w:ascii="仿宋" w:eastAsia="仿宋" w:hAnsi="仿宋" w:cs="仿宋_GB2312" w:hint="eastAsia"/>
          <w:sz w:val="32"/>
          <w:szCs w:val="32"/>
        </w:rPr>
        <w:t>全民创</w:t>
      </w:r>
      <w:r w:rsidR="00B71B67" w:rsidRPr="0044219E">
        <w:rPr>
          <w:rFonts w:ascii="仿宋" w:eastAsia="仿宋" w:hAnsi="仿宋" w:cs="仿宋_GB2312" w:hint="eastAsia"/>
          <w:sz w:val="32"/>
          <w:szCs w:val="32"/>
        </w:rPr>
        <w:t>业2822</w:t>
      </w:r>
      <w:r w:rsidR="001C4314" w:rsidRPr="0044219E">
        <w:rPr>
          <w:rFonts w:ascii="仿宋" w:eastAsia="仿宋" w:hAnsi="仿宋" w:cs="仿宋_GB2312" w:hint="eastAsia"/>
          <w:sz w:val="32"/>
          <w:szCs w:val="32"/>
        </w:rPr>
        <w:t>人，创业带动就业</w:t>
      </w:r>
      <w:r w:rsidR="00B71B67" w:rsidRPr="0044219E">
        <w:rPr>
          <w:rFonts w:ascii="仿宋" w:eastAsia="仿宋" w:hAnsi="仿宋" w:cs="仿宋_GB2312" w:hint="eastAsia"/>
          <w:sz w:val="32"/>
          <w:szCs w:val="32"/>
        </w:rPr>
        <w:t>8466</w:t>
      </w:r>
      <w:r w:rsidR="001C4314" w:rsidRPr="0044219E">
        <w:rPr>
          <w:rFonts w:ascii="仿宋" w:eastAsia="仿宋" w:hAnsi="仿宋" w:cs="仿宋_GB2312" w:hint="eastAsia"/>
          <w:sz w:val="32"/>
          <w:szCs w:val="32"/>
        </w:rPr>
        <w:t>人。</w:t>
      </w:r>
      <w:r w:rsidR="007F4EEE" w:rsidRPr="0044219E">
        <w:rPr>
          <w:rFonts w:ascii="仿宋" w:eastAsia="仿宋" w:hAnsi="仿宋" w:cs="仿宋_GB2312" w:hint="eastAsia"/>
          <w:sz w:val="32"/>
          <w:szCs w:val="32"/>
        </w:rPr>
        <w:t>办理《就业创业证》</w:t>
      </w:r>
      <w:r w:rsidR="00B71B67" w:rsidRPr="0044219E">
        <w:rPr>
          <w:rFonts w:ascii="仿宋" w:eastAsia="仿宋" w:hAnsi="仿宋" w:cs="仿宋_GB2312" w:hint="eastAsia"/>
          <w:sz w:val="32"/>
          <w:szCs w:val="32"/>
        </w:rPr>
        <w:t>5037</w:t>
      </w:r>
      <w:r w:rsidR="007F4EEE" w:rsidRPr="0044219E">
        <w:rPr>
          <w:rFonts w:ascii="仿宋" w:eastAsia="仿宋" w:hAnsi="仿宋" w:cs="仿宋_GB2312" w:hint="eastAsia"/>
          <w:sz w:val="32"/>
          <w:szCs w:val="32"/>
        </w:rPr>
        <w:t>本，城镇登记失业率为</w:t>
      </w:r>
      <w:r w:rsidR="00B71B67" w:rsidRPr="0044219E">
        <w:rPr>
          <w:rFonts w:ascii="仿宋" w:eastAsia="仿宋" w:hAnsi="仿宋" w:cs="仿宋_GB2312" w:hint="eastAsia"/>
          <w:sz w:val="32"/>
          <w:szCs w:val="32"/>
        </w:rPr>
        <w:t>2.32</w:t>
      </w:r>
      <w:r w:rsidR="007F4EEE" w:rsidRPr="0044219E">
        <w:rPr>
          <w:rFonts w:ascii="仿宋" w:eastAsia="仿宋" w:hAnsi="仿宋" w:cs="仿宋_GB2312" w:hint="eastAsia"/>
          <w:sz w:val="32"/>
          <w:szCs w:val="32"/>
        </w:rPr>
        <w:t>%，就业稳定率达到95%以上。企业失业保险参保人数</w:t>
      </w:r>
      <w:r w:rsidR="00B71B67" w:rsidRPr="0044219E">
        <w:rPr>
          <w:rFonts w:ascii="仿宋" w:eastAsia="仿宋" w:hAnsi="仿宋" w:cs="仿宋_GB2312" w:hint="eastAsia"/>
          <w:sz w:val="32"/>
          <w:szCs w:val="32"/>
        </w:rPr>
        <w:t>50251</w:t>
      </w:r>
      <w:r w:rsidR="007F4EEE" w:rsidRPr="0044219E">
        <w:rPr>
          <w:rFonts w:ascii="仿宋" w:eastAsia="仿宋" w:hAnsi="仿宋" w:cs="仿宋_GB2312" w:hint="eastAsia"/>
          <w:sz w:val="32"/>
          <w:szCs w:val="32"/>
        </w:rPr>
        <w:t>人。</w:t>
      </w:r>
    </w:p>
    <w:p w:rsidR="00DD00F4" w:rsidRPr="0036524E" w:rsidRDefault="002D440A" w:rsidP="0036524E">
      <w:pPr>
        <w:widowControl/>
        <w:spacing w:line="360" w:lineRule="auto"/>
        <w:ind w:firstLineChars="200" w:firstLine="643"/>
        <w:jc w:val="left"/>
        <w:rPr>
          <w:rFonts w:ascii="仿宋" w:eastAsia="仿宋" w:hAnsi="仿宋" w:cs="宋体"/>
          <w:b/>
          <w:kern w:val="0"/>
          <w:sz w:val="32"/>
          <w:szCs w:val="32"/>
        </w:rPr>
      </w:pPr>
      <w:r w:rsidRPr="0036524E">
        <w:rPr>
          <w:rFonts w:ascii="仿宋" w:eastAsia="仿宋" w:hAnsi="仿宋" w:cs="宋体" w:hint="eastAsia"/>
          <w:b/>
          <w:kern w:val="0"/>
          <w:sz w:val="32"/>
          <w:szCs w:val="32"/>
        </w:rPr>
        <w:t>十一</w:t>
      </w:r>
      <w:r w:rsidR="00DD00F4" w:rsidRPr="0036524E">
        <w:rPr>
          <w:rFonts w:ascii="仿宋" w:eastAsia="仿宋" w:hAnsi="仿宋" w:cs="宋体" w:hint="eastAsia"/>
          <w:b/>
          <w:kern w:val="0"/>
          <w:sz w:val="32"/>
          <w:szCs w:val="32"/>
        </w:rPr>
        <w:t>、能源、环境和安全生产</w:t>
      </w:r>
    </w:p>
    <w:p w:rsidR="00DD00F4" w:rsidRPr="0044219E" w:rsidRDefault="00DD00F4" w:rsidP="0044219E">
      <w:pPr>
        <w:widowControl/>
        <w:spacing w:line="360" w:lineRule="auto"/>
        <w:ind w:firstLineChars="200" w:firstLine="640"/>
        <w:jc w:val="left"/>
        <w:rPr>
          <w:rFonts w:ascii="仿宋" w:eastAsia="仿宋" w:hAnsi="仿宋" w:cs="宋体"/>
          <w:kern w:val="0"/>
          <w:sz w:val="32"/>
          <w:szCs w:val="32"/>
        </w:rPr>
      </w:pPr>
      <w:r w:rsidRPr="0044219E">
        <w:rPr>
          <w:rFonts w:ascii="仿宋" w:eastAsia="仿宋" w:hAnsi="仿宋" w:cs="宋体" w:hint="eastAsia"/>
          <w:kern w:val="0"/>
          <w:sz w:val="32"/>
          <w:szCs w:val="32"/>
        </w:rPr>
        <w:t>全年</w:t>
      </w:r>
      <w:r w:rsidR="00EA4188" w:rsidRPr="0044219E">
        <w:rPr>
          <w:rFonts w:ascii="仿宋" w:eastAsia="仿宋" w:hAnsi="仿宋" w:cs="宋体" w:hint="eastAsia"/>
          <w:kern w:val="0"/>
          <w:sz w:val="32"/>
          <w:szCs w:val="32"/>
        </w:rPr>
        <w:t>规模以上工业企业用电量3.81亿千瓦时。</w:t>
      </w:r>
    </w:p>
    <w:p w:rsidR="00EA4188" w:rsidRPr="0044219E" w:rsidRDefault="004A67E1" w:rsidP="0044219E">
      <w:pPr>
        <w:widowControl/>
        <w:spacing w:line="360" w:lineRule="auto"/>
        <w:ind w:firstLineChars="200" w:firstLine="640"/>
        <w:jc w:val="left"/>
        <w:rPr>
          <w:rFonts w:ascii="仿宋" w:eastAsia="仿宋" w:hAnsi="仿宋" w:cs="宋体"/>
          <w:kern w:val="0"/>
          <w:sz w:val="32"/>
          <w:szCs w:val="32"/>
        </w:rPr>
      </w:pPr>
      <w:r w:rsidRPr="0044219E">
        <w:rPr>
          <w:rFonts w:ascii="仿宋" w:eastAsia="仿宋" w:hAnsi="仿宋" w:cs="宋体" w:hint="eastAsia"/>
          <w:kern w:val="0"/>
          <w:sz w:val="32"/>
          <w:szCs w:val="32"/>
        </w:rPr>
        <w:t>全年城市环境空气质量平均优良天数为276天，优良天数</w:t>
      </w:r>
      <w:proofErr w:type="gramStart"/>
      <w:r w:rsidRPr="0044219E">
        <w:rPr>
          <w:rFonts w:ascii="仿宋" w:eastAsia="仿宋" w:hAnsi="仿宋" w:cs="宋体" w:hint="eastAsia"/>
          <w:kern w:val="0"/>
          <w:sz w:val="32"/>
          <w:szCs w:val="32"/>
        </w:rPr>
        <w:t>比列</w:t>
      </w:r>
      <w:proofErr w:type="gramEnd"/>
      <w:r w:rsidRPr="0044219E">
        <w:rPr>
          <w:rFonts w:ascii="仿宋" w:eastAsia="仿宋" w:hAnsi="仿宋" w:cs="宋体" w:hint="eastAsia"/>
          <w:kern w:val="0"/>
          <w:sz w:val="32"/>
          <w:szCs w:val="32"/>
        </w:rPr>
        <w:t>为75.6%。</w:t>
      </w:r>
      <w:r w:rsidR="00AA54B1" w:rsidRPr="00585C23">
        <w:rPr>
          <w:rFonts w:ascii="仿宋" w:eastAsia="仿宋" w:hAnsi="仿宋" w:cs="宋体" w:hint="eastAsia"/>
          <w:kern w:val="0"/>
          <w:sz w:val="32"/>
          <w:szCs w:val="32"/>
          <w:highlight w:val="yellow"/>
        </w:rPr>
        <w:t>全年新增绿化面积110万平方米，建成区绿化覆盖率达到43.5%。</w:t>
      </w:r>
    </w:p>
    <w:p w:rsidR="000259A1" w:rsidRPr="0044219E" w:rsidRDefault="00DD00F4" w:rsidP="000259A1">
      <w:pPr>
        <w:widowControl/>
        <w:spacing w:line="360" w:lineRule="auto"/>
        <w:ind w:firstLine="465"/>
        <w:jc w:val="left"/>
        <w:rPr>
          <w:rFonts w:ascii="仿宋" w:eastAsia="仿宋" w:hAnsi="仿宋"/>
          <w:sz w:val="32"/>
          <w:szCs w:val="32"/>
        </w:rPr>
      </w:pPr>
      <w:r w:rsidRPr="0044219E">
        <w:rPr>
          <w:rFonts w:ascii="仿宋" w:eastAsia="仿宋" w:hAnsi="仿宋" w:hint="eastAsia"/>
          <w:sz w:val="32"/>
          <w:szCs w:val="32"/>
        </w:rPr>
        <w:t>全年</w:t>
      </w:r>
      <w:r w:rsidR="000259A1" w:rsidRPr="0044219E">
        <w:rPr>
          <w:rFonts w:ascii="仿宋" w:eastAsia="仿宋" w:hAnsi="仿宋" w:hint="eastAsia"/>
          <w:sz w:val="32"/>
          <w:szCs w:val="32"/>
        </w:rPr>
        <w:t>生产经营性火灾事故2起，无死伤。</w:t>
      </w:r>
    </w:p>
    <w:p w:rsidR="007D04F3" w:rsidRDefault="007D04F3" w:rsidP="00FD30E7">
      <w:pPr>
        <w:spacing w:line="360" w:lineRule="auto"/>
        <w:rPr>
          <w:rFonts w:asciiTheme="minorEastAsia" w:eastAsiaTheme="minorEastAsia" w:hAnsiTheme="minorEastAsia"/>
          <w:sz w:val="24"/>
          <w:szCs w:val="24"/>
        </w:rPr>
      </w:pPr>
    </w:p>
    <w:p w:rsidR="00EB2013" w:rsidRPr="00AC43A2" w:rsidRDefault="007D04F3" w:rsidP="00AC43A2">
      <w:pPr>
        <w:spacing w:line="360" w:lineRule="auto"/>
        <w:ind w:firstLineChars="200" w:firstLine="602"/>
        <w:rPr>
          <w:rFonts w:ascii="楷体" w:eastAsia="楷体" w:hAnsi="楷体"/>
          <w:b/>
          <w:sz w:val="30"/>
          <w:szCs w:val="30"/>
        </w:rPr>
      </w:pPr>
      <w:r w:rsidRPr="00AC43A2">
        <w:rPr>
          <w:rFonts w:ascii="楷体" w:eastAsia="楷体" w:hAnsi="楷体" w:hint="eastAsia"/>
          <w:b/>
          <w:sz w:val="30"/>
          <w:szCs w:val="30"/>
        </w:rPr>
        <w:t>注释：</w:t>
      </w:r>
    </w:p>
    <w:p w:rsidR="0018306D" w:rsidRPr="00AC43A2" w:rsidRDefault="0018306D" w:rsidP="00AC43A2">
      <w:pPr>
        <w:spacing w:line="360" w:lineRule="auto"/>
        <w:ind w:firstLineChars="200" w:firstLine="648"/>
        <w:rPr>
          <w:rFonts w:ascii="楷体" w:eastAsia="楷体" w:hAnsi="楷体"/>
          <w:sz w:val="30"/>
          <w:szCs w:val="30"/>
        </w:rPr>
      </w:pPr>
      <w:r w:rsidRPr="00AC43A2">
        <w:rPr>
          <w:rFonts w:ascii="楷体" w:eastAsia="楷体" w:hAnsi="楷体" w:cs="宋体" w:hint="eastAsia"/>
          <w:color w:val="000000"/>
          <w:spacing w:val="12"/>
          <w:kern w:val="0"/>
          <w:sz w:val="30"/>
          <w:szCs w:val="30"/>
        </w:rPr>
        <w:t>1.本公报中数据均为初步统计数。部分指标数据在年报时可能还有调整。</w:t>
      </w:r>
    </w:p>
    <w:p w:rsidR="00664E9A" w:rsidRPr="00AC43A2" w:rsidRDefault="0018306D" w:rsidP="00AC43A2">
      <w:pPr>
        <w:spacing w:line="360" w:lineRule="auto"/>
        <w:ind w:firstLineChars="200" w:firstLine="648"/>
        <w:rPr>
          <w:rFonts w:ascii="楷体" w:eastAsia="楷体" w:hAnsi="楷体"/>
          <w:sz w:val="30"/>
          <w:szCs w:val="30"/>
        </w:rPr>
      </w:pPr>
      <w:r w:rsidRPr="00AC43A2">
        <w:rPr>
          <w:rFonts w:ascii="楷体" w:eastAsia="楷体" w:hAnsi="楷体" w:cs="宋体" w:hint="eastAsia"/>
          <w:color w:val="000000"/>
          <w:spacing w:val="12"/>
          <w:kern w:val="0"/>
          <w:sz w:val="30"/>
          <w:szCs w:val="30"/>
        </w:rPr>
        <w:t>2.</w:t>
      </w:r>
      <w:r w:rsidRPr="00AC43A2">
        <w:rPr>
          <w:rFonts w:ascii="楷体" w:eastAsia="楷体" w:hAnsi="楷体" w:cs="宋体" w:hint="eastAsia"/>
          <w:color w:val="000000"/>
          <w:kern w:val="0"/>
          <w:sz w:val="30"/>
          <w:szCs w:val="30"/>
        </w:rPr>
        <w:t>地区生产总值、各产业增加值、人均地区生产总值绝对数按现价计算，增长速度按可比价格计算。</w:t>
      </w:r>
    </w:p>
    <w:p w:rsidR="0018306D" w:rsidRPr="00AC43A2" w:rsidRDefault="00AC43A2" w:rsidP="00AC43A2">
      <w:pPr>
        <w:spacing w:line="360" w:lineRule="auto"/>
        <w:ind w:firstLineChars="200" w:firstLine="600"/>
        <w:rPr>
          <w:rFonts w:ascii="楷体" w:eastAsia="楷体" w:hAnsi="楷体"/>
          <w:sz w:val="30"/>
          <w:szCs w:val="30"/>
        </w:rPr>
      </w:pPr>
      <w:r>
        <w:rPr>
          <w:rFonts w:ascii="楷体" w:eastAsia="楷体" w:hAnsi="楷体" w:cs="宋体" w:hint="eastAsia"/>
          <w:color w:val="000000"/>
          <w:kern w:val="0"/>
          <w:sz w:val="30"/>
          <w:szCs w:val="30"/>
        </w:rPr>
        <w:t>3</w:t>
      </w:r>
      <w:r w:rsidR="00EB2013" w:rsidRPr="00AC43A2">
        <w:rPr>
          <w:rFonts w:ascii="楷体" w:eastAsia="楷体" w:hAnsi="楷体" w:cs="宋体" w:hint="eastAsia"/>
          <w:color w:val="000000"/>
          <w:kern w:val="0"/>
          <w:sz w:val="30"/>
          <w:szCs w:val="30"/>
        </w:rPr>
        <w:t>.</w:t>
      </w:r>
      <w:r w:rsidR="0018306D" w:rsidRPr="00AC43A2">
        <w:rPr>
          <w:rFonts w:ascii="楷体" w:eastAsia="楷体" w:hAnsi="楷体" w:cs="宋体" w:hint="eastAsia"/>
          <w:color w:val="000000"/>
          <w:kern w:val="0"/>
          <w:sz w:val="30"/>
          <w:szCs w:val="30"/>
        </w:rPr>
        <w:t>规模以上工业统计范围为年主营业务收入2000万元及以上的</w:t>
      </w:r>
      <w:r w:rsidR="0018306D" w:rsidRPr="00AC43A2">
        <w:rPr>
          <w:rFonts w:ascii="楷体" w:eastAsia="楷体" w:hAnsi="楷体" w:cs="宋体" w:hint="eastAsia"/>
          <w:color w:val="000000"/>
          <w:spacing w:val="12"/>
          <w:kern w:val="0"/>
          <w:sz w:val="30"/>
          <w:szCs w:val="30"/>
        </w:rPr>
        <w:t>工业法人企业；固定资产投资统计的起点为500万元及以上项目;限额以上批发业统计范围为年主营业务收入2000万元及以上的批发业法人企业、产业活动单位和个体经营户，</w:t>
      </w:r>
      <w:r w:rsidR="0018306D" w:rsidRPr="00AC43A2">
        <w:rPr>
          <w:rFonts w:ascii="楷体" w:eastAsia="楷体" w:hAnsi="楷体" w:cs="宋体" w:hint="eastAsia"/>
          <w:color w:val="000000"/>
          <w:spacing w:val="12"/>
          <w:kern w:val="0"/>
          <w:sz w:val="30"/>
          <w:szCs w:val="30"/>
        </w:rPr>
        <w:lastRenderedPageBreak/>
        <w:t>限额以上零售业统计范围为年主营业务收入500万元及以上的零售业法人企业、产业活动单位和个体经营户，限额以上住宿和餐饮业统计范围为年主营业务收入200万元及以上的住宿和餐饮业法人企业、产业活动单位和个体经营户。</w:t>
      </w:r>
    </w:p>
    <w:p w:rsidR="005B2ECC" w:rsidRPr="00AC43A2" w:rsidRDefault="005B2ECC" w:rsidP="008A3146">
      <w:pPr>
        <w:widowControl/>
        <w:spacing w:line="360" w:lineRule="auto"/>
        <w:rPr>
          <w:rFonts w:ascii="楷体" w:eastAsia="楷体" w:hAnsi="楷体"/>
          <w:sz w:val="30"/>
          <w:szCs w:val="30"/>
        </w:rPr>
      </w:pPr>
    </w:p>
    <w:p w:rsidR="0018306D" w:rsidRPr="00AC43A2" w:rsidRDefault="000C090C" w:rsidP="00AC43A2">
      <w:pPr>
        <w:widowControl/>
        <w:spacing w:line="360" w:lineRule="auto"/>
        <w:ind w:firstLineChars="200" w:firstLine="650"/>
        <w:rPr>
          <w:rFonts w:ascii="楷体" w:eastAsia="楷体" w:hAnsi="楷体" w:cs="宋体"/>
          <w:b/>
          <w:color w:val="000000"/>
          <w:spacing w:val="12"/>
          <w:kern w:val="0"/>
          <w:sz w:val="30"/>
          <w:szCs w:val="30"/>
        </w:rPr>
      </w:pPr>
      <w:r w:rsidRPr="00AC43A2">
        <w:rPr>
          <w:rFonts w:ascii="楷体" w:eastAsia="楷体" w:hAnsi="楷体" w:cs="宋体" w:hint="eastAsia"/>
          <w:b/>
          <w:color w:val="000000"/>
          <w:spacing w:val="12"/>
          <w:kern w:val="0"/>
          <w:sz w:val="30"/>
          <w:szCs w:val="30"/>
        </w:rPr>
        <w:t>资料来源：</w:t>
      </w:r>
    </w:p>
    <w:p w:rsidR="0018306D" w:rsidRPr="00AC43A2" w:rsidRDefault="005B2ECC" w:rsidP="00AC43A2">
      <w:pPr>
        <w:widowControl/>
        <w:spacing w:line="360" w:lineRule="auto"/>
        <w:ind w:firstLineChars="200" w:firstLine="600"/>
        <w:rPr>
          <w:rFonts w:ascii="楷体" w:eastAsia="楷体" w:hAnsi="楷体" w:cs="宋体"/>
          <w:color w:val="000000"/>
          <w:kern w:val="0"/>
          <w:sz w:val="30"/>
          <w:szCs w:val="30"/>
        </w:rPr>
      </w:pPr>
      <w:r w:rsidRPr="00AC43A2">
        <w:rPr>
          <w:rFonts w:ascii="楷体" w:eastAsia="楷体" w:hAnsi="楷体" w:cs="宋体" w:hint="eastAsia"/>
          <w:color w:val="000000"/>
          <w:kern w:val="0"/>
          <w:sz w:val="30"/>
          <w:szCs w:val="30"/>
        </w:rPr>
        <w:t>本公报中</w:t>
      </w:r>
      <w:r w:rsidR="00DC1BF9" w:rsidRPr="00AC43A2">
        <w:rPr>
          <w:rFonts w:ascii="楷体" w:eastAsia="楷体" w:hAnsi="楷体" w:cs="宋体" w:hint="eastAsia"/>
          <w:color w:val="000000"/>
          <w:kern w:val="0"/>
          <w:sz w:val="30"/>
          <w:szCs w:val="30"/>
        </w:rPr>
        <w:t>外贸</w:t>
      </w:r>
      <w:r w:rsidRPr="00AC43A2">
        <w:rPr>
          <w:rFonts w:ascii="楷体" w:eastAsia="楷体" w:hAnsi="楷体" w:cs="宋体" w:hint="eastAsia"/>
          <w:color w:val="000000"/>
          <w:kern w:val="0"/>
          <w:sz w:val="30"/>
          <w:szCs w:val="30"/>
        </w:rPr>
        <w:t>出口</w:t>
      </w:r>
      <w:r w:rsidR="00DC1BF9" w:rsidRPr="00AC43A2">
        <w:rPr>
          <w:rFonts w:ascii="楷体" w:eastAsia="楷体" w:hAnsi="楷体" w:cs="宋体" w:hint="eastAsia"/>
          <w:color w:val="000000"/>
          <w:kern w:val="0"/>
          <w:sz w:val="30"/>
          <w:szCs w:val="30"/>
        </w:rPr>
        <w:t>数据、旅游数据来自区商务局；利用外资数据来自区经合局；</w:t>
      </w:r>
      <w:r w:rsidRPr="00AC43A2">
        <w:rPr>
          <w:rFonts w:ascii="楷体" w:eastAsia="楷体" w:hAnsi="楷体" w:cs="宋体" w:hint="eastAsia"/>
          <w:color w:val="000000"/>
          <w:kern w:val="0"/>
          <w:sz w:val="30"/>
          <w:szCs w:val="30"/>
        </w:rPr>
        <w:t>财政</w:t>
      </w:r>
      <w:r w:rsidR="00DC1BF9" w:rsidRPr="00AC43A2">
        <w:rPr>
          <w:rFonts w:ascii="楷体" w:eastAsia="楷体" w:hAnsi="楷体" w:cs="宋体" w:hint="eastAsia"/>
          <w:color w:val="000000"/>
          <w:kern w:val="0"/>
          <w:sz w:val="30"/>
          <w:szCs w:val="30"/>
        </w:rPr>
        <w:t>税收数据</w:t>
      </w:r>
      <w:r w:rsidRPr="00AC43A2">
        <w:rPr>
          <w:rFonts w:ascii="楷体" w:eastAsia="楷体" w:hAnsi="楷体" w:cs="宋体" w:hint="eastAsia"/>
          <w:color w:val="000000"/>
          <w:kern w:val="0"/>
          <w:sz w:val="30"/>
          <w:szCs w:val="30"/>
        </w:rPr>
        <w:t>来自</w:t>
      </w:r>
      <w:r w:rsidR="00DC1BF9" w:rsidRPr="00AC43A2">
        <w:rPr>
          <w:rFonts w:ascii="楷体" w:eastAsia="楷体" w:hAnsi="楷体" w:cs="宋体" w:hint="eastAsia"/>
          <w:color w:val="000000"/>
          <w:kern w:val="0"/>
          <w:sz w:val="30"/>
          <w:szCs w:val="30"/>
        </w:rPr>
        <w:t>区</w:t>
      </w:r>
      <w:r w:rsidRPr="00AC43A2">
        <w:rPr>
          <w:rFonts w:ascii="楷体" w:eastAsia="楷体" w:hAnsi="楷体" w:cs="宋体" w:hint="eastAsia"/>
          <w:color w:val="000000"/>
          <w:kern w:val="0"/>
          <w:sz w:val="30"/>
          <w:szCs w:val="30"/>
        </w:rPr>
        <w:t>财政局；科技数据来自</w:t>
      </w:r>
      <w:r w:rsidR="00DC1BF9" w:rsidRPr="00AC43A2">
        <w:rPr>
          <w:rFonts w:ascii="楷体" w:eastAsia="楷体" w:hAnsi="楷体" w:cs="宋体" w:hint="eastAsia"/>
          <w:color w:val="000000"/>
          <w:kern w:val="0"/>
          <w:sz w:val="30"/>
          <w:szCs w:val="30"/>
        </w:rPr>
        <w:t>区</w:t>
      </w:r>
      <w:r w:rsidR="007263CA" w:rsidRPr="00AC43A2">
        <w:rPr>
          <w:rFonts w:ascii="楷体" w:eastAsia="楷体" w:hAnsi="楷体" w:cs="宋体" w:hint="eastAsia"/>
          <w:color w:val="000000"/>
          <w:kern w:val="0"/>
          <w:sz w:val="30"/>
          <w:szCs w:val="30"/>
        </w:rPr>
        <w:t>工信</w:t>
      </w:r>
      <w:r w:rsidR="00DC1BF9" w:rsidRPr="00AC43A2">
        <w:rPr>
          <w:rFonts w:ascii="楷体" w:eastAsia="楷体" w:hAnsi="楷体" w:cs="宋体" w:hint="eastAsia"/>
          <w:color w:val="000000"/>
          <w:kern w:val="0"/>
          <w:sz w:val="30"/>
          <w:szCs w:val="30"/>
        </w:rPr>
        <w:t>局；教育数据来自区</w:t>
      </w:r>
      <w:r w:rsidRPr="00AC43A2">
        <w:rPr>
          <w:rFonts w:ascii="楷体" w:eastAsia="楷体" w:hAnsi="楷体" w:cs="宋体" w:hint="eastAsia"/>
          <w:color w:val="000000"/>
          <w:kern w:val="0"/>
          <w:sz w:val="30"/>
          <w:szCs w:val="30"/>
        </w:rPr>
        <w:t>教育局；</w:t>
      </w:r>
      <w:r w:rsidR="00DC1BF9" w:rsidRPr="00AC43A2">
        <w:rPr>
          <w:rFonts w:ascii="楷体" w:eastAsia="楷体" w:hAnsi="楷体" w:cs="宋体" w:hint="eastAsia"/>
          <w:color w:val="000000"/>
          <w:kern w:val="0"/>
          <w:sz w:val="30"/>
          <w:szCs w:val="30"/>
        </w:rPr>
        <w:t>卫生数据来自区</w:t>
      </w:r>
      <w:proofErr w:type="gramStart"/>
      <w:r w:rsidR="00DC1BF9" w:rsidRPr="00AC43A2">
        <w:rPr>
          <w:rFonts w:ascii="楷体" w:eastAsia="楷体" w:hAnsi="楷体" w:cs="宋体" w:hint="eastAsia"/>
          <w:color w:val="000000"/>
          <w:kern w:val="0"/>
          <w:sz w:val="30"/>
          <w:szCs w:val="30"/>
        </w:rPr>
        <w:t>卫计局</w:t>
      </w:r>
      <w:proofErr w:type="gramEnd"/>
      <w:r w:rsidR="00DC1BF9" w:rsidRPr="00AC43A2">
        <w:rPr>
          <w:rFonts w:ascii="楷体" w:eastAsia="楷体" w:hAnsi="楷体" w:cs="宋体" w:hint="eastAsia"/>
          <w:color w:val="000000"/>
          <w:kern w:val="0"/>
          <w:sz w:val="30"/>
          <w:szCs w:val="30"/>
        </w:rPr>
        <w:t>；</w:t>
      </w:r>
      <w:r w:rsidRPr="00AC43A2">
        <w:rPr>
          <w:rFonts w:ascii="楷体" w:eastAsia="楷体" w:hAnsi="楷体" w:cs="宋体" w:hint="eastAsia"/>
          <w:color w:val="000000"/>
          <w:kern w:val="0"/>
          <w:sz w:val="30"/>
          <w:szCs w:val="30"/>
        </w:rPr>
        <w:t>文化数据来自</w:t>
      </w:r>
      <w:r w:rsidR="003871D8" w:rsidRPr="00AC43A2">
        <w:rPr>
          <w:rFonts w:ascii="楷体" w:eastAsia="楷体" w:hAnsi="楷体" w:cs="宋体" w:hint="eastAsia"/>
          <w:color w:val="000000"/>
          <w:kern w:val="0"/>
          <w:sz w:val="30"/>
          <w:szCs w:val="30"/>
        </w:rPr>
        <w:t>区文体</w:t>
      </w:r>
      <w:r w:rsidR="00DC1BF9" w:rsidRPr="00AC43A2">
        <w:rPr>
          <w:rFonts w:ascii="楷体" w:eastAsia="楷体" w:hAnsi="楷体" w:cs="宋体" w:hint="eastAsia"/>
          <w:color w:val="000000"/>
          <w:kern w:val="0"/>
          <w:sz w:val="30"/>
          <w:szCs w:val="30"/>
        </w:rPr>
        <w:t>局</w:t>
      </w:r>
      <w:r w:rsidRPr="00AC43A2">
        <w:rPr>
          <w:rFonts w:ascii="楷体" w:eastAsia="楷体" w:hAnsi="楷体" w:cs="宋体" w:hint="eastAsia"/>
          <w:color w:val="000000"/>
          <w:kern w:val="0"/>
          <w:sz w:val="30"/>
          <w:szCs w:val="30"/>
        </w:rPr>
        <w:t>；城乡居民收入数据来自国家统计局盘锦调查队；城镇养老保险、城镇医疗保险</w:t>
      </w:r>
      <w:r w:rsidR="00D80784" w:rsidRPr="00AC43A2">
        <w:rPr>
          <w:rFonts w:ascii="楷体" w:eastAsia="楷体" w:hAnsi="楷体" w:cs="宋体" w:hint="eastAsia"/>
          <w:color w:val="000000"/>
          <w:kern w:val="0"/>
          <w:sz w:val="30"/>
          <w:szCs w:val="30"/>
        </w:rPr>
        <w:t>、就业</w:t>
      </w:r>
      <w:r w:rsidRPr="00AC43A2">
        <w:rPr>
          <w:rFonts w:ascii="楷体" w:eastAsia="楷体" w:hAnsi="楷体" w:cs="宋体" w:hint="eastAsia"/>
          <w:color w:val="000000"/>
          <w:kern w:val="0"/>
          <w:sz w:val="30"/>
          <w:szCs w:val="30"/>
        </w:rPr>
        <w:t>等数据来自</w:t>
      </w:r>
      <w:r w:rsidR="00D80784" w:rsidRPr="00AC43A2">
        <w:rPr>
          <w:rFonts w:ascii="楷体" w:eastAsia="楷体" w:hAnsi="楷体" w:cs="宋体" w:hint="eastAsia"/>
          <w:color w:val="000000"/>
          <w:kern w:val="0"/>
          <w:sz w:val="30"/>
          <w:szCs w:val="30"/>
        </w:rPr>
        <w:t>区</w:t>
      </w:r>
      <w:proofErr w:type="gramStart"/>
      <w:r w:rsidRPr="00AC43A2">
        <w:rPr>
          <w:rFonts w:ascii="楷体" w:eastAsia="楷体" w:hAnsi="楷体" w:cs="宋体" w:hint="eastAsia"/>
          <w:color w:val="000000"/>
          <w:kern w:val="0"/>
          <w:sz w:val="30"/>
          <w:szCs w:val="30"/>
        </w:rPr>
        <w:t>人社局</w:t>
      </w:r>
      <w:proofErr w:type="gramEnd"/>
      <w:r w:rsidRPr="00AC43A2">
        <w:rPr>
          <w:rFonts w:ascii="楷体" w:eastAsia="楷体" w:hAnsi="楷体" w:cs="宋体" w:hint="eastAsia"/>
          <w:color w:val="000000"/>
          <w:kern w:val="0"/>
          <w:sz w:val="30"/>
          <w:szCs w:val="30"/>
        </w:rPr>
        <w:t>；城乡最低生活保障、社会福利</w:t>
      </w:r>
      <w:r w:rsidR="00D80784" w:rsidRPr="00AC43A2">
        <w:rPr>
          <w:rFonts w:ascii="楷体" w:eastAsia="楷体" w:hAnsi="楷体" w:cs="宋体" w:hint="eastAsia"/>
          <w:color w:val="000000"/>
          <w:kern w:val="0"/>
          <w:sz w:val="30"/>
          <w:szCs w:val="30"/>
        </w:rPr>
        <w:t>、婚姻登记等数据来自区</w:t>
      </w:r>
      <w:r w:rsidRPr="00AC43A2">
        <w:rPr>
          <w:rFonts w:ascii="楷体" w:eastAsia="楷体" w:hAnsi="楷体" w:cs="宋体" w:hint="eastAsia"/>
          <w:color w:val="000000"/>
          <w:kern w:val="0"/>
          <w:sz w:val="30"/>
          <w:szCs w:val="30"/>
        </w:rPr>
        <w:t>民政局；</w:t>
      </w:r>
      <w:r w:rsidR="008B0A3C" w:rsidRPr="00AC43A2">
        <w:rPr>
          <w:rFonts w:ascii="楷体" w:eastAsia="楷体" w:hAnsi="楷体" w:cs="宋体" w:hint="eastAsia"/>
          <w:color w:val="000000"/>
          <w:kern w:val="0"/>
          <w:sz w:val="30"/>
          <w:szCs w:val="30"/>
        </w:rPr>
        <w:t>资源环境</w:t>
      </w:r>
      <w:r w:rsidRPr="00AC43A2">
        <w:rPr>
          <w:rFonts w:ascii="楷体" w:eastAsia="楷体" w:hAnsi="楷体" w:cs="宋体" w:hint="eastAsia"/>
          <w:color w:val="000000"/>
          <w:kern w:val="0"/>
          <w:sz w:val="30"/>
          <w:szCs w:val="30"/>
        </w:rPr>
        <w:t>等数据来自</w:t>
      </w:r>
      <w:r w:rsidR="00D80784" w:rsidRPr="00AC43A2">
        <w:rPr>
          <w:rFonts w:ascii="楷体" w:eastAsia="楷体" w:hAnsi="楷体" w:cs="宋体" w:hint="eastAsia"/>
          <w:color w:val="000000"/>
          <w:kern w:val="0"/>
          <w:sz w:val="30"/>
          <w:szCs w:val="30"/>
        </w:rPr>
        <w:t>区环保和交通局</w:t>
      </w:r>
      <w:r w:rsidRPr="00AC43A2">
        <w:rPr>
          <w:rFonts w:ascii="楷体" w:eastAsia="楷体" w:hAnsi="楷体" w:cs="宋体" w:hint="eastAsia"/>
          <w:color w:val="000000"/>
          <w:kern w:val="0"/>
          <w:sz w:val="30"/>
          <w:szCs w:val="30"/>
        </w:rPr>
        <w:t>；安全生产数据来自</w:t>
      </w:r>
      <w:r w:rsidR="00444BA0" w:rsidRPr="00AC43A2">
        <w:rPr>
          <w:rFonts w:ascii="楷体" w:eastAsia="楷体" w:hAnsi="楷体" w:cs="宋体" w:hint="eastAsia"/>
          <w:color w:val="000000"/>
          <w:kern w:val="0"/>
          <w:sz w:val="30"/>
          <w:szCs w:val="30"/>
        </w:rPr>
        <w:t>区安监局；人口数据来自区</w:t>
      </w:r>
      <w:r w:rsidRPr="00AC43A2">
        <w:rPr>
          <w:rFonts w:ascii="楷体" w:eastAsia="楷体" w:hAnsi="楷体" w:cs="宋体" w:hint="eastAsia"/>
          <w:color w:val="000000"/>
          <w:kern w:val="0"/>
          <w:sz w:val="30"/>
          <w:szCs w:val="30"/>
        </w:rPr>
        <w:t>公安局；</w:t>
      </w:r>
      <w:r w:rsidR="008B0A3C" w:rsidRPr="00AC43A2">
        <w:rPr>
          <w:rFonts w:ascii="楷体" w:eastAsia="楷体" w:hAnsi="楷体" w:cs="宋体" w:hint="eastAsia"/>
          <w:color w:val="000000"/>
          <w:kern w:val="0"/>
          <w:sz w:val="30"/>
          <w:szCs w:val="30"/>
        </w:rPr>
        <w:t>其他数据均来自区</w:t>
      </w:r>
      <w:r w:rsidRPr="00AC43A2">
        <w:rPr>
          <w:rFonts w:ascii="楷体" w:eastAsia="楷体" w:hAnsi="楷体" w:cs="宋体" w:hint="eastAsia"/>
          <w:color w:val="000000"/>
          <w:kern w:val="0"/>
          <w:sz w:val="30"/>
          <w:szCs w:val="30"/>
        </w:rPr>
        <w:t>统计局。</w:t>
      </w:r>
    </w:p>
    <w:sectPr w:rsidR="0018306D" w:rsidRPr="00AC43A2" w:rsidSect="00681C88">
      <w:headerReference w:type="default" r:id="rId12"/>
      <w:footerReference w:type="even"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5D" w:rsidRDefault="003E6A5D" w:rsidP="00681C88">
      <w:r>
        <w:separator/>
      </w:r>
    </w:p>
  </w:endnote>
  <w:endnote w:type="continuationSeparator" w:id="0">
    <w:p w:rsidR="003E6A5D" w:rsidRDefault="003E6A5D" w:rsidP="00681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黑体"/>
    <w:charset w:val="86"/>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88" w:rsidRDefault="006268B8">
    <w:pPr>
      <w:pStyle w:val="a5"/>
      <w:framePr w:wrap="around" w:vAnchor="text" w:hAnchor="margin" w:xAlign="center" w:y="1"/>
      <w:rPr>
        <w:rStyle w:val="a9"/>
      </w:rPr>
    </w:pPr>
    <w:r>
      <w:rPr>
        <w:rStyle w:val="a9"/>
      </w:rPr>
      <w:fldChar w:fldCharType="begin"/>
    </w:r>
    <w:r w:rsidR="00874FEA">
      <w:rPr>
        <w:rStyle w:val="a9"/>
      </w:rPr>
      <w:instrText xml:space="preserve">PAGE  </w:instrText>
    </w:r>
    <w:r>
      <w:rPr>
        <w:rStyle w:val="a9"/>
      </w:rPr>
      <w:fldChar w:fldCharType="end"/>
    </w:r>
  </w:p>
  <w:p w:rsidR="00681C88" w:rsidRDefault="00681C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88" w:rsidRDefault="006268B8">
    <w:pPr>
      <w:pStyle w:val="a5"/>
      <w:framePr w:wrap="around" w:vAnchor="text" w:hAnchor="margin" w:xAlign="center" w:y="1"/>
      <w:rPr>
        <w:rStyle w:val="a9"/>
      </w:rPr>
    </w:pPr>
    <w:r>
      <w:rPr>
        <w:rStyle w:val="a9"/>
      </w:rPr>
      <w:fldChar w:fldCharType="begin"/>
    </w:r>
    <w:r w:rsidR="00874FEA">
      <w:rPr>
        <w:rStyle w:val="a9"/>
      </w:rPr>
      <w:instrText xml:space="preserve">PAGE  </w:instrText>
    </w:r>
    <w:r>
      <w:rPr>
        <w:rStyle w:val="a9"/>
      </w:rPr>
      <w:fldChar w:fldCharType="separate"/>
    </w:r>
    <w:r w:rsidR="00737B46">
      <w:rPr>
        <w:rStyle w:val="a9"/>
        <w:noProof/>
      </w:rPr>
      <w:t>5</w:t>
    </w:r>
    <w:r>
      <w:rPr>
        <w:rStyle w:val="a9"/>
      </w:rPr>
      <w:fldChar w:fldCharType="end"/>
    </w:r>
  </w:p>
  <w:p w:rsidR="00681C88" w:rsidRDefault="00681C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5D" w:rsidRDefault="003E6A5D" w:rsidP="00681C88">
      <w:r>
        <w:separator/>
      </w:r>
    </w:p>
  </w:footnote>
  <w:footnote w:type="continuationSeparator" w:id="0">
    <w:p w:rsidR="003E6A5D" w:rsidRDefault="003E6A5D" w:rsidP="00681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88" w:rsidRDefault="00681C88">
    <w:pPr>
      <w:pStyle w:val="a6"/>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2169A"/>
    <w:multiLevelType w:val="singleLevel"/>
    <w:tmpl w:val="0000000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02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28B"/>
    <w:rsid w:val="00000946"/>
    <w:rsid w:val="00000C58"/>
    <w:rsid w:val="000020B1"/>
    <w:rsid w:val="0000238C"/>
    <w:rsid w:val="000037F5"/>
    <w:rsid w:val="00004C07"/>
    <w:rsid w:val="0000622C"/>
    <w:rsid w:val="000114C9"/>
    <w:rsid w:val="000175E6"/>
    <w:rsid w:val="00020958"/>
    <w:rsid w:val="00024ACF"/>
    <w:rsid w:val="000259A1"/>
    <w:rsid w:val="00025C92"/>
    <w:rsid w:val="00025FBD"/>
    <w:rsid w:val="0003026D"/>
    <w:rsid w:val="00031D27"/>
    <w:rsid w:val="00032E2E"/>
    <w:rsid w:val="000332E7"/>
    <w:rsid w:val="000343DD"/>
    <w:rsid w:val="00034F73"/>
    <w:rsid w:val="00035F2E"/>
    <w:rsid w:val="00040A0F"/>
    <w:rsid w:val="00041731"/>
    <w:rsid w:val="0004208E"/>
    <w:rsid w:val="00042617"/>
    <w:rsid w:val="00043F7E"/>
    <w:rsid w:val="000443DF"/>
    <w:rsid w:val="0004467E"/>
    <w:rsid w:val="0004513B"/>
    <w:rsid w:val="00045230"/>
    <w:rsid w:val="00045F19"/>
    <w:rsid w:val="00050FFA"/>
    <w:rsid w:val="00053046"/>
    <w:rsid w:val="00054292"/>
    <w:rsid w:val="00054E0E"/>
    <w:rsid w:val="00056313"/>
    <w:rsid w:val="00060BB5"/>
    <w:rsid w:val="00061881"/>
    <w:rsid w:val="00061A3B"/>
    <w:rsid w:val="000629A2"/>
    <w:rsid w:val="00062E65"/>
    <w:rsid w:val="0006635C"/>
    <w:rsid w:val="0007269E"/>
    <w:rsid w:val="00073E4C"/>
    <w:rsid w:val="00074359"/>
    <w:rsid w:val="000749AE"/>
    <w:rsid w:val="00074A2C"/>
    <w:rsid w:val="00075431"/>
    <w:rsid w:val="00076BC3"/>
    <w:rsid w:val="00076E49"/>
    <w:rsid w:val="00080030"/>
    <w:rsid w:val="000800D4"/>
    <w:rsid w:val="00080C36"/>
    <w:rsid w:val="00081447"/>
    <w:rsid w:val="00082423"/>
    <w:rsid w:val="0008348D"/>
    <w:rsid w:val="000842F2"/>
    <w:rsid w:val="00084E2E"/>
    <w:rsid w:val="00085296"/>
    <w:rsid w:val="00085AAA"/>
    <w:rsid w:val="00085C4A"/>
    <w:rsid w:val="00090610"/>
    <w:rsid w:val="000906AE"/>
    <w:rsid w:val="00090B8B"/>
    <w:rsid w:val="000933C5"/>
    <w:rsid w:val="0009582B"/>
    <w:rsid w:val="000962C7"/>
    <w:rsid w:val="000963EF"/>
    <w:rsid w:val="000967CF"/>
    <w:rsid w:val="00097837"/>
    <w:rsid w:val="000A0388"/>
    <w:rsid w:val="000A11E2"/>
    <w:rsid w:val="000A180A"/>
    <w:rsid w:val="000A30D7"/>
    <w:rsid w:val="000A3C1D"/>
    <w:rsid w:val="000B12C8"/>
    <w:rsid w:val="000B2804"/>
    <w:rsid w:val="000B2FFF"/>
    <w:rsid w:val="000B3389"/>
    <w:rsid w:val="000B39BF"/>
    <w:rsid w:val="000B678A"/>
    <w:rsid w:val="000B7266"/>
    <w:rsid w:val="000C076E"/>
    <w:rsid w:val="000C090C"/>
    <w:rsid w:val="000C1E1C"/>
    <w:rsid w:val="000C1F93"/>
    <w:rsid w:val="000C297E"/>
    <w:rsid w:val="000C2CEE"/>
    <w:rsid w:val="000C455A"/>
    <w:rsid w:val="000C46BD"/>
    <w:rsid w:val="000C5136"/>
    <w:rsid w:val="000C6043"/>
    <w:rsid w:val="000C6562"/>
    <w:rsid w:val="000D013F"/>
    <w:rsid w:val="000D045D"/>
    <w:rsid w:val="000D1BFE"/>
    <w:rsid w:val="000D2AED"/>
    <w:rsid w:val="000D4D1A"/>
    <w:rsid w:val="000D50D4"/>
    <w:rsid w:val="000D6BF1"/>
    <w:rsid w:val="000E07A8"/>
    <w:rsid w:val="000E2B52"/>
    <w:rsid w:val="000E2C29"/>
    <w:rsid w:val="000E364D"/>
    <w:rsid w:val="000F0130"/>
    <w:rsid w:val="000F059E"/>
    <w:rsid w:val="000F0ADA"/>
    <w:rsid w:val="000F1D1D"/>
    <w:rsid w:val="000F32B8"/>
    <w:rsid w:val="000F3367"/>
    <w:rsid w:val="000F3A36"/>
    <w:rsid w:val="000F74EA"/>
    <w:rsid w:val="000F7911"/>
    <w:rsid w:val="00103326"/>
    <w:rsid w:val="00104211"/>
    <w:rsid w:val="00104219"/>
    <w:rsid w:val="00104893"/>
    <w:rsid w:val="00105CFE"/>
    <w:rsid w:val="00106A0D"/>
    <w:rsid w:val="001116A7"/>
    <w:rsid w:val="001125DC"/>
    <w:rsid w:val="0011282D"/>
    <w:rsid w:val="001135BE"/>
    <w:rsid w:val="00114BCF"/>
    <w:rsid w:val="00114BE9"/>
    <w:rsid w:val="00116400"/>
    <w:rsid w:val="00117D60"/>
    <w:rsid w:val="001226BC"/>
    <w:rsid w:val="001238BD"/>
    <w:rsid w:val="00124647"/>
    <w:rsid w:val="00126400"/>
    <w:rsid w:val="00126739"/>
    <w:rsid w:val="00127D39"/>
    <w:rsid w:val="0013039E"/>
    <w:rsid w:val="00131F66"/>
    <w:rsid w:val="00133246"/>
    <w:rsid w:val="0013369F"/>
    <w:rsid w:val="001344BC"/>
    <w:rsid w:val="001365A4"/>
    <w:rsid w:val="0014051F"/>
    <w:rsid w:val="00141560"/>
    <w:rsid w:val="001423C5"/>
    <w:rsid w:val="001432B8"/>
    <w:rsid w:val="00143A06"/>
    <w:rsid w:val="00144CB9"/>
    <w:rsid w:val="00145483"/>
    <w:rsid w:val="0014764C"/>
    <w:rsid w:val="001476C2"/>
    <w:rsid w:val="00150EBF"/>
    <w:rsid w:val="00151269"/>
    <w:rsid w:val="001515C5"/>
    <w:rsid w:val="0015210B"/>
    <w:rsid w:val="00152201"/>
    <w:rsid w:val="001542C1"/>
    <w:rsid w:val="0015443C"/>
    <w:rsid w:val="001557F3"/>
    <w:rsid w:val="00160C16"/>
    <w:rsid w:val="001634E3"/>
    <w:rsid w:val="001658DB"/>
    <w:rsid w:val="00167133"/>
    <w:rsid w:val="00167600"/>
    <w:rsid w:val="00172A27"/>
    <w:rsid w:val="00174313"/>
    <w:rsid w:val="001751BF"/>
    <w:rsid w:val="00175D35"/>
    <w:rsid w:val="00175EE7"/>
    <w:rsid w:val="00176AF1"/>
    <w:rsid w:val="00181579"/>
    <w:rsid w:val="0018306D"/>
    <w:rsid w:val="00184DDD"/>
    <w:rsid w:val="001854E6"/>
    <w:rsid w:val="00186424"/>
    <w:rsid w:val="0019360A"/>
    <w:rsid w:val="00195232"/>
    <w:rsid w:val="00197345"/>
    <w:rsid w:val="001977BB"/>
    <w:rsid w:val="001A1259"/>
    <w:rsid w:val="001A4BE7"/>
    <w:rsid w:val="001A578C"/>
    <w:rsid w:val="001A628D"/>
    <w:rsid w:val="001B0E39"/>
    <w:rsid w:val="001B45C0"/>
    <w:rsid w:val="001B7764"/>
    <w:rsid w:val="001C0580"/>
    <w:rsid w:val="001C09A0"/>
    <w:rsid w:val="001C4067"/>
    <w:rsid w:val="001C4314"/>
    <w:rsid w:val="001C5763"/>
    <w:rsid w:val="001C6918"/>
    <w:rsid w:val="001C70C4"/>
    <w:rsid w:val="001C7B33"/>
    <w:rsid w:val="001C7C82"/>
    <w:rsid w:val="001D1A62"/>
    <w:rsid w:val="001D2859"/>
    <w:rsid w:val="001D3DA4"/>
    <w:rsid w:val="001D4A75"/>
    <w:rsid w:val="001D5A8F"/>
    <w:rsid w:val="001D7CD8"/>
    <w:rsid w:val="001E04E4"/>
    <w:rsid w:val="001E3341"/>
    <w:rsid w:val="001E5AAD"/>
    <w:rsid w:val="001E6E4D"/>
    <w:rsid w:val="001F07AE"/>
    <w:rsid w:val="001F0B49"/>
    <w:rsid w:val="001F1DA6"/>
    <w:rsid w:val="001F2B2F"/>
    <w:rsid w:val="001F2C10"/>
    <w:rsid w:val="001F7556"/>
    <w:rsid w:val="00201A5D"/>
    <w:rsid w:val="002034F8"/>
    <w:rsid w:val="0020378D"/>
    <w:rsid w:val="00203C1E"/>
    <w:rsid w:val="0020446B"/>
    <w:rsid w:val="00205C87"/>
    <w:rsid w:val="00210A2E"/>
    <w:rsid w:val="00220FCD"/>
    <w:rsid w:val="00221D3C"/>
    <w:rsid w:val="00221F0B"/>
    <w:rsid w:val="00223D48"/>
    <w:rsid w:val="00224B13"/>
    <w:rsid w:val="00225206"/>
    <w:rsid w:val="002271E8"/>
    <w:rsid w:val="00230F08"/>
    <w:rsid w:val="00231E56"/>
    <w:rsid w:val="00234EE8"/>
    <w:rsid w:val="002353D6"/>
    <w:rsid w:val="00235DB0"/>
    <w:rsid w:val="00235FB6"/>
    <w:rsid w:val="00235FE4"/>
    <w:rsid w:val="00236390"/>
    <w:rsid w:val="00236B59"/>
    <w:rsid w:val="0023707C"/>
    <w:rsid w:val="00240725"/>
    <w:rsid w:val="00241BA8"/>
    <w:rsid w:val="0024201F"/>
    <w:rsid w:val="00243949"/>
    <w:rsid w:val="00244969"/>
    <w:rsid w:val="00245406"/>
    <w:rsid w:val="0024603A"/>
    <w:rsid w:val="0025355D"/>
    <w:rsid w:val="00256A51"/>
    <w:rsid w:val="00256B59"/>
    <w:rsid w:val="002606AF"/>
    <w:rsid w:val="00262E27"/>
    <w:rsid w:val="00262EC4"/>
    <w:rsid w:val="002643A4"/>
    <w:rsid w:val="00264F07"/>
    <w:rsid w:val="00264F6C"/>
    <w:rsid w:val="0026528B"/>
    <w:rsid w:val="00266223"/>
    <w:rsid w:val="002716CD"/>
    <w:rsid w:val="00272C6B"/>
    <w:rsid w:val="00272ED1"/>
    <w:rsid w:val="00273ACA"/>
    <w:rsid w:val="00274B2C"/>
    <w:rsid w:val="002775C1"/>
    <w:rsid w:val="00277674"/>
    <w:rsid w:val="00280CDC"/>
    <w:rsid w:val="00281741"/>
    <w:rsid w:val="00283E63"/>
    <w:rsid w:val="00284F4E"/>
    <w:rsid w:val="002857B4"/>
    <w:rsid w:val="002869DB"/>
    <w:rsid w:val="00287914"/>
    <w:rsid w:val="00290DEE"/>
    <w:rsid w:val="002913B3"/>
    <w:rsid w:val="00291530"/>
    <w:rsid w:val="00292C62"/>
    <w:rsid w:val="002935CB"/>
    <w:rsid w:val="00293C6C"/>
    <w:rsid w:val="00295BE4"/>
    <w:rsid w:val="0029665F"/>
    <w:rsid w:val="00297D28"/>
    <w:rsid w:val="002A1BF5"/>
    <w:rsid w:val="002A3E24"/>
    <w:rsid w:val="002A544A"/>
    <w:rsid w:val="002A5835"/>
    <w:rsid w:val="002A6BBB"/>
    <w:rsid w:val="002B039E"/>
    <w:rsid w:val="002B0A5F"/>
    <w:rsid w:val="002B0D14"/>
    <w:rsid w:val="002B2791"/>
    <w:rsid w:val="002B2E4C"/>
    <w:rsid w:val="002B4845"/>
    <w:rsid w:val="002B5F0D"/>
    <w:rsid w:val="002C30EA"/>
    <w:rsid w:val="002C3110"/>
    <w:rsid w:val="002C6ADA"/>
    <w:rsid w:val="002D27A3"/>
    <w:rsid w:val="002D440A"/>
    <w:rsid w:val="002D5BE7"/>
    <w:rsid w:val="002D5C01"/>
    <w:rsid w:val="002D7120"/>
    <w:rsid w:val="002D73C7"/>
    <w:rsid w:val="002E0020"/>
    <w:rsid w:val="002E1667"/>
    <w:rsid w:val="002E174D"/>
    <w:rsid w:val="002E45D8"/>
    <w:rsid w:val="002E6FB2"/>
    <w:rsid w:val="002F01D7"/>
    <w:rsid w:val="002F105C"/>
    <w:rsid w:val="002F45B8"/>
    <w:rsid w:val="002F7F25"/>
    <w:rsid w:val="00302E27"/>
    <w:rsid w:val="003032CF"/>
    <w:rsid w:val="00305618"/>
    <w:rsid w:val="003057F5"/>
    <w:rsid w:val="003115A2"/>
    <w:rsid w:val="003115C7"/>
    <w:rsid w:val="00311B31"/>
    <w:rsid w:val="00312A04"/>
    <w:rsid w:val="00313DD3"/>
    <w:rsid w:val="00314656"/>
    <w:rsid w:val="003149E1"/>
    <w:rsid w:val="0031688D"/>
    <w:rsid w:val="00316962"/>
    <w:rsid w:val="003174B0"/>
    <w:rsid w:val="00320119"/>
    <w:rsid w:val="00320901"/>
    <w:rsid w:val="00321439"/>
    <w:rsid w:val="0032197D"/>
    <w:rsid w:val="0032236F"/>
    <w:rsid w:val="00324960"/>
    <w:rsid w:val="00324D4F"/>
    <w:rsid w:val="00325212"/>
    <w:rsid w:val="00325C44"/>
    <w:rsid w:val="0032709B"/>
    <w:rsid w:val="003276FC"/>
    <w:rsid w:val="003309DE"/>
    <w:rsid w:val="003341EE"/>
    <w:rsid w:val="00334462"/>
    <w:rsid w:val="003344FC"/>
    <w:rsid w:val="003348F1"/>
    <w:rsid w:val="0033525F"/>
    <w:rsid w:val="00343029"/>
    <w:rsid w:val="00344906"/>
    <w:rsid w:val="00344BEF"/>
    <w:rsid w:val="00346533"/>
    <w:rsid w:val="00353EAE"/>
    <w:rsid w:val="00353EC1"/>
    <w:rsid w:val="00353FA6"/>
    <w:rsid w:val="00356D4F"/>
    <w:rsid w:val="00360E6D"/>
    <w:rsid w:val="00360F5B"/>
    <w:rsid w:val="00361B1D"/>
    <w:rsid w:val="00361CCE"/>
    <w:rsid w:val="0036222C"/>
    <w:rsid w:val="003633F3"/>
    <w:rsid w:val="00363EE1"/>
    <w:rsid w:val="0036418B"/>
    <w:rsid w:val="00364CF1"/>
    <w:rsid w:val="00365017"/>
    <w:rsid w:val="0036524E"/>
    <w:rsid w:val="003652AE"/>
    <w:rsid w:val="003656BB"/>
    <w:rsid w:val="0036606E"/>
    <w:rsid w:val="00366CC4"/>
    <w:rsid w:val="00366D49"/>
    <w:rsid w:val="0036729C"/>
    <w:rsid w:val="00371693"/>
    <w:rsid w:val="0037349D"/>
    <w:rsid w:val="00373E58"/>
    <w:rsid w:val="003756BA"/>
    <w:rsid w:val="003767C9"/>
    <w:rsid w:val="003805CE"/>
    <w:rsid w:val="003808A0"/>
    <w:rsid w:val="00384B91"/>
    <w:rsid w:val="0038601E"/>
    <w:rsid w:val="00386162"/>
    <w:rsid w:val="00386772"/>
    <w:rsid w:val="00387137"/>
    <w:rsid w:val="003871D8"/>
    <w:rsid w:val="003904F7"/>
    <w:rsid w:val="00394289"/>
    <w:rsid w:val="003960DD"/>
    <w:rsid w:val="0039651E"/>
    <w:rsid w:val="003970A5"/>
    <w:rsid w:val="003A3039"/>
    <w:rsid w:val="003A379E"/>
    <w:rsid w:val="003A3CAB"/>
    <w:rsid w:val="003A3DD5"/>
    <w:rsid w:val="003A4980"/>
    <w:rsid w:val="003A58F2"/>
    <w:rsid w:val="003B0952"/>
    <w:rsid w:val="003B12AB"/>
    <w:rsid w:val="003B131C"/>
    <w:rsid w:val="003B2691"/>
    <w:rsid w:val="003B51BA"/>
    <w:rsid w:val="003B6EEC"/>
    <w:rsid w:val="003B716C"/>
    <w:rsid w:val="003C25C9"/>
    <w:rsid w:val="003C353E"/>
    <w:rsid w:val="003C3D14"/>
    <w:rsid w:val="003C3E69"/>
    <w:rsid w:val="003C4669"/>
    <w:rsid w:val="003C52AD"/>
    <w:rsid w:val="003C5414"/>
    <w:rsid w:val="003D09AF"/>
    <w:rsid w:val="003D0AD5"/>
    <w:rsid w:val="003D2606"/>
    <w:rsid w:val="003D33B2"/>
    <w:rsid w:val="003D6C4F"/>
    <w:rsid w:val="003D6C80"/>
    <w:rsid w:val="003E09B0"/>
    <w:rsid w:val="003E2E44"/>
    <w:rsid w:val="003E3527"/>
    <w:rsid w:val="003E3599"/>
    <w:rsid w:val="003E47EF"/>
    <w:rsid w:val="003E5EAE"/>
    <w:rsid w:val="003E6067"/>
    <w:rsid w:val="003E6A5D"/>
    <w:rsid w:val="003E7131"/>
    <w:rsid w:val="003E7E05"/>
    <w:rsid w:val="003F03A8"/>
    <w:rsid w:val="003F0EC5"/>
    <w:rsid w:val="003F0EDB"/>
    <w:rsid w:val="003F1E7E"/>
    <w:rsid w:val="003F1F6A"/>
    <w:rsid w:val="003F2994"/>
    <w:rsid w:val="003F38A3"/>
    <w:rsid w:val="003F3D1D"/>
    <w:rsid w:val="003F5C1C"/>
    <w:rsid w:val="003F5D04"/>
    <w:rsid w:val="003F71D2"/>
    <w:rsid w:val="003F723D"/>
    <w:rsid w:val="003F7FBA"/>
    <w:rsid w:val="004017EB"/>
    <w:rsid w:val="00405A72"/>
    <w:rsid w:val="004113C4"/>
    <w:rsid w:val="00412639"/>
    <w:rsid w:val="00413C89"/>
    <w:rsid w:val="00414378"/>
    <w:rsid w:val="00414B46"/>
    <w:rsid w:val="00415050"/>
    <w:rsid w:val="0041538D"/>
    <w:rsid w:val="004157DC"/>
    <w:rsid w:val="00415E9B"/>
    <w:rsid w:val="004172FA"/>
    <w:rsid w:val="0042099E"/>
    <w:rsid w:val="00421B8F"/>
    <w:rsid w:val="004225E9"/>
    <w:rsid w:val="00423A99"/>
    <w:rsid w:val="00424B56"/>
    <w:rsid w:val="00427346"/>
    <w:rsid w:val="00427F51"/>
    <w:rsid w:val="004302CF"/>
    <w:rsid w:val="00431898"/>
    <w:rsid w:val="00433F6B"/>
    <w:rsid w:val="0043579E"/>
    <w:rsid w:val="00436F88"/>
    <w:rsid w:val="0043718D"/>
    <w:rsid w:val="004412CC"/>
    <w:rsid w:val="004415BD"/>
    <w:rsid w:val="0044219E"/>
    <w:rsid w:val="00442581"/>
    <w:rsid w:val="00444BA0"/>
    <w:rsid w:val="00451DC8"/>
    <w:rsid w:val="004553BA"/>
    <w:rsid w:val="00455645"/>
    <w:rsid w:val="0045576C"/>
    <w:rsid w:val="004557EE"/>
    <w:rsid w:val="00455AF5"/>
    <w:rsid w:val="00463D6D"/>
    <w:rsid w:val="00465DF9"/>
    <w:rsid w:val="0046662C"/>
    <w:rsid w:val="00466F83"/>
    <w:rsid w:val="00470588"/>
    <w:rsid w:val="00470FE1"/>
    <w:rsid w:val="004716C6"/>
    <w:rsid w:val="00471ADC"/>
    <w:rsid w:val="00474B04"/>
    <w:rsid w:val="00475072"/>
    <w:rsid w:val="004753B7"/>
    <w:rsid w:val="004754FA"/>
    <w:rsid w:val="00475BBF"/>
    <w:rsid w:val="00475E52"/>
    <w:rsid w:val="00475EB4"/>
    <w:rsid w:val="0048152F"/>
    <w:rsid w:val="0048190F"/>
    <w:rsid w:val="004823F8"/>
    <w:rsid w:val="004843C0"/>
    <w:rsid w:val="004850E7"/>
    <w:rsid w:val="004864FC"/>
    <w:rsid w:val="00486C0A"/>
    <w:rsid w:val="0049090B"/>
    <w:rsid w:val="00492226"/>
    <w:rsid w:val="004932AC"/>
    <w:rsid w:val="00493412"/>
    <w:rsid w:val="00493A1C"/>
    <w:rsid w:val="004944F1"/>
    <w:rsid w:val="004946E9"/>
    <w:rsid w:val="00495C29"/>
    <w:rsid w:val="004961A9"/>
    <w:rsid w:val="004A0227"/>
    <w:rsid w:val="004A29EC"/>
    <w:rsid w:val="004A3149"/>
    <w:rsid w:val="004A435A"/>
    <w:rsid w:val="004A52E9"/>
    <w:rsid w:val="004A5AC2"/>
    <w:rsid w:val="004A67E1"/>
    <w:rsid w:val="004A6AF1"/>
    <w:rsid w:val="004A7F97"/>
    <w:rsid w:val="004A7FEB"/>
    <w:rsid w:val="004B2485"/>
    <w:rsid w:val="004B31DC"/>
    <w:rsid w:val="004B6BF1"/>
    <w:rsid w:val="004C01F4"/>
    <w:rsid w:val="004C1B1B"/>
    <w:rsid w:val="004C2F18"/>
    <w:rsid w:val="004C3094"/>
    <w:rsid w:val="004C4684"/>
    <w:rsid w:val="004C5CFD"/>
    <w:rsid w:val="004C733F"/>
    <w:rsid w:val="004C7A1C"/>
    <w:rsid w:val="004D3F45"/>
    <w:rsid w:val="004D5663"/>
    <w:rsid w:val="004D6614"/>
    <w:rsid w:val="004D6756"/>
    <w:rsid w:val="004E03F3"/>
    <w:rsid w:val="004E05AE"/>
    <w:rsid w:val="004E2071"/>
    <w:rsid w:val="004E28B8"/>
    <w:rsid w:val="004E3EF2"/>
    <w:rsid w:val="004E53E4"/>
    <w:rsid w:val="004E723C"/>
    <w:rsid w:val="004E7C20"/>
    <w:rsid w:val="004E7E5C"/>
    <w:rsid w:val="004F44AF"/>
    <w:rsid w:val="004F5DEC"/>
    <w:rsid w:val="004F675A"/>
    <w:rsid w:val="004F6A7E"/>
    <w:rsid w:val="004F6B02"/>
    <w:rsid w:val="00501595"/>
    <w:rsid w:val="00501DC6"/>
    <w:rsid w:val="00502118"/>
    <w:rsid w:val="0050389E"/>
    <w:rsid w:val="00504A0E"/>
    <w:rsid w:val="005052F4"/>
    <w:rsid w:val="00505E02"/>
    <w:rsid w:val="00506AD4"/>
    <w:rsid w:val="00510E04"/>
    <w:rsid w:val="00511591"/>
    <w:rsid w:val="005128EC"/>
    <w:rsid w:val="00513F6A"/>
    <w:rsid w:val="005140A6"/>
    <w:rsid w:val="0051529B"/>
    <w:rsid w:val="00515544"/>
    <w:rsid w:val="0051785F"/>
    <w:rsid w:val="00517AFD"/>
    <w:rsid w:val="00517C40"/>
    <w:rsid w:val="0052005E"/>
    <w:rsid w:val="00521D58"/>
    <w:rsid w:val="0052478B"/>
    <w:rsid w:val="0052699A"/>
    <w:rsid w:val="00526EAE"/>
    <w:rsid w:val="00530DF6"/>
    <w:rsid w:val="005320E5"/>
    <w:rsid w:val="00533318"/>
    <w:rsid w:val="00533BCA"/>
    <w:rsid w:val="0053518F"/>
    <w:rsid w:val="005362BA"/>
    <w:rsid w:val="00536A91"/>
    <w:rsid w:val="005373A6"/>
    <w:rsid w:val="00540490"/>
    <w:rsid w:val="00540D63"/>
    <w:rsid w:val="00543D79"/>
    <w:rsid w:val="00545CCA"/>
    <w:rsid w:val="00550B7E"/>
    <w:rsid w:val="0055279B"/>
    <w:rsid w:val="00552824"/>
    <w:rsid w:val="005540A8"/>
    <w:rsid w:val="00555AE0"/>
    <w:rsid w:val="00556AE9"/>
    <w:rsid w:val="005609F9"/>
    <w:rsid w:val="00562B80"/>
    <w:rsid w:val="00562E0C"/>
    <w:rsid w:val="005633E9"/>
    <w:rsid w:val="00566D40"/>
    <w:rsid w:val="0057034E"/>
    <w:rsid w:val="0057258C"/>
    <w:rsid w:val="00572A72"/>
    <w:rsid w:val="005818D3"/>
    <w:rsid w:val="00585C23"/>
    <w:rsid w:val="00590E65"/>
    <w:rsid w:val="00590F0E"/>
    <w:rsid w:val="00594165"/>
    <w:rsid w:val="00594F82"/>
    <w:rsid w:val="005959E3"/>
    <w:rsid w:val="00596099"/>
    <w:rsid w:val="00596964"/>
    <w:rsid w:val="00596F2A"/>
    <w:rsid w:val="0059757F"/>
    <w:rsid w:val="00597BFE"/>
    <w:rsid w:val="00597C58"/>
    <w:rsid w:val="00597DA9"/>
    <w:rsid w:val="005A0F78"/>
    <w:rsid w:val="005A1FA1"/>
    <w:rsid w:val="005A344D"/>
    <w:rsid w:val="005A3C3B"/>
    <w:rsid w:val="005A4657"/>
    <w:rsid w:val="005A49FB"/>
    <w:rsid w:val="005A7D58"/>
    <w:rsid w:val="005B0138"/>
    <w:rsid w:val="005B115E"/>
    <w:rsid w:val="005B17E5"/>
    <w:rsid w:val="005B200F"/>
    <w:rsid w:val="005B2ECC"/>
    <w:rsid w:val="005B2F46"/>
    <w:rsid w:val="005B5011"/>
    <w:rsid w:val="005B504A"/>
    <w:rsid w:val="005B6D88"/>
    <w:rsid w:val="005B7CFE"/>
    <w:rsid w:val="005C18DA"/>
    <w:rsid w:val="005C1B20"/>
    <w:rsid w:val="005C1F34"/>
    <w:rsid w:val="005C5637"/>
    <w:rsid w:val="005C598D"/>
    <w:rsid w:val="005C5D0C"/>
    <w:rsid w:val="005C6D94"/>
    <w:rsid w:val="005C70DB"/>
    <w:rsid w:val="005D2E75"/>
    <w:rsid w:val="005D3D19"/>
    <w:rsid w:val="005D5A23"/>
    <w:rsid w:val="005D7D43"/>
    <w:rsid w:val="005E02B6"/>
    <w:rsid w:val="005E0354"/>
    <w:rsid w:val="005E0EAA"/>
    <w:rsid w:val="005E0EFA"/>
    <w:rsid w:val="005E466F"/>
    <w:rsid w:val="005E4B0F"/>
    <w:rsid w:val="005E50E9"/>
    <w:rsid w:val="005E5F7E"/>
    <w:rsid w:val="005E60B0"/>
    <w:rsid w:val="005E65F8"/>
    <w:rsid w:val="005E6CD1"/>
    <w:rsid w:val="005E7545"/>
    <w:rsid w:val="005E78CA"/>
    <w:rsid w:val="005F0AE9"/>
    <w:rsid w:val="005F1CE4"/>
    <w:rsid w:val="005F243E"/>
    <w:rsid w:val="005F318A"/>
    <w:rsid w:val="005F4EEA"/>
    <w:rsid w:val="005F6FE0"/>
    <w:rsid w:val="005F745C"/>
    <w:rsid w:val="00601051"/>
    <w:rsid w:val="006010D7"/>
    <w:rsid w:val="006020E1"/>
    <w:rsid w:val="00602408"/>
    <w:rsid w:val="00602F61"/>
    <w:rsid w:val="006034C9"/>
    <w:rsid w:val="0060389A"/>
    <w:rsid w:val="00603D67"/>
    <w:rsid w:val="00605AF6"/>
    <w:rsid w:val="006060FC"/>
    <w:rsid w:val="00606A42"/>
    <w:rsid w:val="00606E23"/>
    <w:rsid w:val="006077C3"/>
    <w:rsid w:val="006105BD"/>
    <w:rsid w:val="00615109"/>
    <w:rsid w:val="006156C8"/>
    <w:rsid w:val="006173FF"/>
    <w:rsid w:val="0062103C"/>
    <w:rsid w:val="00621C93"/>
    <w:rsid w:val="006230AF"/>
    <w:rsid w:val="00625B21"/>
    <w:rsid w:val="006268B8"/>
    <w:rsid w:val="00627FFE"/>
    <w:rsid w:val="00631E16"/>
    <w:rsid w:val="0063246B"/>
    <w:rsid w:val="00632B37"/>
    <w:rsid w:val="0063399F"/>
    <w:rsid w:val="00634BB5"/>
    <w:rsid w:val="006357CF"/>
    <w:rsid w:val="00635AD9"/>
    <w:rsid w:val="006400F4"/>
    <w:rsid w:val="00640C24"/>
    <w:rsid w:val="00640C64"/>
    <w:rsid w:val="00641AB4"/>
    <w:rsid w:val="006423A0"/>
    <w:rsid w:val="00644644"/>
    <w:rsid w:val="00645300"/>
    <w:rsid w:val="0064547F"/>
    <w:rsid w:val="00646D42"/>
    <w:rsid w:val="006479F8"/>
    <w:rsid w:val="00647EE5"/>
    <w:rsid w:val="006500CF"/>
    <w:rsid w:val="0065020C"/>
    <w:rsid w:val="00650925"/>
    <w:rsid w:val="0065325C"/>
    <w:rsid w:val="00654811"/>
    <w:rsid w:val="00654849"/>
    <w:rsid w:val="006557BE"/>
    <w:rsid w:val="0065725C"/>
    <w:rsid w:val="00657E44"/>
    <w:rsid w:val="006618FD"/>
    <w:rsid w:val="006639C4"/>
    <w:rsid w:val="00663BFF"/>
    <w:rsid w:val="00664E9A"/>
    <w:rsid w:val="00665422"/>
    <w:rsid w:val="00671C3A"/>
    <w:rsid w:val="0067277D"/>
    <w:rsid w:val="0067306B"/>
    <w:rsid w:val="0067764D"/>
    <w:rsid w:val="006801B9"/>
    <w:rsid w:val="00681C88"/>
    <w:rsid w:val="006830FA"/>
    <w:rsid w:val="006834CF"/>
    <w:rsid w:val="00683821"/>
    <w:rsid w:val="00691A39"/>
    <w:rsid w:val="00692A4C"/>
    <w:rsid w:val="006939F7"/>
    <w:rsid w:val="00694EC8"/>
    <w:rsid w:val="006956B6"/>
    <w:rsid w:val="006964B9"/>
    <w:rsid w:val="00696603"/>
    <w:rsid w:val="006A2D07"/>
    <w:rsid w:val="006A4BAA"/>
    <w:rsid w:val="006A5FA3"/>
    <w:rsid w:val="006A73AA"/>
    <w:rsid w:val="006B3DE1"/>
    <w:rsid w:val="006B5538"/>
    <w:rsid w:val="006B5C6F"/>
    <w:rsid w:val="006B5E07"/>
    <w:rsid w:val="006C00F2"/>
    <w:rsid w:val="006C14B3"/>
    <w:rsid w:val="006C2ECE"/>
    <w:rsid w:val="006C3E5F"/>
    <w:rsid w:val="006C42EF"/>
    <w:rsid w:val="006C4510"/>
    <w:rsid w:val="006C53C7"/>
    <w:rsid w:val="006C56CC"/>
    <w:rsid w:val="006C5DB2"/>
    <w:rsid w:val="006C7077"/>
    <w:rsid w:val="006D0003"/>
    <w:rsid w:val="006D165E"/>
    <w:rsid w:val="006D196C"/>
    <w:rsid w:val="006D211F"/>
    <w:rsid w:val="006D2A82"/>
    <w:rsid w:val="006D405B"/>
    <w:rsid w:val="006D4281"/>
    <w:rsid w:val="006D4912"/>
    <w:rsid w:val="006D4B2D"/>
    <w:rsid w:val="006D7617"/>
    <w:rsid w:val="006E2758"/>
    <w:rsid w:val="006E462B"/>
    <w:rsid w:val="006E50C6"/>
    <w:rsid w:val="006F08BF"/>
    <w:rsid w:val="006F127A"/>
    <w:rsid w:val="006F239F"/>
    <w:rsid w:val="006F2863"/>
    <w:rsid w:val="006F2A9E"/>
    <w:rsid w:val="006F3755"/>
    <w:rsid w:val="006F5574"/>
    <w:rsid w:val="006F5DB2"/>
    <w:rsid w:val="006F5DC0"/>
    <w:rsid w:val="00700BF1"/>
    <w:rsid w:val="00700C2D"/>
    <w:rsid w:val="007032E5"/>
    <w:rsid w:val="00703D5C"/>
    <w:rsid w:val="00704CA8"/>
    <w:rsid w:val="00705A0D"/>
    <w:rsid w:val="007065D0"/>
    <w:rsid w:val="00710271"/>
    <w:rsid w:val="007122FD"/>
    <w:rsid w:val="007127C4"/>
    <w:rsid w:val="007151B5"/>
    <w:rsid w:val="0071628A"/>
    <w:rsid w:val="00717FE5"/>
    <w:rsid w:val="007200D9"/>
    <w:rsid w:val="00721726"/>
    <w:rsid w:val="00722740"/>
    <w:rsid w:val="00724287"/>
    <w:rsid w:val="007263CA"/>
    <w:rsid w:val="00726C6C"/>
    <w:rsid w:val="00726DFC"/>
    <w:rsid w:val="00734A03"/>
    <w:rsid w:val="00737B46"/>
    <w:rsid w:val="00740145"/>
    <w:rsid w:val="00741A0E"/>
    <w:rsid w:val="007420C8"/>
    <w:rsid w:val="007421A6"/>
    <w:rsid w:val="00742984"/>
    <w:rsid w:val="007441D5"/>
    <w:rsid w:val="007444D3"/>
    <w:rsid w:val="00744D04"/>
    <w:rsid w:val="00744E14"/>
    <w:rsid w:val="0074769C"/>
    <w:rsid w:val="007477BF"/>
    <w:rsid w:val="00751B7D"/>
    <w:rsid w:val="00751F29"/>
    <w:rsid w:val="0075294A"/>
    <w:rsid w:val="00752D9E"/>
    <w:rsid w:val="00754E3E"/>
    <w:rsid w:val="007577A0"/>
    <w:rsid w:val="00762855"/>
    <w:rsid w:val="00763695"/>
    <w:rsid w:val="007666DA"/>
    <w:rsid w:val="00767396"/>
    <w:rsid w:val="007703CF"/>
    <w:rsid w:val="00770874"/>
    <w:rsid w:val="0077169E"/>
    <w:rsid w:val="0077307C"/>
    <w:rsid w:val="0077414A"/>
    <w:rsid w:val="007742EF"/>
    <w:rsid w:val="00774380"/>
    <w:rsid w:val="00774702"/>
    <w:rsid w:val="00774B38"/>
    <w:rsid w:val="00775223"/>
    <w:rsid w:val="00775C32"/>
    <w:rsid w:val="00776E32"/>
    <w:rsid w:val="00776F5B"/>
    <w:rsid w:val="00781363"/>
    <w:rsid w:val="007819CC"/>
    <w:rsid w:val="00785112"/>
    <w:rsid w:val="0078548E"/>
    <w:rsid w:val="007863AC"/>
    <w:rsid w:val="007867E7"/>
    <w:rsid w:val="00790EDC"/>
    <w:rsid w:val="007910D2"/>
    <w:rsid w:val="00792262"/>
    <w:rsid w:val="00797EFE"/>
    <w:rsid w:val="007A214B"/>
    <w:rsid w:val="007A4BAF"/>
    <w:rsid w:val="007A62A5"/>
    <w:rsid w:val="007A643B"/>
    <w:rsid w:val="007A7727"/>
    <w:rsid w:val="007A7975"/>
    <w:rsid w:val="007B03B1"/>
    <w:rsid w:val="007B0D43"/>
    <w:rsid w:val="007B0D88"/>
    <w:rsid w:val="007B1BFA"/>
    <w:rsid w:val="007B2CB1"/>
    <w:rsid w:val="007B338E"/>
    <w:rsid w:val="007B622D"/>
    <w:rsid w:val="007B7D33"/>
    <w:rsid w:val="007C134F"/>
    <w:rsid w:val="007C3077"/>
    <w:rsid w:val="007C4EEA"/>
    <w:rsid w:val="007C7CE6"/>
    <w:rsid w:val="007D04F3"/>
    <w:rsid w:val="007D197F"/>
    <w:rsid w:val="007D2043"/>
    <w:rsid w:val="007D2EB2"/>
    <w:rsid w:val="007D32C5"/>
    <w:rsid w:val="007D6D5A"/>
    <w:rsid w:val="007D6DE2"/>
    <w:rsid w:val="007E090D"/>
    <w:rsid w:val="007E4CA5"/>
    <w:rsid w:val="007E6F8B"/>
    <w:rsid w:val="007F0BBB"/>
    <w:rsid w:val="007F2EDB"/>
    <w:rsid w:val="007F4EEE"/>
    <w:rsid w:val="007F5CA3"/>
    <w:rsid w:val="007F6CD2"/>
    <w:rsid w:val="007F6EA1"/>
    <w:rsid w:val="00800949"/>
    <w:rsid w:val="00801CFE"/>
    <w:rsid w:val="00802AAC"/>
    <w:rsid w:val="00802ADE"/>
    <w:rsid w:val="00802C77"/>
    <w:rsid w:val="008039C0"/>
    <w:rsid w:val="00805100"/>
    <w:rsid w:val="00806AE8"/>
    <w:rsid w:val="0081144E"/>
    <w:rsid w:val="00811A5E"/>
    <w:rsid w:val="00812965"/>
    <w:rsid w:val="00812E4C"/>
    <w:rsid w:val="00812FCE"/>
    <w:rsid w:val="00813962"/>
    <w:rsid w:val="00814614"/>
    <w:rsid w:val="00814986"/>
    <w:rsid w:val="00816255"/>
    <w:rsid w:val="00816292"/>
    <w:rsid w:val="00817DE5"/>
    <w:rsid w:val="00823BE0"/>
    <w:rsid w:val="00824E1D"/>
    <w:rsid w:val="00826902"/>
    <w:rsid w:val="008312CA"/>
    <w:rsid w:val="00832552"/>
    <w:rsid w:val="0083301B"/>
    <w:rsid w:val="0083437C"/>
    <w:rsid w:val="00834E61"/>
    <w:rsid w:val="00837EB1"/>
    <w:rsid w:val="00841218"/>
    <w:rsid w:val="00842DE6"/>
    <w:rsid w:val="0084670E"/>
    <w:rsid w:val="00850BBA"/>
    <w:rsid w:val="0085212F"/>
    <w:rsid w:val="008564A2"/>
    <w:rsid w:val="008602ED"/>
    <w:rsid w:val="00860BF0"/>
    <w:rsid w:val="00861CC5"/>
    <w:rsid w:val="00862927"/>
    <w:rsid w:val="008647C9"/>
    <w:rsid w:val="008654EE"/>
    <w:rsid w:val="00874FEA"/>
    <w:rsid w:val="00875A26"/>
    <w:rsid w:val="00875FAA"/>
    <w:rsid w:val="008760FE"/>
    <w:rsid w:val="008763F3"/>
    <w:rsid w:val="008768CF"/>
    <w:rsid w:val="00880F4A"/>
    <w:rsid w:val="008818FC"/>
    <w:rsid w:val="0088268D"/>
    <w:rsid w:val="00882CEA"/>
    <w:rsid w:val="008830B3"/>
    <w:rsid w:val="008831C0"/>
    <w:rsid w:val="008844EE"/>
    <w:rsid w:val="00885B90"/>
    <w:rsid w:val="00891457"/>
    <w:rsid w:val="0089460E"/>
    <w:rsid w:val="00894AC4"/>
    <w:rsid w:val="008A080D"/>
    <w:rsid w:val="008A0E4B"/>
    <w:rsid w:val="008A24D0"/>
    <w:rsid w:val="008A24E8"/>
    <w:rsid w:val="008A2856"/>
    <w:rsid w:val="008A3044"/>
    <w:rsid w:val="008A3146"/>
    <w:rsid w:val="008A41B7"/>
    <w:rsid w:val="008A425A"/>
    <w:rsid w:val="008A4604"/>
    <w:rsid w:val="008A52B8"/>
    <w:rsid w:val="008A59CD"/>
    <w:rsid w:val="008A6656"/>
    <w:rsid w:val="008A6EDC"/>
    <w:rsid w:val="008A6F5F"/>
    <w:rsid w:val="008B0A3C"/>
    <w:rsid w:val="008B1297"/>
    <w:rsid w:val="008B199E"/>
    <w:rsid w:val="008B3436"/>
    <w:rsid w:val="008B3D53"/>
    <w:rsid w:val="008B4151"/>
    <w:rsid w:val="008C2245"/>
    <w:rsid w:val="008C2D02"/>
    <w:rsid w:val="008C37BF"/>
    <w:rsid w:val="008C3F00"/>
    <w:rsid w:val="008D0BE1"/>
    <w:rsid w:val="008D259D"/>
    <w:rsid w:val="008D3D36"/>
    <w:rsid w:val="008D3EC4"/>
    <w:rsid w:val="008D4084"/>
    <w:rsid w:val="008D41C5"/>
    <w:rsid w:val="008D613E"/>
    <w:rsid w:val="008D7825"/>
    <w:rsid w:val="008E0344"/>
    <w:rsid w:val="008E3E67"/>
    <w:rsid w:val="008E5BDC"/>
    <w:rsid w:val="008E5EF8"/>
    <w:rsid w:val="008F0380"/>
    <w:rsid w:val="008F1B81"/>
    <w:rsid w:val="008F2105"/>
    <w:rsid w:val="008F4D57"/>
    <w:rsid w:val="008F6133"/>
    <w:rsid w:val="008F6E60"/>
    <w:rsid w:val="00900B34"/>
    <w:rsid w:val="00900D30"/>
    <w:rsid w:val="00901AEB"/>
    <w:rsid w:val="0090223B"/>
    <w:rsid w:val="00902C61"/>
    <w:rsid w:val="00904AEF"/>
    <w:rsid w:val="009057DC"/>
    <w:rsid w:val="00907F91"/>
    <w:rsid w:val="0091092D"/>
    <w:rsid w:val="009138BE"/>
    <w:rsid w:val="00914137"/>
    <w:rsid w:val="00916B98"/>
    <w:rsid w:val="00917CE5"/>
    <w:rsid w:val="00920CEE"/>
    <w:rsid w:val="00921EEF"/>
    <w:rsid w:val="00923C52"/>
    <w:rsid w:val="00925D00"/>
    <w:rsid w:val="009262AD"/>
    <w:rsid w:val="009265D3"/>
    <w:rsid w:val="00926EC0"/>
    <w:rsid w:val="00930ECB"/>
    <w:rsid w:val="00932ED1"/>
    <w:rsid w:val="00933DEE"/>
    <w:rsid w:val="0093575B"/>
    <w:rsid w:val="00935BA3"/>
    <w:rsid w:val="009408E3"/>
    <w:rsid w:val="00941C44"/>
    <w:rsid w:val="00942100"/>
    <w:rsid w:val="009429FC"/>
    <w:rsid w:val="00943C7A"/>
    <w:rsid w:val="009440D7"/>
    <w:rsid w:val="009442BF"/>
    <w:rsid w:val="009443A0"/>
    <w:rsid w:val="00944D2A"/>
    <w:rsid w:val="0094570B"/>
    <w:rsid w:val="00947B49"/>
    <w:rsid w:val="00947D34"/>
    <w:rsid w:val="00947E97"/>
    <w:rsid w:val="00950BD8"/>
    <w:rsid w:val="00950C5C"/>
    <w:rsid w:val="00951CCF"/>
    <w:rsid w:val="0095611D"/>
    <w:rsid w:val="009566EA"/>
    <w:rsid w:val="00957BEE"/>
    <w:rsid w:val="009612CE"/>
    <w:rsid w:val="0096148F"/>
    <w:rsid w:val="00964341"/>
    <w:rsid w:val="009656DF"/>
    <w:rsid w:val="009677ED"/>
    <w:rsid w:val="00967C18"/>
    <w:rsid w:val="00967E9F"/>
    <w:rsid w:val="00967FD7"/>
    <w:rsid w:val="00972045"/>
    <w:rsid w:val="00972D29"/>
    <w:rsid w:val="00974DFA"/>
    <w:rsid w:val="00976E21"/>
    <w:rsid w:val="00976ED7"/>
    <w:rsid w:val="00977221"/>
    <w:rsid w:val="009772BB"/>
    <w:rsid w:val="00977461"/>
    <w:rsid w:val="0098056F"/>
    <w:rsid w:val="00980823"/>
    <w:rsid w:val="00991E9D"/>
    <w:rsid w:val="00993E2E"/>
    <w:rsid w:val="00994BE2"/>
    <w:rsid w:val="00996F13"/>
    <w:rsid w:val="009A2B10"/>
    <w:rsid w:val="009A3768"/>
    <w:rsid w:val="009A3D4B"/>
    <w:rsid w:val="009B1720"/>
    <w:rsid w:val="009B1C99"/>
    <w:rsid w:val="009B1E1E"/>
    <w:rsid w:val="009B341F"/>
    <w:rsid w:val="009B69CA"/>
    <w:rsid w:val="009B6E9F"/>
    <w:rsid w:val="009C0127"/>
    <w:rsid w:val="009C073E"/>
    <w:rsid w:val="009C3FDE"/>
    <w:rsid w:val="009C4341"/>
    <w:rsid w:val="009C5389"/>
    <w:rsid w:val="009C551E"/>
    <w:rsid w:val="009C56E8"/>
    <w:rsid w:val="009C6C13"/>
    <w:rsid w:val="009D24F7"/>
    <w:rsid w:val="009D25A5"/>
    <w:rsid w:val="009D3E22"/>
    <w:rsid w:val="009D76E4"/>
    <w:rsid w:val="009E08C6"/>
    <w:rsid w:val="009E1270"/>
    <w:rsid w:val="009E1BC7"/>
    <w:rsid w:val="009E22E3"/>
    <w:rsid w:val="009E3184"/>
    <w:rsid w:val="009E3F50"/>
    <w:rsid w:val="009E4608"/>
    <w:rsid w:val="009E4872"/>
    <w:rsid w:val="009E5844"/>
    <w:rsid w:val="009E76B6"/>
    <w:rsid w:val="009F20B8"/>
    <w:rsid w:val="009F3160"/>
    <w:rsid w:val="009F4ED2"/>
    <w:rsid w:val="009F5A67"/>
    <w:rsid w:val="009F67E5"/>
    <w:rsid w:val="009F6893"/>
    <w:rsid w:val="00A0077A"/>
    <w:rsid w:val="00A02F57"/>
    <w:rsid w:val="00A03072"/>
    <w:rsid w:val="00A033E3"/>
    <w:rsid w:val="00A06762"/>
    <w:rsid w:val="00A06E6E"/>
    <w:rsid w:val="00A06EFC"/>
    <w:rsid w:val="00A07A2A"/>
    <w:rsid w:val="00A10ACE"/>
    <w:rsid w:val="00A157E9"/>
    <w:rsid w:val="00A15EB0"/>
    <w:rsid w:val="00A16987"/>
    <w:rsid w:val="00A1734E"/>
    <w:rsid w:val="00A218EE"/>
    <w:rsid w:val="00A21B28"/>
    <w:rsid w:val="00A21FD6"/>
    <w:rsid w:val="00A2489A"/>
    <w:rsid w:val="00A24B8C"/>
    <w:rsid w:val="00A27C8C"/>
    <w:rsid w:val="00A30F1B"/>
    <w:rsid w:val="00A32295"/>
    <w:rsid w:val="00A32C4A"/>
    <w:rsid w:val="00A32E19"/>
    <w:rsid w:val="00A37D42"/>
    <w:rsid w:val="00A403A7"/>
    <w:rsid w:val="00A40453"/>
    <w:rsid w:val="00A406FD"/>
    <w:rsid w:val="00A40AAF"/>
    <w:rsid w:val="00A41768"/>
    <w:rsid w:val="00A41789"/>
    <w:rsid w:val="00A4476E"/>
    <w:rsid w:val="00A46934"/>
    <w:rsid w:val="00A46EB3"/>
    <w:rsid w:val="00A47358"/>
    <w:rsid w:val="00A50631"/>
    <w:rsid w:val="00A51A9B"/>
    <w:rsid w:val="00A5224F"/>
    <w:rsid w:val="00A550E0"/>
    <w:rsid w:val="00A56C6C"/>
    <w:rsid w:val="00A56CB7"/>
    <w:rsid w:val="00A56DB4"/>
    <w:rsid w:val="00A57CA9"/>
    <w:rsid w:val="00A6040F"/>
    <w:rsid w:val="00A612D4"/>
    <w:rsid w:val="00A61856"/>
    <w:rsid w:val="00A62163"/>
    <w:rsid w:val="00A64173"/>
    <w:rsid w:val="00A6796B"/>
    <w:rsid w:val="00A71177"/>
    <w:rsid w:val="00A716D1"/>
    <w:rsid w:val="00A71984"/>
    <w:rsid w:val="00A7606A"/>
    <w:rsid w:val="00A8049B"/>
    <w:rsid w:val="00A80589"/>
    <w:rsid w:val="00A80AB6"/>
    <w:rsid w:val="00A81933"/>
    <w:rsid w:val="00A82F36"/>
    <w:rsid w:val="00A84457"/>
    <w:rsid w:val="00A86C53"/>
    <w:rsid w:val="00A86DFE"/>
    <w:rsid w:val="00A9092F"/>
    <w:rsid w:val="00A91B4B"/>
    <w:rsid w:val="00A92514"/>
    <w:rsid w:val="00A96624"/>
    <w:rsid w:val="00AA0A48"/>
    <w:rsid w:val="00AA29E4"/>
    <w:rsid w:val="00AA3353"/>
    <w:rsid w:val="00AA5409"/>
    <w:rsid w:val="00AA54B1"/>
    <w:rsid w:val="00AB0E62"/>
    <w:rsid w:val="00AB28EE"/>
    <w:rsid w:val="00AB3027"/>
    <w:rsid w:val="00AB3593"/>
    <w:rsid w:val="00AB6068"/>
    <w:rsid w:val="00AB7C51"/>
    <w:rsid w:val="00AC0E8B"/>
    <w:rsid w:val="00AC1A66"/>
    <w:rsid w:val="00AC38E0"/>
    <w:rsid w:val="00AC435D"/>
    <w:rsid w:val="00AC43A2"/>
    <w:rsid w:val="00AC5B21"/>
    <w:rsid w:val="00AC66A6"/>
    <w:rsid w:val="00AD13C4"/>
    <w:rsid w:val="00AD2420"/>
    <w:rsid w:val="00AD3541"/>
    <w:rsid w:val="00AD3F73"/>
    <w:rsid w:val="00AD6609"/>
    <w:rsid w:val="00AD7076"/>
    <w:rsid w:val="00AD7225"/>
    <w:rsid w:val="00AE2461"/>
    <w:rsid w:val="00AE2DAB"/>
    <w:rsid w:val="00AE566A"/>
    <w:rsid w:val="00AF20B1"/>
    <w:rsid w:val="00AF221E"/>
    <w:rsid w:val="00AF2971"/>
    <w:rsid w:val="00AF2BA5"/>
    <w:rsid w:val="00AF3CC1"/>
    <w:rsid w:val="00AF4832"/>
    <w:rsid w:val="00AF5714"/>
    <w:rsid w:val="00AF5743"/>
    <w:rsid w:val="00AF6396"/>
    <w:rsid w:val="00B017D7"/>
    <w:rsid w:val="00B01C6A"/>
    <w:rsid w:val="00B01D0E"/>
    <w:rsid w:val="00B037FC"/>
    <w:rsid w:val="00B03DC5"/>
    <w:rsid w:val="00B0559B"/>
    <w:rsid w:val="00B059B6"/>
    <w:rsid w:val="00B05DCC"/>
    <w:rsid w:val="00B067E2"/>
    <w:rsid w:val="00B06C79"/>
    <w:rsid w:val="00B06FF5"/>
    <w:rsid w:val="00B0733A"/>
    <w:rsid w:val="00B0758B"/>
    <w:rsid w:val="00B1040A"/>
    <w:rsid w:val="00B11C22"/>
    <w:rsid w:val="00B12271"/>
    <w:rsid w:val="00B14487"/>
    <w:rsid w:val="00B15093"/>
    <w:rsid w:val="00B15ADD"/>
    <w:rsid w:val="00B16504"/>
    <w:rsid w:val="00B16B25"/>
    <w:rsid w:val="00B17022"/>
    <w:rsid w:val="00B21A68"/>
    <w:rsid w:val="00B2297B"/>
    <w:rsid w:val="00B22C22"/>
    <w:rsid w:val="00B23220"/>
    <w:rsid w:val="00B30A57"/>
    <w:rsid w:val="00B3379C"/>
    <w:rsid w:val="00B35E67"/>
    <w:rsid w:val="00B36298"/>
    <w:rsid w:val="00B408B7"/>
    <w:rsid w:val="00B41099"/>
    <w:rsid w:val="00B448D4"/>
    <w:rsid w:val="00B44F45"/>
    <w:rsid w:val="00B45699"/>
    <w:rsid w:val="00B462A9"/>
    <w:rsid w:val="00B47B33"/>
    <w:rsid w:val="00B5101B"/>
    <w:rsid w:val="00B55A02"/>
    <w:rsid w:val="00B57285"/>
    <w:rsid w:val="00B60095"/>
    <w:rsid w:val="00B60E41"/>
    <w:rsid w:val="00B629E3"/>
    <w:rsid w:val="00B6649C"/>
    <w:rsid w:val="00B67C37"/>
    <w:rsid w:val="00B700E5"/>
    <w:rsid w:val="00B710AC"/>
    <w:rsid w:val="00B71B67"/>
    <w:rsid w:val="00B732E2"/>
    <w:rsid w:val="00B755F9"/>
    <w:rsid w:val="00B76F97"/>
    <w:rsid w:val="00B778D4"/>
    <w:rsid w:val="00B77E25"/>
    <w:rsid w:val="00B840AB"/>
    <w:rsid w:val="00B87381"/>
    <w:rsid w:val="00B9143A"/>
    <w:rsid w:val="00B92F1B"/>
    <w:rsid w:val="00B95B7B"/>
    <w:rsid w:val="00B96779"/>
    <w:rsid w:val="00BA1942"/>
    <w:rsid w:val="00BA359E"/>
    <w:rsid w:val="00BA4658"/>
    <w:rsid w:val="00BB372B"/>
    <w:rsid w:val="00BB3FF0"/>
    <w:rsid w:val="00BC1EEA"/>
    <w:rsid w:val="00BC6093"/>
    <w:rsid w:val="00BD103B"/>
    <w:rsid w:val="00BD1882"/>
    <w:rsid w:val="00BD40B0"/>
    <w:rsid w:val="00BD4A12"/>
    <w:rsid w:val="00BD74BF"/>
    <w:rsid w:val="00BD74C7"/>
    <w:rsid w:val="00BE10A8"/>
    <w:rsid w:val="00BE2EAE"/>
    <w:rsid w:val="00BE4255"/>
    <w:rsid w:val="00BE6659"/>
    <w:rsid w:val="00BF0DB1"/>
    <w:rsid w:val="00BF3B1F"/>
    <w:rsid w:val="00BF4007"/>
    <w:rsid w:val="00C01DBE"/>
    <w:rsid w:val="00C055EB"/>
    <w:rsid w:val="00C056D1"/>
    <w:rsid w:val="00C07DCE"/>
    <w:rsid w:val="00C113BD"/>
    <w:rsid w:val="00C11C62"/>
    <w:rsid w:val="00C12B77"/>
    <w:rsid w:val="00C13361"/>
    <w:rsid w:val="00C1339D"/>
    <w:rsid w:val="00C161FC"/>
    <w:rsid w:val="00C26D9B"/>
    <w:rsid w:val="00C31560"/>
    <w:rsid w:val="00C3170A"/>
    <w:rsid w:val="00C325DD"/>
    <w:rsid w:val="00C32D07"/>
    <w:rsid w:val="00C3311F"/>
    <w:rsid w:val="00C34524"/>
    <w:rsid w:val="00C37EA0"/>
    <w:rsid w:val="00C46460"/>
    <w:rsid w:val="00C476FD"/>
    <w:rsid w:val="00C50072"/>
    <w:rsid w:val="00C51A0E"/>
    <w:rsid w:val="00C5270F"/>
    <w:rsid w:val="00C5530B"/>
    <w:rsid w:val="00C56128"/>
    <w:rsid w:val="00C5676D"/>
    <w:rsid w:val="00C60C9F"/>
    <w:rsid w:val="00C61899"/>
    <w:rsid w:val="00C619B8"/>
    <w:rsid w:val="00C64105"/>
    <w:rsid w:val="00C650DF"/>
    <w:rsid w:val="00C653DF"/>
    <w:rsid w:val="00C65CF0"/>
    <w:rsid w:val="00C66264"/>
    <w:rsid w:val="00C728C9"/>
    <w:rsid w:val="00C72FB5"/>
    <w:rsid w:val="00C74637"/>
    <w:rsid w:val="00C7780A"/>
    <w:rsid w:val="00C81764"/>
    <w:rsid w:val="00C82017"/>
    <w:rsid w:val="00C83119"/>
    <w:rsid w:val="00C842DA"/>
    <w:rsid w:val="00C8447F"/>
    <w:rsid w:val="00C847AC"/>
    <w:rsid w:val="00C847F5"/>
    <w:rsid w:val="00C866BE"/>
    <w:rsid w:val="00C866C2"/>
    <w:rsid w:val="00C9023A"/>
    <w:rsid w:val="00C91CF2"/>
    <w:rsid w:val="00C9451C"/>
    <w:rsid w:val="00C964BB"/>
    <w:rsid w:val="00CA2336"/>
    <w:rsid w:val="00CA3B1D"/>
    <w:rsid w:val="00CA4779"/>
    <w:rsid w:val="00CA59B1"/>
    <w:rsid w:val="00CA697E"/>
    <w:rsid w:val="00CA69E5"/>
    <w:rsid w:val="00CA6BAC"/>
    <w:rsid w:val="00CB28FA"/>
    <w:rsid w:val="00CB3233"/>
    <w:rsid w:val="00CB3D4B"/>
    <w:rsid w:val="00CB3F0D"/>
    <w:rsid w:val="00CB475B"/>
    <w:rsid w:val="00CB552D"/>
    <w:rsid w:val="00CB64D7"/>
    <w:rsid w:val="00CC2403"/>
    <w:rsid w:val="00CC35D0"/>
    <w:rsid w:val="00CC5038"/>
    <w:rsid w:val="00CC7BDB"/>
    <w:rsid w:val="00CD04DB"/>
    <w:rsid w:val="00CD0629"/>
    <w:rsid w:val="00CD2746"/>
    <w:rsid w:val="00CD3323"/>
    <w:rsid w:val="00CD3CE8"/>
    <w:rsid w:val="00CD3E34"/>
    <w:rsid w:val="00CD4E44"/>
    <w:rsid w:val="00CD531B"/>
    <w:rsid w:val="00CE0186"/>
    <w:rsid w:val="00CE03D8"/>
    <w:rsid w:val="00CE1AEC"/>
    <w:rsid w:val="00CE1BD2"/>
    <w:rsid w:val="00CE2D4D"/>
    <w:rsid w:val="00CE37EE"/>
    <w:rsid w:val="00CE5419"/>
    <w:rsid w:val="00CE5A3A"/>
    <w:rsid w:val="00CE5C69"/>
    <w:rsid w:val="00CE5F9A"/>
    <w:rsid w:val="00CE6538"/>
    <w:rsid w:val="00CE73AB"/>
    <w:rsid w:val="00CE7F3A"/>
    <w:rsid w:val="00CF04A5"/>
    <w:rsid w:val="00CF1A8A"/>
    <w:rsid w:val="00CF37CB"/>
    <w:rsid w:val="00CF4B93"/>
    <w:rsid w:val="00CF7DD1"/>
    <w:rsid w:val="00D03AB1"/>
    <w:rsid w:val="00D047E3"/>
    <w:rsid w:val="00D04A5D"/>
    <w:rsid w:val="00D069F3"/>
    <w:rsid w:val="00D10081"/>
    <w:rsid w:val="00D12CB9"/>
    <w:rsid w:val="00D13B1F"/>
    <w:rsid w:val="00D15A49"/>
    <w:rsid w:val="00D15D86"/>
    <w:rsid w:val="00D16770"/>
    <w:rsid w:val="00D2734C"/>
    <w:rsid w:val="00D309B5"/>
    <w:rsid w:val="00D31183"/>
    <w:rsid w:val="00D31537"/>
    <w:rsid w:val="00D32E1C"/>
    <w:rsid w:val="00D32F16"/>
    <w:rsid w:val="00D32FF6"/>
    <w:rsid w:val="00D347B8"/>
    <w:rsid w:val="00D34BBC"/>
    <w:rsid w:val="00D40B5F"/>
    <w:rsid w:val="00D40CE8"/>
    <w:rsid w:val="00D42329"/>
    <w:rsid w:val="00D426C9"/>
    <w:rsid w:val="00D42727"/>
    <w:rsid w:val="00D437C2"/>
    <w:rsid w:val="00D43BD8"/>
    <w:rsid w:val="00D47E5A"/>
    <w:rsid w:val="00D508C5"/>
    <w:rsid w:val="00D509B3"/>
    <w:rsid w:val="00D51800"/>
    <w:rsid w:val="00D51A57"/>
    <w:rsid w:val="00D52454"/>
    <w:rsid w:val="00D55E2C"/>
    <w:rsid w:val="00D56CA1"/>
    <w:rsid w:val="00D667E6"/>
    <w:rsid w:val="00D679D0"/>
    <w:rsid w:val="00D67A0C"/>
    <w:rsid w:val="00D67F7B"/>
    <w:rsid w:val="00D718F2"/>
    <w:rsid w:val="00D7264B"/>
    <w:rsid w:val="00D72689"/>
    <w:rsid w:val="00D72690"/>
    <w:rsid w:val="00D75573"/>
    <w:rsid w:val="00D76B9E"/>
    <w:rsid w:val="00D80784"/>
    <w:rsid w:val="00D81D4E"/>
    <w:rsid w:val="00D82501"/>
    <w:rsid w:val="00D83DD2"/>
    <w:rsid w:val="00D841F7"/>
    <w:rsid w:val="00D8429F"/>
    <w:rsid w:val="00D845FE"/>
    <w:rsid w:val="00D8565C"/>
    <w:rsid w:val="00D86469"/>
    <w:rsid w:val="00D92230"/>
    <w:rsid w:val="00DA0D80"/>
    <w:rsid w:val="00DA4D04"/>
    <w:rsid w:val="00DA70C6"/>
    <w:rsid w:val="00DA7BC7"/>
    <w:rsid w:val="00DB0498"/>
    <w:rsid w:val="00DB18C7"/>
    <w:rsid w:val="00DB1BD0"/>
    <w:rsid w:val="00DB2101"/>
    <w:rsid w:val="00DB22F8"/>
    <w:rsid w:val="00DB3027"/>
    <w:rsid w:val="00DB4081"/>
    <w:rsid w:val="00DB4333"/>
    <w:rsid w:val="00DB4794"/>
    <w:rsid w:val="00DB5CFD"/>
    <w:rsid w:val="00DB5E17"/>
    <w:rsid w:val="00DB667A"/>
    <w:rsid w:val="00DB73E5"/>
    <w:rsid w:val="00DB7516"/>
    <w:rsid w:val="00DC13E3"/>
    <w:rsid w:val="00DC1BF9"/>
    <w:rsid w:val="00DC369A"/>
    <w:rsid w:val="00DC3E41"/>
    <w:rsid w:val="00DC638F"/>
    <w:rsid w:val="00DC7E8B"/>
    <w:rsid w:val="00DD00F4"/>
    <w:rsid w:val="00DD140E"/>
    <w:rsid w:val="00DD145F"/>
    <w:rsid w:val="00DD3FF0"/>
    <w:rsid w:val="00DD7C0B"/>
    <w:rsid w:val="00DE0055"/>
    <w:rsid w:val="00DE13E8"/>
    <w:rsid w:val="00DE1A0D"/>
    <w:rsid w:val="00DE1B47"/>
    <w:rsid w:val="00DE1BBD"/>
    <w:rsid w:val="00DE3993"/>
    <w:rsid w:val="00DE453F"/>
    <w:rsid w:val="00DE5885"/>
    <w:rsid w:val="00DE7F3C"/>
    <w:rsid w:val="00DF13D5"/>
    <w:rsid w:val="00DF234A"/>
    <w:rsid w:val="00DF28DA"/>
    <w:rsid w:val="00DF2B9F"/>
    <w:rsid w:val="00DF3253"/>
    <w:rsid w:val="00DF4240"/>
    <w:rsid w:val="00DF4A59"/>
    <w:rsid w:val="00DF4EED"/>
    <w:rsid w:val="00DF6570"/>
    <w:rsid w:val="00DF750A"/>
    <w:rsid w:val="00E01297"/>
    <w:rsid w:val="00E02050"/>
    <w:rsid w:val="00E0356B"/>
    <w:rsid w:val="00E03CD4"/>
    <w:rsid w:val="00E046BE"/>
    <w:rsid w:val="00E07C79"/>
    <w:rsid w:val="00E10723"/>
    <w:rsid w:val="00E11887"/>
    <w:rsid w:val="00E147BA"/>
    <w:rsid w:val="00E14CD9"/>
    <w:rsid w:val="00E165F5"/>
    <w:rsid w:val="00E17991"/>
    <w:rsid w:val="00E21938"/>
    <w:rsid w:val="00E21EA8"/>
    <w:rsid w:val="00E22AC4"/>
    <w:rsid w:val="00E27A43"/>
    <w:rsid w:val="00E27B5A"/>
    <w:rsid w:val="00E31396"/>
    <w:rsid w:val="00E338C2"/>
    <w:rsid w:val="00E355FB"/>
    <w:rsid w:val="00E37787"/>
    <w:rsid w:val="00E378D0"/>
    <w:rsid w:val="00E409AA"/>
    <w:rsid w:val="00E420F2"/>
    <w:rsid w:val="00E43A26"/>
    <w:rsid w:val="00E441D6"/>
    <w:rsid w:val="00E4596A"/>
    <w:rsid w:val="00E4641A"/>
    <w:rsid w:val="00E46952"/>
    <w:rsid w:val="00E46BC7"/>
    <w:rsid w:val="00E51039"/>
    <w:rsid w:val="00E51C9D"/>
    <w:rsid w:val="00E51F12"/>
    <w:rsid w:val="00E52226"/>
    <w:rsid w:val="00E53C42"/>
    <w:rsid w:val="00E5539B"/>
    <w:rsid w:val="00E55AB7"/>
    <w:rsid w:val="00E60821"/>
    <w:rsid w:val="00E60CCB"/>
    <w:rsid w:val="00E60FD0"/>
    <w:rsid w:val="00E610FB"/>
    <w:rsid w:val="00E64A8C"/>
    <w:rsid w:val="00E64BF2"/>
    <w:rsid w:val="00E66C2B"/>
    <w:rsid w:val="00E7171A"/>
    <w:rsid w:val="00E719B5"/>
    <w:rsid w:val="00E73809"/>
    <w:rsid w:val="00E74C6A"/>
    <w:rsid w:val="00E7791B"/>
    <w:rsid w:val="00E779CE"/>
    <w:rsid w:val="00E80748"/>
    <w:rsid w:val="00E81D33"/>
    <w:rsid w:val="00E82CC4"/>
    <w:rsid w:val="00E83E8F"/>
    <w:rsid w:val="00E86DDF"/>
    <w:rsid w:val="00E94E73"/>
    <w:rsid w:val="00E951D2"/>
    <w:rsid w:val="00E957BE"/>
    <w:rsid w:val="00E974BF"/>
    <w:rsid w:val="00E979DB"/>
    <w:rsid w:val="00E97B31"/>
    <w:rsid w:val="00EA0EA0"/>
    <w:rsid w:val="00EA2110"/>
    <w:rsid w:val="00EA22BD"/>
    <w:rsid w:val="00EA2CF6"/>
    <w:rsid w:val="00EA2DF3"/>
    <w:rsid w:val="00EA4188"/>
    <w:rsid w:val="00EA6019"/>
    <w:rsid w:val="00EA7643"/>
    <w:rsid w:val="00EA7E2E"/>
    <w:rsid w:val="00EB1177"/>
    <w:rsid w:val="00EB2013"/>
    <w:rsid w:val="00EB23A2"/>
    <w:rsid w:val="00EB4391"/>
    <w:rsid w:val="00EB5A10"/>
    <w:rsid w:val="00EB77F9"/>
    <w:rsid w:val="00EC06DE"/>
    <w:rsid w:val="00EC1797"/>
    <w:rsid w:val="00EC679A"/>
    <w:rsid w:val="00EC6C25"/>
    <w:rsid w:val="00ED634E"/>
    <w:rsid w:val="00ED7DF1"/>
    <w:rsid w:val="00EE00AF"/>
    <w:rsid w:val="00EE0963"/>
    <w:rsid w:val="00EE0ADD"/>
    <w:rsid w:val="00EE2150"/>
    <w:rsid w:val="00EE3987"/>
    <w:rsid w:val="00EE48D0"/>
    <w:rsid w:val="00EE496A"/>
    <w:rsid w:val="00EE5046"/>
    <w:rsid w:val="00EE616A"/>
    <w:rsid w:val="00EE7077"/>
    <w:rsid w:val="00EE798C"/>
    <w:rsid w:val="00EF1EF9"/>
    <w:rsid w:val="00EF46C6"/>
    <w:rsid w:val="00EF4B73"/>
    <w:rsid w:val="00EF4CBC"/>
    <w:rsid w:val="00F01226"/>
    <w:rsid w:val="00F02075"/>
    <w:rsid w:val="00F024BF"/>
    <w:rsid w:val="00F04898"/>
    <w:rsid w:val="00F05DDC"/>
    <w:rsid w:val="00F064AB"/>
    <w:rsid w:val="00F06D7F"/>
    <w:rsid w:val="00F070D8"/>
    <w:rsid w:val="00F0720C"/>
    <w:rsid w:val="00F07228"/>
    <w:rsid w:val="00F10ACD"/>
    <w:rsid w:val="00F11AA2"/>
    <w:rsid w:val="00F12BAB"/>
    <w:rsid w:val="00F132CD"/>
    <w:rsid w:val="00F1338D"/>
    <w:rsid w:val="00F13B88"/>
    <w:rsid w:val="00F13B93"/>
    <w:rsid w:val="00F13EA6"/>
    <w:rsid w:val="00F14283"/>
    <w:rsid w:val="00F14782"/>
    <w:rsid w:val="00F1591F"/>
    <w:rsid w:val="00F16CC9"/>
    <w:rsid w:val="00F17156"/>
    <w:rsid w:val="00F174D4"/>
    <w:rsid w:val="00F20D08"/>
    <w:rsid w:val="00F20F03"/>
    <w:rsid w:val="00F21BF4"/>
    <w:rsid w:val="00F22CFA"/>
    <w:rsid w:val="00F235B0"/>
    <w:rsid w:val="00F238E4"/>
    <w:rsid w:val="00F23C33"/>
    <w:rsid w:val="00F24EC7"/>
    <w:rsid w:val="00F25A51"/>
    <w:rsid w:val="00F25C00"/>
    <w:rsid w:val="00F2614F"/>
    <w:rsid w:val="00F2656B"/>
    <w:rsid w:val="00F26C53"/>
    <w:rsid w:val="00F32B8D"/>
    <w:rsid w:val="00F34E38"/>
    <w:rsid w:val="00F417DE"/>
    <w:rsid w:val="00F41B53"/>
    <w:rsid w:val="00F45259"/>
    <w:rsid w:val="00F47125"/>
    <w:rsid w:val="00F50746"/>
    <w:rsid w:val="00F5216C"/>
    <w:rsid w:val="00F543C6"/>
    <w:rsid w:val="00F55806"/>
    <w:rsid w:val="00F55A38"/>
    <w:rsid w:val="00F569DC"/>
    <w:rsid w:val="00F56EB0"/>
    <w:rsid w:val="00F60EAA"/>
    <w:rsid w:val="00F6267F"/>
    <w:rsid w:val="00F631AF"/>
    <w:rsid w:val="00F64E0C"/>
    <w:rsid w:val="00F65090"/>
    <w:rsid w:val="00F651D8"/>
    <w:rsid w:val="00F6594F"/>
    <w:rsid w:val="00F7081C"/>
    <w:rsid w:val="00F70A2F"/>
    <w:rsid w:val="00F735EF"/>
    <w:rsid w:val="00F75E0D"/>
    <w:rsid w:val="00F76F84"/>
    <w:rsid w:val="00F8179C"/>
    <w:rsid w:val="00F81A6E"/>
    <w:rsid w:val="00F84234"/>
    <w:rsid w:val="00F84322"/>
    <w:rsid w:val="00F85106"/>
    <w:rsid w:val="00F90267"/>
    <w:rsid w:val="00F90D94"/>
    <w:rsid w:val="00F9712E"/>
    <w:rsid w:val="00FA066A"/>
    <w:rsid w:val="00FA08C1"/>
    <w:rsid w:val="00FA5133"/>
    <w:rsid w:val="00FA5503"/>
    <w:rsid w:val="00FB04BC"/>
    <w:rsid w:val="00FB0EE1"/>
    <w:rsid w:val="00FB23F5"/>
    <w:rsid w:val="00FB25AA"/>
    <w:rsid w:val="00FB6F47"/>
    <w:rsid w:val="00FC0628"/>
    <w:rsid w:val="00FC1059"/>
    <w:rsid w:val="00FC160B"/>
    <w:rsid w:val="00FC1C69"/>
    <w:rsid w:val="00FC238E"/>
    <w:rsid w:val="00FC30A1"/>
    <w:rsid w:val="00FC58D3"/>
    <w:rsid w:val="00FC5C04"/>
    <w:rsid w:val="00FC76E4"/>
    <w:rsid w:val="00FC7987"/>
    <w:rsid w:val="00FC7BED"/>
    <w:rsid w:val="00FC7D9A"/>
    <w:rsid w:val="00FD1DDC"/>
    <w:rsid w:val="00FD23B9"/>
    <w:rsid w:val="00FD26A5"/>
    <w:rsid w:val="00FD26CD"/>
    <w:rsid w:val="00FD30E7"/>
    <w:rsid w:val="00FD32E5"/>
    <w:rsid w:val="00FD3D8B"/>
    <w:rsid w:val="00FD3F56"/>
    <w:rsid w:val="00FE00CC"/>
    <w:rsid w:val="00FE22F0"/>
    <w:rsid w:val="00FE26DA"/>
    <w:rsid w:val="00FE5674"/>
    <w:rsid w:val="00FF0269"/>
    <w:rsid w:val="00FF0415"/>
    <w:rsid w:val="00FF3408"/>
    <w:rsid w:val="00FF385E"/>
    <w:rsid w:val="00FF3A0A"/>
    <w:rsid w:val="00FF5C54"/>
    <w:rsid w:val="00FF731F"/>
    <w:rsid w:val="025C49EE"/>
    <w:rsid w:val="633E4CE0"/>
    <w:rsid w:val="79217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02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semiHidden="0" w:uiPriority="99" w:unhideWhenUsed="0"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Date" w:semiHidden="0" w:uiPriority="99" w:unhideWhenUsed="0"/>
    <w:lsdException w:name="Hyperlink" w:semiHidden="0" w:uiPriority="99" w:unhideWhenUsed="0"/>
    <w:lsdException w:name="Strong"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8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681C88"/>
    <w:rPr>
      <w:rFonts w:ascii="Cambria" w:eastAsia="黑体" w:hAnsi="Cambria"/>
      <w:sz w:val="20"/>
    </w:rPr>
  </w:style>
  <w:style w:type="paragraph" w:styleId="a4">
    <w:name w:val="Date"/>
    <w:basedOn w:val="a"/>
    <w:next w:val="a"/>
    <w:link w:val="Char"/>
    <w:uiPriority w:val="99"/>
    <w:rsid w:val="00681C88"/>
    <w:pPr>
      <w:ind w:leftChars="2500" w:left="100"/>
    </w:pPr>
  </w:style>
  <w:style w:type="paragraph" w:styleId="a5">
    <w:name w:val="footer"/>
    <w:basedOn w:val="a"/>
    <w:link w:val="Char0"/>
    <w:uiPriority w:val="99"/>
    <w:rsid w:val="00681C88"/>
    <w:pPr>
      <w:tabs>
        <w:tab w:val="center" w:pos="4153"/>
        <w:tab w:val="right" w:pos="8306"/>
      </w:tabs>
      <w:snapToGrid w:val="0"/>
      <w:jc w:val="left"/>
    </w:pPr>
    <w:rPr>
      <w:sz w:val="18"/>
    </w:rPr>
  </w:style>
  <w:style w:type="paragraph" w:styleId="a6">
    <w:name w:val="header"/>
    <w:basedOn w:val="a"/>
    <w:link w:val="Char1"/>
    <w:uiPriority w:val="99"/>
    <w:rsid w:val="00681C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681C88"/>
    <w:pPr>
      <w:widowControl/>
      <w:spacing w:before="100" w:beforeAutospacing="1" w:after="100" w:afterAutospacing="1"/>
      <w:jc w:val="left"/>
    </w:pPr>
    <w:rPr>
      <w:rFonts w:ascii="宋体" w:hAnsi="宋体" w:cs="宋体"/>
      <w:kern w:val="0"/>
      <w:sz w:val="24"/>
    </w:rPr>
  </w:style>
  <w:style w:type="character" w:styleId="a8">
    <w:name w:val="Strong"/>
    <w:basedOn w:val="a0"/>
    <w:qFormat/>
    <w:rsid w:val="00681C88"/>
    <w:rPr>
      <w:rFonts w:cs="Times New Roman"/>
      <w:b/>
      <w:bCs/>
    </w:rPr>
  </w:style>
  <w:style w:type="character" w:styleId="a9">
    <w:name w:val="page number"/>
    <w:basedOn w:val="a0"/>
    <w:uiPriority w:val="99"/>
    <w:rsid w:val="00681C88"/>
    <w:rPr>
      <w:rFonts w:cs="Times New Roman"/>
    </w:rPr>
  </w:style>
  <w:style w:type="character" w:styleId="aa">
    <w:name w:val="Hyperlink"/>
    <w:basedOn w:val="a0"/>
    <w:uiPriority w:val="99"/>
    <w:rsid w:val="00681C88"/>
    <w:rPr>
      <w:rFonts w:cs="Times New Roman"/>
      <w:color w:val="0000FF"/>
      <w:u w:val="single"/>
    </w:rPr>
  </w:style>
  <w:style w:type="paragraph" w:customStyle="1" w:styleId="p15">
    <w:name w:val="p15"/>
    <w:basedOn w:val="a"/>
    <w:rsid w:val="00681C88"/>
    <w:pPr>
      <w:widowControl/>
    </w:pPr>
    <w:rPr>
      <w:rFonts w:ascii="Calibri" w:hAnsi="Calibri" w:cs="宋体"/>
      <w:kern w:val="0"/>
      <w:szCs w:val="21"/>
    </w:rPr>
  </w:style>
  <w:style w:type="paragraph" w:customStyle="1" w:styleId="p0">
    <w:name w:val="p0"/>
    <w:basedOn w:val="a"/>
    <w:link w:val="p0CharChar"/>
    <w:rsid w:val="00681C88"/>
    <w:pPr>
      <w:widowControl/>
    </w:pPr>
    <w:rPr>
      <w:rFonts w:ascii="Calibri" w:hAnsi="Calibri" w:cs="宋体"/>
      <w:kern w:val="0"/>
      <w:szCs w:val="21"/>
    </w:rPr>
  </w:style>
  <w:style w:type="paragraph" w:customStyle="1" w:styleId="p16">
    <w:name w:val="p16"/>
    <w:uiPriority w:val="99"/>
    <w:rsid w:val="00681C88"/>
    <w:pPr>
      <w:snapToGrid w:val="0"/>
      <w:jc w:val="center"/>
    </w:pPr>
    <w:rPr>
      <w:rFonts w:ascii="方正黑体_GBK" w:hAnsi="方正黑体_GBK" w:cs="宋体"/>
      <w:sz w:val="32"/>
      <w:szCs w:val="32"/>
    </w:rPr>
  </w:style>
  <w:style w:type="paragraph" w:customStyle="1" w:styleId="Char2">
    <w:name w:val="Char2"/>
    <w:basedOn w:val="a"/>
    <w:uiPriority w:val="99"/>
    <w:rsid w:val="00681C88"/>
    <w:rPr>
      <w:szCs w:val="24"/>
    </w:rPr>
  </w:style>
  <w:style w:type="paragraph" w:customStyle="1" w:styleId="1">
    <w:name w:val="无间隔1"/>
    <w:uiPriority w:val="1"/>
    <w:qFormat/>
    <w:rsid w:val="00681C88"/>
    <w:pPr>
      <w:widowControl w:val="0"/>
      <w:jc w:val="both"/>
    </w:pPr>
    <w:rPr>
      <w:kern w:val="2"/>
      <w:sz w:val="21"/>
    </w:rPr>
  </w:style>
  <w:style w:type="character" w:customStyle="1" w:styleId="Char">
    <w:name w:val="日期 Char"/>
    <w:basedOn w:val="a0"/>
    <w:link w:val="a4"/>
    <w:uiPriority w:val="99"/>
    <w:locked/>
    <w:rsid w:val="00681C88"/>
    <w:rPr>
      <w:rFonts w:cs="Times New Roman"/>
      <w:kern w:val="2"/>
      <w:sz w:val="21"/>
    </w:rPr>
  </w:style>
  <w:style w:type="character" w:customStyle="1" w:styleId="Char1">
    <w:name w:val="页眉 Char"/>
    <w:basedOn w:val="a0"/>
    <w:link w:val="a6"/>
    <w:uiPriority w:val="99"/>
    <w:semiHidden/>
    <w:rsid w:val="00681C88"/>
    <w:rPr>
      <w:sz w:val="18"/>
      <w:szCs w:val="18"/>
    </w:rPr>
  </w:style>
  <w:style w:type="character" w:customStyle="1" w:styleId="DateChar1">
    <w:name w:val="Date Char1"/>
    <w:basedOn w:val="a0"/>
    <w:link w:val="a4"/>
    <w:uiPriority w:val="99"/>
    <w:semiHidden/>
    <w:rsid w:val="00681C88"/>
    <w:rPr>
      <w:szCs w:val="20"/>
    </w:rPr>
  </w:style>
  <w:style w:type="character" w:customStyle="1" w:styleId="Char0">
    <w:name w:val="页脚 Char"/>
    <w:basedOn w:val="a0"/>
    <w:link w:val="a5"/>
    <w:uiPriority w:val="99"/>
    <w:semiHidden/>
    <w:rsid w:val="00681C88"/>
    <w:rPr>
      <w:sz w:val="18"/>
      <w:szCs w:val="18"/>
    </w:rPr>
  </w:style>
  <w:style w:type="paragraph" w:styleId="ab">
    <w:name w:val="No Spacing"/>
    <w:uiPriority w:val="1"/>
    <w:qFormat/>
    <w:rsid w:val="007B0D88"/>
    <w:pPr>
      <w:widowControl w:val="0"/>
      <w:jc w:val="both"/>
    </w:pPr>
    <w:rPr>
      <w:kern w:val="2"/>
      <w:sz w:val="21"/>
      <w:szCs w:val="24"/>
    </w:rPr>
  </w:style>
  <w:style w:type="paragraph" w:customStyle="1" w:styleId="2">
    <w:name w:val="无间隔2"/>
    <w:rsid w:val="007B0D88"/>
    <w:pPr>
      <w:widowControl w:val="0"/>
      <w:jc w:val="both"/>
    </w:pPr>
    <w:rPr>
      <w:kern w:val="2"/>
      <w:sz w:val="21"/>
      <w:szCs w:val="24"/>
    </w:rPr>
  </w:style>
  <w:style w:type="character" w:customStyle="1" w:styleId="p0CharChar">
    <w:name w:val="p0 Char Char"/>
    <w:basedOn w:val="a0"/>
    <w:link w:val="p0"/>
    <w:locked/>
    <w:rsid w:val="002A3E24"/>
    <w:rPr>
      <w:rFonts w:ascii="Calibri" w:hAnsi="Calibri" w:cs="宋体"/>
      <w:sz w:val="21"/>
      <w:szCs w:val="21"/>
    </w:rPr>
  </w:style>
  <w:style w:type="paragraph" w:customStyle="1" w:styleId="Char1CharCharCharCharCharChar">
    <w:name w:val="Char1 Char Char Char Char Char Char"/>
    <w:basedOn w:val="a"/>
    <w:rsid w:val="00034F73"/>
  </w:style>
  <w:style w:type="character" w:customStyle="1" w:styleId="15">
    <w:name w:val="15"/>
    <w:basedOn w:val="a0"/>
    <w:qFormat/>
    <w:rsid w:val="00075431"/>
    <w:rPr>
      <w:rFonts w:ascii="Times New Roman" w:hAnsi="Times New Roman" w:cs="Times New Roman" w:hint="default"/>
      <w:b/>
      <w:bCs/>
    </w:rPr>
  </w:style>
  <w:style w:type="paragraph" w:styleId="ac">
    <w:name w:val="Balloon Text"/>
    <w:basedOn w:val="a"/>
    <w:link w:val="Char3"/>
    <w:semiHidden/>
    <w:unhideWhenUsed/>
    <w:rsid w:val="00C74637"/>
    <w:rPr>
      <w:sz w:val="18"/>
      <w:szCs w:val="18"/>
    </w:rPr>
  </w:style>
  <w:style w:type="character" w:customStyle="1" w:styleId="Char3">
    <w:name w:val="批注框文本 Char"/>
    <w:basedOn w:val="a0"/>
    <w:link w:val="ac"/>
    <w:semiHidden/>
    <w:rsid w:val="00C74637"/>
    <w:rPr>
      <w:kern w:val="2"/>
      <w:sz w:val="18"/>
      <w:szCs w:val="18"/>
    </w:rPr>
  </w:style>
  <w:style w:type="paragraph" w:customStyle="1" w:styleId="10">
    <w:name w:val="列出段落1"/>
    <w:basedOn w:val="a"/>
    <w:uiPriority w:val="34"/>
    <w:qFormat/>
    <w:rsid w:val="0049090B"/>
    <w:pPr>
      <w:ind w:firstLineChars="200" w:firstLine="420"/>
    </w:pPr>
    <w:rPr>
      <w:szCs w:val="24"/>
    </w:rPr>
  </w:style>
  <w:style w:type="character" w:customStyle="1" w:styleId="hei141">
    <w:name w:val="hei141"/>
    <w:basedOn w:val="a0"/>
    <w:rsid w:val="0049090B"/>
    <w:rPr>
      <w:rFonts w:ascii="宋体" w:eastAsia="宋体" w:hAnsi="宋体" w:cs="Times New Roman"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486827695">
      <w:bodyDiv w:val="1"/>
      <w:marLeft w:val="0"/>
      <w:marRight w:val="0"/>
      <w:marTop w:val="0"/>
      <w:marBottom w:val="0"/>
      <w:divBdr>
        <w:top w:val="none" w:sz="0" w:space="0" w:color="auto"/>
        <w:left w:val="none" w:sz="0" w:space="0" w:color="auto"/>
        <w:bottom w:val="none" w:sz="0" w:space="0" w:color="auto"/>
        <w:right w:val="none" w:sz="0" w:space="0" w:color="auto"/>
      </w:divBdr>
      <w:divsChild>
        <w:div w:id="1258714992">
          <w:marLeft w:val="0"/>
          <w:marRight w:val="0"/>
          <w:marTop w:val="0"/>
          <w:marBottom w:val="0"/>
          <w:divBdr>
            <w:top w:val="none" w:sz="0" w:space="0" w:color="auto"/>
            <w:left w:val="none" w:sz="0" w:space="0" w:color="auto"/>
            <w:bottom w:val="none" w:sz="0" w:space="0" w:color="auto"/>
            <w:right w:val="none" w:sz="0" w:space="0" w:color="auto"/>
          </w:divBdr>
        </w:div>
      </w:divsChild>
    </w:div>
    <w:div w:id="641279182">
      <w:bodyDiv w:val="1"/>
      <w:marLeft w:val="0"/>
      <w:marRight w:val="0"/>
      <w:marTop w:val="0"/>
      <w:marBottom w:val="0"/>
      <w:divBdr>
        <w:top w:val="none" w:sz="0" w:space="0" w:color="auto"/>
        <w:left w:val="none" w:sz="0" w:space="0" w:color="auto"/>
        <w:bottom w:val="none" w:sz="0" w:space="0" w:color="auto"/>
        <w:right w:val="none" w:sz="0" w:space="0" w:color="auto"/>
      </w:divBdr>
    </w:div>
    <w:div w:id="658506356">
      <w:bodyDiv w:val="1"/>
      <w:marLeft w:val="0"/>
      <w:marRight w:val="0"/>
      <w:marTop w:val="0"/>
      <w:marBottom w:val="0"/>
      <w:divBdr>
        <w:top w:val="none" w:sz="0" w:space="0" w:color="auto"/>
        <w:left w:val="none" w:sz="0" w:space="0" w:color="auto"/>
        <w:bottom w:val="none" w:sz="0" w:space="0" w:color="auto"/>
        <w:right w:val="none" w:sz="0" w:space="0" w:color="auto"/>
      </w:divBdr>
    </w:div>
    <w:div w:id="928778664">
      <w:bodyDiv w:val="1"/>
      <w:marLeft w:val="0"/>
      <w:marRight w:val="0"/>
      <w:marTop w:val="0"/>
      <w:marBottom w:val="0"/>
      <w:divBdr>
        <w:top w:val="none" w:sz="0" w:space="0" w:color="auto"/>
        <w:left w:val="none" w:sz="0" w:space="0" w:color="auto"/>
        <w:bottom w:val="none" w:sz="0" w:space="0" w:color="auto"/>
        <w:right w:val="none" w:sz="0" w:space="0" w:color="auto"/>
      </w:divBdr>
    </w:div>
    <w:div w:id="964624758">
      <w:bodyDiv w:val="1"/>
      <w:marLeft w:val="0"/>
      <w:marRight w:val="0"/>
      <w:marTop w:val="0"/>
      <w:marBottom w:val="0"/>
      <w:divBdr>
        <w:top w:val="none" w:sz="0" w:space="0" w:color="auto"/>
        <w:left w:val="none" w:sz="0" w:space="0" w:color="auto"/>
        <w:bottom w:val="none" w:sz="0" w:space="0" w:color="auto"/>
        <w:right w:val="none" w:sz="0" w:space="0" w:color="auto"/>
      </w:divBdr>
      <w:divsChild>
        <w:div w:id="142703466">
          <w:marLeft w:val="0"/>
          <w:marRight w:val="0"/>
          <w:marTop w:val="0"/>
          <w:marBottom w:val="0"/>
          <w:divBdr>
            <w:top w:val="none" w:sz="0" w:space="0" w:color="auto"/>
            <w:left w:val="none" w:sz="0" w:space="0" w:color="auto"/>
            <w:bottom w:val="none" w:sz="0" w:space="0" w:color="auto"/>
            <w:right w:val="none" w:sz="0" w:space="0" w:color="auto"/>
          </w:divBdr>
        </w:div>
      </w:divsChild>
    </w:div>
    <w:div w:id="1196848993">
      <w:bodyDiv w:val="1"/>
      <w:marLeft w:val="0"/>
      <w:marRight w:val="0"/>
      <w:marTop w:val="0"/>
      <w:marBottom w:val="0"/>
      <w:divBdr>
        <w:top w:val="none" w:sz="0" w:space="0" w:color="auto"/>
        <w:left w:val="none" w:sz="0" w:space="0" w:color="auto"/>
        <w:bottom w:val="none" w:sz="0" w:space="0" w:color="auto"/>
        <w:right w:val="none" w:sz="0" w:space="0" w:color="auto"/>
      </w:divBdr>
      <w:divsChild>
        <w:div w:id="812990624">
          <w:marLeft w:val="0"/>
          <w:marRight w:val="0"/>
          <w:marTop w:val="0"/>
          <w:marBottom w:val="0"/>
          <w:divBdr>
            <w:top w:val="none" w:sz="0" w:space="0" w:color="auto"/>
            <w:left w:val="none" w:sz="0" w:space="0" w:color="auto"/>
            <w:bottom w:val="none" w:sz="0" w:space="0" w:color="auto"/>
            <w:right w:val="none" w:sz="0" w:space="0" w:color="auto"/>
          </w:divBdr>
        </w:div>
      </w:divsChild>
    </w:div>
    <w:div w:id="1366950745">
      <w:bodyDiv w:val="1"/>
      <w:marLeft w:val="0"/>
      <w:marRight w:val="0"/>
      <w:marTop w:val="0"/>
      <w:marBottom w:val="0"/>
      <w:divBdr>
        <w:top w:val="none" w:sz="0" w:space="0" w:color="auto"/>
        <w:left w:val="none" w:sz="0" w:space="0" w:color="auto"/>
        <w:bottom w:val="none" w:sz="0" w:space="0" w:color="auto"/>
        <w:right w:val="none" w:sz="0" w:space="0" w:color="auto"/>
      </w:divBdr>
    </w:div>
    <w:div w:id="1653748884">
      <w:bodyDiv w:val="1"/>
      <w:marLeft w:val="0"/>
      <w:marRight w:val="0"/>
      <w:marTop w:val="0"/>
      <w:marBottom w:val="0"/>
      <w:divBdr>
        <w:top w:val="none" w:sz="0" w:space="0" w:color="auto"/>
        <w:left w:val="none" w:sz="0" w:space="0" w:color="auto"/>
        <w:bottom w:val="none" w:sz="0" w:space="0" w:color="auto"/>
        <w:right w:val="none" w:sz="0" w:space="0" w:color="auto"/>
      </w:divBdr>
    </w:div>
    <w:div w:id="1829982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5.7656696349945365E-2"/>
          <c:y val="0.11308062548519515"/>
          <c:w val="0.8139398859921555"/>
          <c:h val="0.72444434586521556"/>
        </c:manualLayout>
      </c:layout>
      <c:barChart>
        <c:barDir val="col"/>
        <c:grouping val="clustered"/>
        <c:ser>
          <c:idx val="0"/>
          <c:order val="0"/>
          <c:tx>
            <c:strRef>
              <c:f>Sheet1!$B$1</c:f>
              <c:strCache>
                <c:ptCount val="1"/>
                <c:pt idx="0">
                  <c:v>地区生产总值（亿元）</c:v>
                </c:pt>
              </c:strCache>
            </c:strRef>
          </c:tx>
          <c:spPr>
            <a:gradFill flip="none" rotWithShape="1">
              <a:gsLst>
                <a:gs pos="0">
                  <a:srgbClr val="FFF200"/>
                </a:gs>
                <a:gs pos="45000">
                  <a:srgbClr val="FF7A00"/>
                </a:gs>
                <a:gs pos="70000">
                  <a:srgbClr val="FF0300"/>
                </a:gs>
                <a:gs pos="100000">
                  <a:srgbClr val="4D0808"/>
                </a:gs>
              </a:gsLst>
              <a:lin ang="5400000" scaled="1"/>
              <a:tileRect/>
            </a:gradFill>
            <a:ln w="25332">
              <a:noFill/>
            </a:ln>
          </c:spPr>
          <c:dLbls>
            <c:dLbl>
              <c:idx val="0"/>
              <c:layout>
                <c:manualLayout>
                  <c:x val="0"/>
                  <c:y val="7.539682539682592E-2"/>
                </c:manualLayout>
              </c:layout>
              <c:spPr>
                <a:noFill/>
                <a:ln w="22517">
                  <a:noFill/>
                </a:ln>
              </c:spPr>
              <c:txPr>
                <a:bodyPr/>
                <a:lstStyle/>
                <a:p>
                  <a:pPr>
                    <a:defRPr/>
                  </a:pPr>
                  <a:endParaRPr lang="zh-CN"/>
                </a:p>
              </c:txPr>
              <c:dLblPos val="outEnd"/>
              <c:showVal val="1"/>
            </c:dLbl>
            <c:dLbl>
              <c:idx val="1"/>
              <c:layout>
                <c:manualLayout>
                  <c:x val="0"/>
                  <c:y val="7.1428571428571494E-2"/>
                </c:manualLayout>
              </c:layout>
              <c:spPr>
                <a:noFill/>
                <a:ln w="22517">
                  <a:noFill/>
                </a:ln>
              </c:spPr>
              <c:txPr>
                <a:bodyPr/>
                <a:lstStyle/>
                <a:p>
                  <a:pPr>
                    <a:defRPr/>
                  </a:pPr>
                  <a:endParaRPr lang="zh-CN"/>
                </a:p>
              </c:txPr>
              <c:dLblPos val="outEnd"/>
              <c:showVal val="1"/>
            </c:dLbl>
            <c:dLbl>
              <c:idx val="2"/>
              <c:layout>
                <c:manualLayout>
                  <c:x val="0"/>
                  <c:y val="7.1428571428571494E-2"/>
                </c:manualLayout>
              </c:layout>
              <c:spPr>
                <a:noFill/>
                <a:ln w="22517">
                  <a:noFill/>
                </a:ln>
              </c:spPr>
              <c:txPr>
                <a:bodyPr/>
                <a:lstStyle/>
                <a:p>
                  <a:pPr>
                    <a:defRPr/>
                  </a:pPr>
                  <a:endParaRPr lang="zh-CN"/>
                </a:p>
              </c:txPr>
              <c:dLblPos val="outEnd"/>
              <c:showVal val="1"/>
            </c:dLbl>
            <c:dLbl>
              <c:idx val="3"/>
              <c:layout>
                <c:manualLayout>
                  <c:x val="0"/>
                  <c:y val="6.349206349206353E-2"/>
                </c:manualLayout>
              </c:layout>
              <c:spPr>
                <a:noFill/>
                <a:ln w="22517">
                  <a:noFill/>
                </a:ln>
              </c:spPr>
              <c:txPr>
                <a:bodyPr/>
                <a:lstStyle/>
                <a:p>
                  <a:pPr>
                    <a:defRPr/>
                  </a:pPr>
                  <a:endParaRPr lang="zh-CN"/>
                </a:p>
              </c:txPr>
              <c:dLblPos val="outEnd"/>
              <c:showVal val="1"/>
            </c:dLbl>
            <c:dLbl>
              <c:idx val="4"/>
              <c:layout>
                <c:manualLayout>
                  <c:x val="0"/>
                  <c:y val="7.1428571428571494E-2"/>
                </c:manualLayout>
              </c:layout>
              <c:spPr>
                <a:noFill/>
                <a:ln w="22517">
                  <a:noFill/>
                </a:ln>
              </c:spPr>
              <c:txPr>
                <a:bodyPr/>
                <a:lstStyle/>
                <a:p>
                  <a:pPr>
                    <a:defRPr/>
                  </a:pPr>
                  <a:endParaRPr lang="zh-CN"/>
                </a:p>
              </c:txPr>
              <c:dLblPos val="outEnd"/>
              <c:showVal val="1"/>
            </c:dLbl>
            <c:dLbl>
              <c:idx val="5"/>
              <c:layout>
                <c:manualLayout>
                  <c:x val="0"/>
                  <c:y val="7.539682539682592E-2"/>
                </c:manualLayout>
              </c:layout>
              <c:spPr>
                <a:noFill/>
                <a:ln w="22517">
                  <a:noFill/>
                </a:ln>
              </c:spPr>
              <c:txPr>
                <a:bodyPr/>
                <a:lstStyle/>
                <a:p>
                  <a:pPr>
                    <a:defRPr/>
                  </a:pPr>
                  <a:endParaRPr lang="zh-CN"/>
                </a:p>
              </c:txPr>
              <c:dLblPos val="outEnd"/>
              <c:showVal val="1"/>
            </c:dLbl>
            <c:dLbl>
              <c:idx val="6"/>
              <c:layout>
                <c:manualLayout>
                  <c:x val="-8.4875562720136969E-17"/>
                  <c:y val="6.7460317460317512E-2"/>
                </c:manualLayout>
              </c:layout>
              <c:spPr>
                <a:noFill/>
                <a:ln w="22517">
                  <a:noFill/>
                </a:ln>
              </c:spPr>
              <c:txPr>
                <a:bodyPr/>
                <a:lstStyle/>
                <a:p>
                  <a:pPr>
                    <a:defRPr/>
                  </a:pPr>
                  <a:endParaRPr lang="zh-CN"/>
                </a:p>
              </c:txPr>
              <c:dLblPos val="outEnd"/>
              <c:showVal val="1"/>
            </c:dLbl>
            <c:spPr>
              <a:noFill/>
              <a:ln w="22517">
                <a:noFill/>
              </a:ln>
            </c:spPr>
            <c:showVal val="1"/>
          </c:dLbls>
          <c:cat>
            <c:strRef>
              <c:f>Sheet1!$A$2:$A$6</c:f>
              <c:strCache>
                <c:ptCount val="5"/>
                <c:pt idx="0">
                  <c:v>2013年</c:v>
                </c:pt>
                <c:pt idx="1">
                  <c:v>2014年</c:v>
                </c:pt>
                <c:pt idx="2">
                  <c:v>2015年</c:v>
                </c:pt>
                <c:pt idx="3">
                  <c:v>2016年</c:v>
                </c:pt>
                <c:pt idx="4">
                  <c:v>2017年</c:v>
                </c:pt>
              </c:strCache>
            </c:strRef>
          </c:cat>
          <c:val>
            <c:numRef>
              <c:f>Sheet1!$B$2:$B$6</c:f>
              <c:numCache>
                <c:formatCode>General</c:formatCode>
                <c:ptCount val="5"/>
                <c:pt idx="0">
                  <c:v>322.39999999999969</c:v>
                </c:pt>
                <c:pt idx="1">
                  <c:v>353.4</c:v>
                </c:pt>
                <c:pt idx="2">
                  <c:v>307.7</c:v>
                </c:pt>
                <c:pt idx="3">
                  <c:v>297</c:v>
                </c:pt>
                <c:pt idx="4">
                  <c:v>339.8</c:v>
                </c:pt>
              </c:numCache>
            </c:numRef>
          </c:val>
        </c:ser>
        <c:axId val="88863104"/>
        <c:axId val="88864640"/>
      </c:barChart>
      <c:stockChart>
        <c:ser>
          <c:idx val="1"/>
          <c:order val="1"/>
          <c:tx>
            <c:strRef>
              <c:f>Sheet1!$C$1</c:f>
              <c:strCache>
                <c:ptCount val="1"/>
                <c:pt idx="0">
                  <c:v>开盘</c:v>
                </c:pt>
              </c:strCache>
            </c:strRef>
          </c:tx>
          <c:spPr>
            <a:ln w="25332">
              <a:noFill/>
            </a:ln>
          </c:spPr>
          <c:marker>
            <c:symbol val="none"/>
          </c:marker>
          <c:cat>
            <c:strRef>
              <c:f>Sheet1!$A$2:$A$6</c:f>
              <c:strCache>
                <c:ptCount val="5"/>
                <c:pt idx="0">
                  <c:v>2013年</c:v>
                </c:pt>
                <c:pt idx="1">
                  <c:v>2014年</c:v>
                </c:pt>
                <c:pt idx="2">
                  <c:v>2015年</c:v>
                </c:pt>
                <c:pt idx="3">
                  <c:v>2016年</c:v>
                </c:pt>
                <c:pt idx="4">
                  <c:v>2017年</c:v>
                </c:pt>
              </c:strCache>
            </c:strRef>
          </c:cat>
          <c:val>
            <c:numRef>
              <c:f>Sheet1!$C$2:$C$6</c:f>
              <c:numCache>
                <c:formatCode>General</c:formatCode>
                <c:ptCount val="5"/>
              </c:numCache>
            </c:numRef>
          </c:val>
        </c:ser>
        <c:ser>
          <c:idx val="2"/>
          <c:order val="2"/>
          <c:tx>
            <c:strRef>
              <c:f>Sheet1!$D$1</c:f>
              <c:strCache>
                <c:ptCount val="1"/>
                <c:pt idx="0">
                  <c:v>盘高</c:v>
                </c:pt>
              </c:strCache>
            </c:strRef>
          </c:tx>
          <c:spPr>
            <a:ln w="25332">
              <a:noFill/>
            </a:ln>
          </c:spPr>
          <c:marker>
            <c:symbol val="none"/>
          </c:marker>
          <c:cat>
            <c:strRef>
              <c:f>Sheet1!$A$2:$A$6</c:f>
              <c:strCache>
                <c:ptCount val="5"/>
                <c:pt idx="0">
                  <c:v>2013年</c:v>
                </c:pt>
                <c:pt idx="1">
                  <c:v>2014年</c:v>
                </c:pt>
                <c:pt idx="2">
                  <c:v>2015年</c:v>
                </c:pt>
                <c:pt idx="3">
                  <c:v>2016年</c:v>
                </c:pt>
                <c:pt idx="4">
                  <c:v>2017年</c:v>
                </c:pt>
              </c:strCache>
            </c:strRef>
          </c:cat>
          <c:val>
            <c:numRef>
              <c:f>Sheet1!$D$2:$D$6</c:f>
              <c:numCache>
                <c:formatCode>General</c:formatCode>
                <c:ptCount val="5"/>
              </c:numCache>
            </c:numRef>
          </c:val>
        </c:ser>
        <c:ser>
          <c:idx val="3"/>
          <c:order val="3"/>
          <c:tx>
            <c:strRef>
              <c:f>Sheet1!$E$1</c:f>
              <c:strCache>
                <c:ptCount val="1"/>
                <c:pt idx="0">
                  <c:v>盘低</c:v>
                </c:pt>
              </c:strCache>
            </c:strRef>
          </c:tx>
          <c:spPr>
            <a:ln w="25332">
              <a:solidFill>
                <a:schemeClr val="tx1"/>
              </a:solidFill>
              <a:prstDash val="lgDashDotDot"/>
            </a:ln>
            <a:effectLst>
              <a:outerShdw blurRad="50800" dist="50800" dir="5400000" algn="ctr" rotWithShape="0">
                <a:schemeClr val="accent2">
                  <a:lumMod val="20000"/>
                  <a:lumOff val="80000"/>
                </a:schemeClr>
              </a:outerShdw>
            </a:effectLst>
          </c:spPr>
          <c:marker>
            <c:symbol val="none"/>
          </c:marker>
          <c:cat>
            <c:strRef>
              <c:f>Sheet1!$A$2:$A$6</c:f>
              <c:strCache>
                <c:ptCount val="5"/>
                <c:pt idx="0">
                  <c:v>2013年</c:v>
                </c:pt>
                <c:pt idx="1">
                  <c:v>2014年</c:v>
                </c:pt>
                <c:pt idx="2">
                  <c:v>2015年</c:v>
                </c:pt>
                <c:pt idx="3">
                  <c:v>2016年</c:v>
                </c:pt>
                <c:pt idx="4">
                  <c:v>2017年</c:v>
                </c:pt>
              </c:strCache>
            </c:strRef>
          </c:cat>
          <c:val>
            <c:numRef>
              <c:f>Sheet1!$E$2:$E$6</c:f>
              <c:numCache>
                <c:formatCode>General</c:formatCode>
                <c:ptCount val="5"/>
              </c:numCache>
            </c:numRef>
          </c:val>
        </c:ser>
        <c:ser>
          <c:idx val="4"/>
          <c:order val="4"/>
          <c:tx>
            <c:strRef>
              <c:f>Sheet1!$F$1</c:f>
              <c:strCache>
                <c:ptCount val="1"/>
                <c:pt idx="0">
                  <c:v>增速（%）</c:v>
                </c:pt>
              </c:strCache>
            </c:strRef>
          </c:tx>
          <c:spPr>
            <a:ln w="25332">
              <a:solidFill>
                <a:sysClr val="windowText" lastClr="000000"/>
              </a:solidFill>
            </a:ln>
          </c:spPr>
          <c:marker>
            <c:symbol val="circle"/>
            <c:size val="6"/>
            <c:spPr>
              <a:gradFill flip="none" rotWithShape="1">
                <a:gsLst>
                  <a:gs pos="0">
                    <a:srgbClr val="CCCCFF"/>
                  </a:gs>
                  <a:gs pos="17999">
                    <a:srgbClr val="99CCFF"/>
                  </a:gs>
                  <a:gs pos="36000">
                    <a:srgbClr val="9966FF"/>
                  </a:gs>
                  <a:gs pos="61000">
                    <a:srgbClr val="CC99FF"/>
                  </a:gs>
                  <a:gs pos="82001">
                    <a:srgbClr val="99CCFF"/>
                  </a:gs>
                  <a:gs pos="100000">
                    <a:srgbClr val="CCCCFF"/>
                  </a:gs>
                </a:gsLst>
                <a:lin ang="5400000" scaled="0"/>
                <a:tileRect/>
              </a:gradFill>
              <a:ln w="0" cap="rnd">
                <a:gradFill>
                  <a:gsLst>
                    <a:gs pos="0">
                      <a:srgbClr val="DDEBCF"/>
                    </a:gs>
                    <a:gs pos="50000">
                      <a:srgbClr val="9CB86E"/>
                    </a:gs>
                    <a:gs pos="100000">
                      <a:srgbClr val="156B13"/>
                    </a:gs>
                  </a:gsLst>
                  <a:lin ang="5400000" scaled="0"/>
                </a:gradFill>
                <a:headEnd type="none" w="sm" len="sm"/>
                <a:tailEnd type="none" w="lg" len="lg"/>
              </a:ln>
            </c:spPr>
          </c:marker>
          <c:dLbls>
            <c:dLbl>
              <c:idx val="0"/>
              <c:layout>
                <c:manualLayout>
                  <c:x val="-4.7449584816133547E-3"/>
                  <c:y val="-5.4495912806539974E-2"/>
                </c:manualLayout>
              </c:layout>
              <c:spPr>
                <a:gradFill flip="none" rotWithShape="1">
                  <a:gsLst>
                    <a:gs pos="0">
                      <a:srgbClr val="DDEBCF"/>
                    </a:gs>
                    <a:gs pos="50000">
                      <a:srgbClr val="9CB86E"/>
                    </a:gs>
                    <a:gs pos="100000">
                      <a:srgbClr val="156B13"/>
                    </a:gs>
                  </a:gsLst>
                  <a:lin ang="5400000" scaled="0"/>
                  <a:tileRect/>
                </a:gradFill>
              </c:spPr>
              <c:txPr>
                <a:bodyPr/>
                <a:lstStyle/>
                <a:p>
                  <a:pPr>
                    <a:defRPr/>
                  </a:pPr>
                  <a:endParaRPr lang="zh-CN"/>
                </a:p>
              </c:txPr>
              <c:dLblPos val="r"/>
              <c:showVal val="1"/>
            </c:dLbl>
            <c:dLbl>
              <c:idx val="1"/>
              <c:layout>
                <c:manualLayout>
                  <c:x val="-3.5587188612099842E-2"/>
                  <c:y val="-4.7229791099000912E-2"/>
                </c:manualLayout>
              </c:layout>
              <c:spPr>
                <a:gradFill flip="none" rotWithShape="1">
                  <a:gsLst>
                    <a:gs pos="0">
                      <a:srgbClr val="DDEBCF"/>
                    </a:gs>
                    <a:gs pos="50000">
                      <a:srgbClr val="9CB86E"/>
                    </a:gs>
                    <a:gs pos="100000">
                      <a:srgbClr val="156B13"/>
                    </a:gs>
                  </a:gsLst>
                  <a:lin ang="5400000" scaled="0"/>
                  <a:tileRect/>
                </a:gradFill>
              </c:spPr>
              <c:txPr>
                <a:bodyPr/>
                <a:lstStyle/>
                <a:p>
                  <a:pPr>
                    <a:defRPr/>
                  </a:pPr>
                  <a:endParaRPr lang="zh-CN"/>
                </a:p>
              </c:txPr>
              <c:dLblPos val="r"/>
              <c:showVal val="1"/>
            </c:dLbl>
            <c:dLbl>
              <c:idx val="2"/>
              <c:layout>
                <c:manualLayout>
                  <c:x val="2.3148148148148147E-3"/>
                  <c:y val="-4.3650793650793794E-2"/>
                </c:manualLayout>
              </c:layout>
              <c:spPr>
                <a:gradFill flip="none" rotWithShape="1">
                  <a:gsLst>
                    <a:gs pos="0">
                      <a:srgbClr val="DDEBCF"/>
                    </a:gs>
                    <a:gs pos="50000">
                      <a:srgbClr val="9CB86E"/>
                    </a:gs>
                    <a:gs pos="100000">
                      <a:srgbClr val="156B13"/>
                    </a:gs>
                  </a:gsLst>
                  <a:lin ang="5400000" scaled="0"/>
                  <a:tileRect/>
                </a:gradFill>
              </c:spPr>
              <c:txPr>
                <a:bodyPr/>
                <a:lstStyle/>
                <a:p>
                  <a:pPr>
                    <a:defRPr/>
                  </a:pPr>
                  <a:endParaRPr lang="zh-CN"/>
                </a:p>
              </c:txPr>
              <c:dLblPos val="r"/>
              <c:showVal val="1"/>
            </c:dLbl>
            <c:dLbl>
              <c:idx val="3"/>
              <c:layout>
                <c:manualLayout>
                  <c:x val="-3.9351851851851853E-2"/>
                  <c:y val="4.3650793650793794E-2"/>
                </c:manualLayout>
              </c:layout>
              <c:spPr>
                <a:gradFill flip="none" rotWithShape="1">
                  <a:gsLst>
                    <a:gs pos="0">
                      <a:srgbClr val="DDEBCF"/>
                    </a:gs>
                    <a:gs pos="50000">
                      <a:srgbClr val="9CB86E"/>
                    </a:gs>
                    <a:gs pos="100000">
                      <a:srgbClr val="156B13"/>
                    </a:gs>
                  </a:gsLst>
                  <a:lin ang="5400000" scaled="0"/>
                  <a:tileRect/>
                </a:gradFill>
              </c:spPr>
              <c:txPr>
                <a:bodyPr/>
                <a:lstStyle/>
                <a:p>
                  <a:pPr>
                    <a:defRPr/>
                  </a:pPr>
                  <a:endParaRPr lang="zh-CN"/>
                </a:p>
              </c:txPr>
              <c:dLblPos val="r"/>
              <c:showVal val="1"/>
            </c:dLbl>
            <c:dLbl>
              <c:idx val="6"/>
              <c:layout>
                <c:manualLayout>
                  <c:x val="-2.4081800201515378E-2"/>
                  <c:y val="-6.4272432047689398E-2"/>
                </c:manualLayout>
              </c:layout>
              <c:spPr>
                <a:gradFill flip="none" rotWithShape="1">
                  <a:gsLst>
                    <a:gs pos="0">
                      <a:srgbClr val="DDEBCF"/>
                    </a:gs>
                    <a:gs pos="50000">
                      <a:srgbClr val="9CB86E"/>
                    </a:gs>
                    <a:gs pos="100000">
                      <a:srgbClr val="156B13"/>
                    </a:gs>
                  </a:gsLst>
                  <a:lin ang="5400000" scaled="0"/>
                  <a:tileRect/>
                </a:gradFill>
              </c:spPr>
              <c:txPr>
                <a:bodyPr/>
                <a:lstStyle/>
                <a:p>
                  <a:pPr>
                    <a:defRPr/>
                  </a:pPr>
                  <a:endParaRPr lang="zh-CN"/>
                </a:p>
              </c:txPr>
              <c:dLblPos val="r"/>
              <c:showVal val="1"/>
            </c:dLbl>
            <c:spPr>
              <a:gradFill flip="none" rotWithShape="1">
                <a:gsLst>
                  <a:gs pos="0">
                    <a:srgbClr val="DDEBCF"/>
                  </a:gs>
                  <a:gs pos="50000">
                    <a:srgbClr val="9CB86E"/>
                  </a:gs>
                  <a:gs pos="100000">
                    <a:srgbClr val="156B13"/>
                  </a:gs>
                </a:gsLst>
                <a:lin ang="5400000" scaled="0"/>
                <a:tileRect/>
              </a:gradFill>
            </c:spPr>
            <c:showVal val="1"/>
          </c:dLbls>
          <c:cat>
            <c:strRef>
              <c:f>Sheet1!$A$2:$A$6</c:f>
              <c:strCache>
                <c:ptCount val="5"/>
                <c:pt idx="0">
                  <c:v>2013年</c:v>
                </c:pt>
                <c:pt idx="1">
                  <c:v>2014年</c:v>
                </c:pt>
                <c:pt idx="2">
                  <c:v>2015年</c:v>
                </c:pt>
                <c:pt idx="3">
                  <c:v>2016年</c:v>
                </c:pt>
                <c:pt idx="4">
                  <c:v>2017年</c:v>
                </c:pt>
              </c:strCache>
            </c:strRef>
          </c:cat>
          <c:val>
            <c:numRef>
              <c:f>Sheet1!$F$2:$F$6</c:f>
              <c:numCache>
                <c:formatCode>General</c:formatCode>
                <c:ptCount val="5"/>
                <c:pt idx="0">
                  <c:v>9.8000000000000007</c:v>
                </c:pt>
                <c:pt idx="1">
                  <c:v>9.8000000000000007</c:v>
                </c:pt>
                <c:pt idx="2">
                  <c:v>2.4</c:v>
                </c:pt>
                <c:pt idx="3">
                  <c:v>-1.9000000000000001</c:v>
                </c:pt>
                <c:pt idx="4">
                  <c:v>8.2000000000000011</c:v>
                </c:pt>
              </c:numCache>
            </c:numRef>
          </c:val>
        </c:ser>
        <c:hiLowLines>
          <c:spPr>
            <a:ln>
              <a:solidFill>
                <a:sysClr val="windowText" lastClr="000000"/>
              </a:solidFill>
            </a:ln>
          </c:spPr>
        </c:hiLowLines>
        <c:upDownBars>
          <c:gapWidth val="150"/>
          <c:upBars/>
          <c:downBars/>
        </c:upDownBars>
        <c:axId val="88866176"/>
        <c:axId val="87192704"/>
      </c:stockChart>
      <c:catAx>
        <c:axId val="88863104"/>
        <c:scaling>
          <c:orientation val="minMax"/>
        </c:scaling>
        <c:axPos val="b"/>
        <c:numFmt formatCode="yyyy/m/d" sourceLinked="1"/>
        <c:tickLblPos val="nextTo"/>
        <c:crossAx val="88864640"/>
        <c:crosses val="autoZero"/>
        <c:auto val="1"/>
        <c:lblAlgn val="ctr"/>
        <c:lblOffset val="100"/>
      </c:catAx>
      <c:valAx>
        <c:axId val="88864640"/>
        <c:scaling>
          <c:orientation val="minMax"/>
        </c:scaling>
        <c:axPos val="l"/>
        <c:majorGridlines/>
        <c:numFmt formatCode="General" sourceLinked="1"/>
        <c:tickLblPos val="nextTo"/>
        <c:spPr>
          <a:gradFill flip="none" rotWithShape="1">
            <a:gsLst>
              <a:gs pos="0">
                <a:srgbClr val="FFF200"/>
              </a:gs>
              <a:gs pos="45000">
                <a:srgbClr val="FF7A00"/>
              </a:gs>
              <a:gs pos="70000">
                <a:srgbClr val="FF0300"/>
              </a:gs>
              <a:gs pos="100000">
                <a:srgbClr val="4D0808"/>
              </a:gs>
            </a:gsLst>
            <a:lin ang="5400000" scaled="1"/>
            <a:tileRect/>
          </a:gradFill>
        </c:spPr>
        <c:crossAx val="88863104"/>
        <c:crosses val="autoZero"/>
        <c:crossBetween val="between"/>
      </c:valAx>
      <c:catAx>
        <c:axId val="88866176"/>
        <c:scaling>
          <c:orientation val="minMax"/>
        </c:scaling>
        <c:delete val="1"/>
        <c:axPos val="b"/>
        <c:tickLblPos val="none"/>
        <c:crossAx val="87192704"/>
        <c:crosses val="autoZero"/>
        <c:auto val="1"/>
        <c:lblAlgn val="ctr"/>
        <c:lblOffset val="100"/>
      </c:catAx>
      <c:valAx>
        <c:axId val="87192704"/>
        <c:scaling>
          <c:orientation val="minMax"/>
          <c:max val="120"/>
        </c:scaling>
        <c:axPos val="r"/>
        <c:numFmt formatCode="#,##0.0_);[Red]\(#,##0.0\)" sourceLinked="0"/>
        <c:tickLblPos val="nextTo"/>
        <c:crossAx val="88866176"/>
        <c:crosses val="max"/>
        <c:crossBetween val="between"/>
      </c:valAx>
      <c:spPr>
        <a:noFill/>
        <a:ln w="25444">
          <a:noFill/>
        </a:ln>
      </c:spPr>
    </c:plotArea>
    <c:legend>
      <c:legendPos val="r"/>
      <c:legendEntry>
        <c:idx val="1"/>
        <c:delete val="1"/>
      </c:legendEntry>
      <c:legendEntry>
        <c:idx val="2"/>
        <c:delete val="1"/>
      </c:legendEntry>
      <c:legendEntry>
        <c:idx val="3"/>
        <c:delete val="1"/>
      </c:legendEntry>
      <c:layout>
        <c:manualLayout>
          <c:xMode val="edge"/>
          <c:yMode val="edge"/>
          <c:x val="0.19141323792486697"/>
          <c:y val="0.91249999999999998"/>
          <c:w val="0.62254025044722761"/>
          <c:h val="6.5000000000000113E-2"/>
        </c:manualLayout>
      </c:layout>
    </c:legend>
    <c:plotVisOnly val="1"/>
    <c:dispBlanksAs val="gap"/>
  </c:chart>
  <c:spPr>
    <a:ln w="22517">
      <a:solidFill>
        <a:sysClr val="windowText" lastClr="000000"/>
      </a:solidFill>
    </a:ln>
    <a:effectLst>
      <a:outerShdw blurRad="50800" dist="38100" dir="18900000" algn="bl" rotWithShape="0">
        <a:prstClr val="black">
          <a:alpha val="40000"/>
        </a:prstClr>
      </a:outerShdw>
    </a:effectLst>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130102326181123"/>
          <c:y val="0.13186009888298891"/>
          <c:w val="0.80156249999999485"/>
          <c:h val="0.72444444444444889"/>
        </c:manualLayout>
      </c:layout>
      <c:barChart>
        <c:barDir val="col"/>
        <c:grouping val="clustered"/>
        <c:ser>
          <c:idx val="0"/>
          <c:order val="0"/>
          <c:tx>
            <c:strRef>
              <c:f>Sheet1!$B$1</c:f>
              <c:strCache>
                <c:ptCount val="1"/>
                <c:pt idx="0">
                  <c:v>投资额（亿元）</c:v>
                </c:pt>
              </c:strCache>
            </c:strRef>
          </c:tx>
          <c:spPr>
            <a:gradFill flip="none" rotWithShape="1">
              <a:gsLst>
                <a:gs pos="0">
                  <a:srgbClr val="FFF200"/>
                </a:gs>
                <a:gs pos="45000">
                  <a:srgbClr val="FF7A00"/>
                </a:gs>
                <a:gs pos="70000">
                  <a:srgbClr val="FF0300"/>
                </a:gs>
                <a:gs pos="100000">
                  <a:srgbClr val="4D0808"/>
                </a:gs>
              </a:gsLst>
              <a:lin ang="5400000" scaled="1"/>
              <a:tileRect/>
            </a:gradFill>
            <a:ln w="25332">
              <a:noFill/>
            </a:ln>
          </c:spPr>
          <c:dLbls>
            <c:dLbl>
              <c:idx val="0"/>
              <c:layout>
                <c:manualLayout>
                  <c:x val="0"/>
                  <c:y val="7.5396825396825504E-2"/>
                </c:manualLayout>
              </c:layout>
              <c:spPr>
                <a:noFill/>
                <a:ln w="22517">
                  <a:noFill/>
                </a:ln>
              </c:spPr>
              <c:txPr>
                <a:bodyPr/>
                <a:lstStyle/>
                <a:p>
                  <a:pPr>
                    <a:defRPr/>
                  </a:pPr>
                  <a:endParaRPr lang="zh-CN"/>
                </a:p>
              </c:txPr>
              <c:dLblPos val="outEnd"/>
              <c:showVal val="1"/>
            </c:dLbl>
            <c:dLbl>
              <c:idx val="1"/>
              <c:layout>
                <c:manualLayout>
                  <c:x val="0"/>
                  <c:y val="7.1428571428571438E-2"/>
                </c:manualLayout>
              </c:layout>
              <c:spPr>
                <a:noFill/>
                <a:ln w="22517">
                  <a:noFill/>
                </a:ln>
              </c:spPr>
              <c:txPr>
                <a:bodyPr/>
                <a:lstStyle/>
                <a:p>
                  <a:pPr>
                    <a:defRPr/>
                  </a:pPr>
                  <a:endParaRPr lang="zh-CN"/>
                </a:p>
              </c:txPr>
              <c:dLblPos val="outEnd"/>
              <c:showVal val="1"/>
            </c:dLbl>
            <c:dLbl>
              <c:idx val="2"/>
              <c:layout>
                <c:manualLayout>
                  <c:x val="0"/>
                  <c:y val="7.1428571428571438E-2"/>
                </c:manualLayout>
              </c:layout>
              <c:spPr>
                <a:noFill/>
                <a:ln w="22517">
                  <a:noFill/>
                </a:ln>
              </c:spPr>
              <c:txPr>
                <a:bodyPr/>
                <a:lstStyle/>
                <a:p>
                  <a:pPr>
                    <a:defRPr/>
                  </a:pPr>
                  <a:endParaRPr lang="zh-CN"/>
                </a:p>
              </c:txPr>
              <c:dLblPos val="outEnd"/>
              <c:showVal val="1"/>
            </c:dLbl>
            <c:dLbl>
              <c:idx val="3"/>
              <c:layout>
                <c:manualLayout>
                  <c:x val="0"/>
                  <c:y val="6.3492063492063516E-2"/>
                </c:manualLayout>
              </c:layout>
              <c:spPr>
                <a:noFill/>
                <a:ln w="22517">
                  <a:noFill/>
                </a:ln>
              </c:spPr>
              <c:txPr>
                <a:bodyPr/>
                <a:lstStyle/>
                <a:p>
                  <a:pPr>
                    <a:defRPr/>
                  </a:pPr>
                  <a:endParaRPr lang="zh-CN"/>
                </a:p>
              </c:txPr>
              <c:dLblPos val="outEnd"/>
              <c:showVal val="1"/>
            </c:dLbl>
            <c:dLbl>
              <c:idx val="4"/>
              <c:layout>
                <c:manualLayout>
                  <c:x val="0"/>
                  <c:y val="7.1428571428571438E-2"/>
                </c:manualLayout>
              </c:layout>
              <c:spPr>
                <a:noFill/>
                <a:ln w="22517">
                  <a:noFill/>
                </a:ln>
              </c:spPr>
              <c:txPr>
                <a:bodyPr/>
                <a:lstStyle/>
                <a:p>
                  <a:pPr>
                    <a:defRPr/>
                  </a:pPr>
                  <a:endParaRPr lang="zh-CN"/>
                </a:p>
              </c:txPr>
              <c:dLblPos val="outEnd"/>
              <c:showVal val="1"/>
            </c:dLbl>
            <c:dLbl>
              <c:idx val="5"/>
              <c:layout>
                <c:manualLayout>
                  <c:x val="0"/>
                  <c:y val="7.5396825396825504E-2"/>
                </c:manualLayout>
              </c:layout>
              <c:spPr>
                <a:noFill/>
                <a:ln w="22517">
                  <a:noFill/>
                </a:ln>
              </c:spPr>
              <c:txPr>
                <a:bodyPr/>
                <a:lstStyle/>
                <a:p>
                  <a:pPr>
                    <a:defRPr/>
                  </a:pPr>
                  <a:endParaRPr lang="zh-CN"/>
                </a:p>
              </c:txPr>
              <c:dLblPos val="outEnd"/>
              <c:showVal val="1"/>
            </c:dLbl>
            <c:dLbl>
              <c:idx val="6"/>
              <c:layout>
                <c:manualLayout>
                  <c:x val="-8.487556272013687E-17"/>
                  <c:y val="6.7460317460317484E-2"/>
                </c:manualLayout>
              </c:layout>
              <c:spPr>
                <a:noFill/>
                <a:ln w="22517">
                  <a:noFill/>
                </a:ln>
              </c:spPr>
              <c:txPr>
                <a:bodyPr/>
                <a:lstStyle/>
                <a:p>
                  <a:pPr>
                    <a:defRPr/>
                  </a:pPr>
                  <a:endParaRPr lang="zh-CN"/>
                </a:p>
              </c:txPr>
              <c:dLblPos val="outEnd"/>
              <c:showVal val="1"/>
            </c:dLbl>
            <c:spPr>
              <a:noFill/>
              <a:ln w="22517">
                <a:noFill/>
              </a:ln>
            </c:spPr>
            <c:showVal val="1"/>
          </c:dLbls>
          <c:cat>
            <c:strRef>
              <c:f>Sheet1!$A$2:$A$6</c:f>
              <c:strCache>
                <c:ptCount val="5"/>
                <c:pt idx="0">
                  <c:v>2013年</c:v>
                </c:pt>
                <c:pt idx="1">
                  <c:v>2014年</c:v>
                </c:pt>
                <c:pt idx="2">
                  <c:v>2015年</c:v>
                </c:pt>
                <c:pt idx="3">
                  <c:v>2016年</c:v>
                </c:pt>
                <c:pt idx="4">
                  <c:v>2017年</c:v>
                </c:pt>
              </c:strCache>
            </c:strRef>
          </c:cat>
          <c:val>
            <c:numRef>
              <c:f>Sheet1!$B$2:$B$6</c:f>
              <c:numCache>
                <c:formatCode>General</c:formatCode>
                <c:ptCount val="5"/>
                <c:pt idx="0">
                  <c:v>231.6</c:v>
                </c:pt>
                <c:pt idx="1">
                  <c:v>255.8</c:v>
                </c:pt>
                <c:pt idx="2">
                  <c:v>173.7</c:v>
                </c:pt>
                <c:pt idx="3">
                  <c:v>137.4</c:v>
                </c:pt>
                <c:pt idx="4">
                  <c:v>155.30000000000001</c:v>
                </c:pt>
              </c:numCache>
            </c:numRef>
          </c:val>
        </c:ser>
        <c:axId val="88907776"/>
        <c:axId val="88909312"/>
      </c:barChart>
      <c:stockChart>
        <c:ser>
          <c:idx val="1"/>
          <c:order val="1"/>
          <c:tx>
            <c:strRef>
              <c:f>Sheet1!$C$1</c:f>
              <c:strCache>
                <c:ptCount val="1"/>
                <c:pt idx="0">
                  <c:v>开盘</c:v>
                </c:pt>
              </c:strCache>
            </c:strRef>
          </c:tx>
          <c:spPr>
            <a:ln w="25332">
              <a:noFill/>
            </a:ln>
          </c:spPr>
          <c:marker>
            <c:symbol val="none"/>
          </c:marker>
          <c:cat>
            <c:strRef>
              <c:f>Sheet1!$A$2:$A$6</c:f>
              <c:strCache>
                <c:ptCount val="5"/>
                <c:pt idx="0">
                  <c:v>2013年</c:v>
                </c:pt>
                <c:pt idx="1">
                  <c:v>2014年</c:v>
                </c:pt>
                <c:pt idx="2">
                  <c:v>2015年</c:v>
                </c:pt>
                <c:pt idx="3">
                  <c:v>2016年</c:v>
                </c:pt>
                <c:pt idx="4">
                  <c:v>2017年</c:v>
                </c:pt>
              </c:strCache>
            </c:strRef>
          </c:cat>
          <c:val>
            <c:numRef>
              <c:f>Sheet1!$C$2:$C$6</c:f>
              <c:numCache>
                <c:formatCode>General</c:formatCode>
                <c:ptCount val="5"/>
              </c:numCache>
            </c:numRef>
          </c:val>
        </c:ser>
        <c:ser>
          <c:idx val="2"/>
          <c:order val="2"/>
          <c:tx>
            <c:strRef>
              <c:f>Sheet1!$D$1</c:f>
              <c:strCache>
                <c:ptCount val="1"/>
                <c:pt idx="0">
                  <c:v>盘高</c:v>
                </c:pt>
              </c:strCache>
            </c:strRef>
          </c:tx>
          <c:spPr>
            <a:ln w="25332">
              <a:noFill/>
            </a:ln>
          </c:spPr>
          <c:marker>
            <c:symbol val="none"/>
          </c:marker>
          <c:cat>
            <c:strRef>
              <c:f>Sheet1!$A$2:$A$6</c:f>
              <c:strCache>
                <c:ptCount val="5"/>
                <c:pt idx="0">
                  <c:v>2013年</c:v>
                </c:pt>
                <c:pt idx="1">
                  <c:v>2014年</c:v>
                </c:pt>
                <c:pt idx="2">
                  <c:v>2015年</c:v>
                </c:pt>
                <c:pt idx="3">
                  <c:v>2016年</c:v>
                </c:pt>
                <c:pt idx="4">
                  <c:v>2017年</c:v>
                </c:pt>
              </c:strCache>
            </c:strRef>
          </c:cat>
          <c:val>
            <c:numRef>
              <c:f>Sheet1!$D$2:$D$6</c:f>
              <c:numCache>
                <c:formatCode>General</c:formatCode>
                <c:ptCount val="5"/>
              </c:numCache>
            </c:numRef>
          </c:val>
        </c:ser>
        <c:ser>
          <c:idx val="3"/>
          <c:order val="3"/>
          <c:tx>
            <c:strRef>
              <c:f>Sheet1!$E$1</c:f>
              <c:strCache>
                <c:ptCount val="1"/>
                <c:pt idx="0">
                  <c:v>盘低</c:v>
                </c:pt>
              </c:strCache>
            </c:strRef>
          </c:tx>
          <c:spPr>
            <a:ln w="25332">
              <a:solidFill>
                <a:schemeClr val="tx1"/>
              </a:solidFill>
              <a:prstDash val="lgDashDotDot"/>
            </a:ln>
            <a:effectLst>
              <a:outerShdw blurRad="50800" dist="50800" dir="5400000" algn="ctr" rotWithShape="0">
                <a:schemeClr val="accent2">
                  <a:lumMod val="20000"/>
                  <a:lumOff val="80000"/>
                </a:schemeClr>
              </a:outerShdw>
            </a:effectLst>
          </c:spPr>
          <c:marker>
            <c:symbol val="none"/>
          </c:marker>
          <c:cat>
            <c:strRef>
              <c:f>Sheet1!$A$2:$A$6</c:f>
              <c:strCache>
                <c:ptCount val="5"/>
                <c:pt idx="0">
                  <c:v>2013年</c:v>
                </c:pt>
                <c:pt idx="1">
                  <c:v>2014年</c:v>
                </c:pt>
                <c:pt idx="2">
                  <c:v>2015年</c:v>
                </c:pt>
                <c:pt idx="3">
                  <c:v>2016年</c:v>
                </c:pt>
                <c:pt idx="4">
                  <c:v>2017年</c:v>
                </c:pt>
              </c:strCache>
            </c:strRef>
          </c:cat>
          <c:val>
            <c:numRef>
              <c:f>Sheet1!$E$2:$E$6</c:f>
              <c:numCache>
                <c:formatCode>General</c:formatCode>
                <c:ptCount val="5"/>
              </c:numCache>
            </c:numRef>
          </c:val>
        </c:ser>
        <c:ser>
          <c:idx val="4"/>
          <c:order val="4"/>
          <c:tx>
            <c:strRef>
              <c:f>Sheet1!$F$1</c:f>
              <c:strCache>
                <c:ptCount val="1"/>
                <c:pt idx="0">
                  <c:v>增速（%）</c:v>
                </c:pt>
              </c:strCache>
            </c:strRef>
          </c:tx>
          <c:spPr>
            <a:ln w="25332">
              <a:solidFill>
                <a:sysClr val="windowText" lastClr="000000"/>
              </a:solidFill>
            </a:ln>
          </c:spPr>
          <c:marker>
            <c:symbol val="circle"/>
            <c:size val="6"/>
            <c:spPr>
              <a:gradFill flip="none" rotWithShape="1">
                <a:gsLst>
                  <a:gs pos="0">
                    <a:srgbClr val="CCCCFF"/>
                  </a:gs>
                  <a:gs pos="17999">
                    <a:srgbClr val="99CCFF"/>
                  </a:gs>
                  <a:gs pos="36000">
                    <a:srgbClr val="9966FF"/>
                  </a:gs>
                  <a:gs pos="61000">
                    <a:srgbClr val="CC99FF"/>
                  </a:gs>
                  <a:gs pos="82001">
                    <a:srgbClr val="99CCFF"/>
                  </a:gs>
                  <a:gs pos="100000">
                    <a:srgbClr val="CCCCFF"/>
                  </a:gs>
                </a:gsLst>
                <a:lin ang="5400000" scaled="0"/>
                <a:tileRect/>
              </a:gradFill>
              <a:ln w="0" cap="rnd">
                <a:gradFill>
                  <a:gsLst>
                    <a:gs pos="0">
                      <a:srgbClr val="DDEBCF"/>
                    </a:gs>
                    <a:gs pos="50000">
                      <a:srgbClr val="9CB86E"/>
                    </a:gs>
                    <a:gs pos="100000">
                      <a:srgbClr val="156B13"/>
                    </a:gs>
                  </a:gsLst>
                  <a:lin ang="5400000" scaled="0"/>
                </a:gradFill>
                <a:headEnd type="none" w="sm" len="sm"/>
                <a:tailEnd type="none" w="lg" len="lg"/>
              </a:ln>
            </c:spPr>
          </c:marker>
          <c:dLbls>
            <c:dLbl>
              <c:idx val="2"/>
              <c:layout>
                <c:manualLayout>
                  <c:x val="2.3148148148148147E-3"/>
                  <c:y val="-4.3650793650793704E-2"/>
                </c:manualLayout>
              </c:layout>
              <c:spPr>
                <a:gradFill flip="none" rotWithShape="1">
                  <a:gsLst>
                    <a:gs pos="0">
                      <a:srgbClr val="DDEBCF"/>
                    </a:gs>
                    <a:gs pos="50000">
                      <a:srgbClr val="9CB86E"/>
                    </a:gs>
                    <a:gs pos="100000">
                      <a:srgbClr val="156B13"/>
                    </a:gs>
                  </a:gsLst>
                  <a:lin ang="5400000" scaled="0"/>
                  <a:tileRect/>
                </a:gradFill>
              </c:spPr>
              <c:txPr>
                <a:bodyPr/>
                <a:lstStyle/>
                <a:p>
                  <a:pPr>
                    <a:defRPr/>
                  </a:pPr>
                  <a:endParaRPr lang="zh-CN"/>
                </a:p>
              </c:txPr>
              <c:dLblPos val="r"/>
              <c:showVal val="1"/>
            </c:dLbl>
            <c:dLbl>
              <c:idx val="3"/>
              <c:layout>
                <c:manualLayout>
                  <c:x val="-3.9351851851851853E-2"/>
                  <c:y val="4.3650793650793711E-2"/>
                </c:manualLayout>
              </c:layout>
              <c:spPr>
                <a:gradFill flip="none" rotWithShape="1">
                  <a:gsLst>
                    <a:gs pos="0">
                      <a:srgbClr val="DDEBCF"/>
                    </a:gs>
                    <a:gs pos="50000">
                      <a:srgbClr val="9CB86E"/>
                    </a:gs>
                    <a:gs pos="100000">
                      <a:srgbClr val="156B13"/>
                    </a:gs>
                  </a:gsLst>
                  <a:lin ang="5400000" scaled="0"/>
                  <a:tileRect/>
                </a:gradFill>
              </c:spPr>
              <c:txPr>
                <a:bodyPr/>
                <a:lstStyle/>
                <a:p>
                  <a:pPr>
                    <a:defRPr/>
                  </a:pPr>
                  <a:endParaRPr lang="zh-CN"/>
                </a:p>
              </c:txPr>
              <c:dLblPos val="r"/>
              <c:showVal val="1"/>
            </c:dLbl>
            <c:dLbl>
              <c:idx val="6"/>
              <c:layout>
                <c:manualLayout>
                  <c:x val="-2.4081800201515319E-2"/>
                  <c:y val="-6.4272432047689024E-2"/>
                </c:manualLayout>
              </c:layout>
              <c:spPr>
                <a:gradFill flip="none" rotWithShape="1">
                  <a:gsLst>
                    <a:gs pos="0">
                      <a:srgbClr val="DDEBCF"/>
                    </a:gs>
                    <a:gs pos="50000">
                      <a:srgbClr val="9CB86E"/>
                    </a:gs>
                    <a:gs pos="100000">
                      <a:srgbClr val="156B13"/>
                    </a:gs>
                  </a:gsLst>
                  <a:lin ang="5400000" scaled="0"/>
                  <a:tileRect/>
                </a:gradFill>
              </c:spPr>
              <c:txPr>
                <a:bodyPr/>
                <a:lstStyle/>
                <a:p>
                  <a:pPr>
                    <a:defRPr/>
                  </a:pPr>
                  <a:endParaRPr lang="zh-CN"/>
                </a:p>
              </c:txPr>
              <c:dLblPos val="r"/>
              <c:showVal val="1"/>
            </c:dLbl>
            <c:spPr>
              <a:gradFill flip="none" rotWithShape="1">
                <a:gsLst>
                  <a:gs pos="0">
                    <a:srgbClr val="DDEBCF"/>
                  </a:gs>
                  <a:gs pos="50000">
                    <a:srgbClr val="9CB86E"/>
                  </a:gs>
                  <a:gs pos="100000">
                    <a:srgbClr val="156B13"/>
                  </a:gs>
                </a:gsLst>
                <a:lin ang="5400000" scaled="0"/>
                <a:tileRect/>
              </a:gradFill>
            </c:spPr>
            <c:showVal val="1"/>
          </c:dLbls>
          <c:cat>
            <c:strRef>
              <c:f>Sheet1!$A$2:$A$6</c:f>
              <c:strCache>
                <c:ptCount val="5"/>
                <c:pt idx="0">
                  <c:v>2013年</c:v>
                </c:pt>
                <c:pt idx="1">
                  <c:v>2014年</c:v>
                </c:pt>
                <c:pt idx="2">
                  <c:v>2015年</c:v>
                </c:pt>
                <c:pt idx="3">
                  <c:v>2016年</c:v>
                </c:pt>
                <c:pt idx="4">
                  <c:v>2017年</c:v>
                </c:pt>
              </c:strCache>
            </c:strRef>
          </c:cat>
          <c:val>
            <c:numRef>
              <c:f>Sheet1!$F$2:$F$6</c:f>
              <c:numCache>
                <c:formatCode>0.0_ ;[Red]\-0.0\ </c:formatCode>
                <c:ptCount val="5"/>
                <c:pt idx="0">
                  <c:v>23.7</c:v>
                </c:pt>
                <c:pt idx="1">
                  <c:v>10.4</c:v>
                </c:pt>
                <c:pt idx="2">
                  <c:v>-32.1</c:v>
                </c:pt>
                <c:pt idx="3">
                  <c:v>-41.8</c:v>
                </c:pt>
                <c:pt idx="4">
                  <c:v>13</c:v>
                </c:pt>
              </c:numCache>
            </c:numRef>
          </c:val>
        </c:ser>
        <c:hiLowLines>
          <c:spPr>
            <a:ln>
              <a:solidFill>
                <a:sysClr val="windowText" lastClr="000000"/>
              </a:solidFill>
            </a:ln>
          </c:spPr>
        </c:hiLowLines>
        <c:upDownBars>
          <c:gapWidth val="150"/>
          <c:upBars/>
          <c:downBars/>
        </c:upDownBars>
        <c:axId val="88910848"/>
        <c:axId val="124789504"/>
      </c:stockChart>
      <c:catAx>
        <c:axId val="88907776"/>
        <c:scaling>
          <c:orientation val="minMax"/>
        </c:scaling>
        <c:axPos val="b"/>
        <c:numFmt formatCode="yyyy/m/d" sourceLinked="1"/>
        <c:tickLblPos val="nextTo"/>
        <c:crossAx val="88909312"/>
        <c:crosses val="autoZero"/>
        <c:auto val="1"/>
        <c:lblAlgn val="ctr"/>
        <c:lblOffset val="100"/>
      </c:catAx>
      <c:valAx>
        <c:axId val="88909312"/>
        <c:scaling>
          <c:orientation val="minMax"/>
        </c:scaling>
        <c:axPos val="l"/>
        <c:majorGridlines/>
        <c:numFmt formatCode="General" sourceLinked="1"/>
        <c:tickLblPos val="nextTo"/>
        <c:spPr>
          <a:gradFill flip="none" rotWithShape="1">
            <a:gsLst>
              <a:gs pos="0">
                <a:srgbClr val="FFF200"/>
              </a:gs>
              <a:gs pos="45000">
                <a:srgbClr val="FF7A00"/>
              </a:gs>
              <a:gs pos="70000">
                <a:srgbClr val="FF0300"/>
              </a:gs>
              <a:gs pos="100000">
                <a:srgbClr val="4D0808"/>
              </a:gs>
            </a:gsLst>
            <a:lin ang="5400000" scaled="1"/>
            <a:tileRect/>
          </a:gradFill>
        </c:spPr>
        <c:crossAx val="88907776"/>
        <c:crosses val="autoZero"/>
        <c:crossBetween val="between"/>
      </c:valAx>
      <c:catAx>
        <c:axId val="88910848"/>
        <c:scaling>
          <c:orientation val="minMax"/>
        </c:scaling>
        <c:delete val="1"/>
        <c:axPos val="b"/>
        <c:tickLblPos val="none"/>
        <c:crossAx val="124789504"/>
        <c:crosses val="autoZero"/>
        <c:auto val="1"/>
        <c:lblAlgn val="ctr"/>
        <c:lblOffset val="100"/>
      </c:catAx>
      <c:valAx>
        <c:axId val="124789504"/>
        <c:scaling>
          <c:orientation val="minMax"/>
          <c:max val="120"/>
          <c:min val="-60"/>
        </c:scaling>
        <c:axPos val="r"/>
        <c:numFmt formatCode="#,##0.0_);[Red]\(#,##0.0\)" sourceLinked="0"/>
        <c:tickLblPos val="nextTo"/>
        <c:crossAx val="88910848"/>
        <c:crosses val="max"/>
        <c:crossBetween val="between"/>
      </c:valAx>
      <c:spPr>
        <a:noFill/>
        <a:ln w="25444">
          <a:noFill/>
        </a:ln>
      </c:spPr>
    </c:plotArea>
    <c:legend>
      <c:legendPos val="r"/>
      <c:legendEntry>
        <c:idx val="1"/>
        <c:delete val="1"/>
      </c:legendEntry>
      <c:legendEntry>
        <c:idx val="2"/>
        <c:delete val="1"/>
      </c:legendEntry>
      <c:legendEntry>
        <c:idx val="3"/>
        <c:delete val="1"/>
      </c:legendEntry>
      <c:layout>
        <c:manualLayout>
          <c:xMode val="edge"/>
          <c:yMode val="edge"/>
          <c:x val="0.20035778175313071"/>
          <c:y val="0.91923990498812369"/>
          <c:w val="0.62075134168157975"/>
          <c:h val="6.8883610451306976E-2"/>
        </c:manualLayout>
      </c:layout>
    </c:legend>
    <c:plotVisOnly val="1"/>
    <c:dispBlanksAs val="gap"/>
  </c:chart>
  <c:spPr>
    <a:ln w="22517">
      <a:solidFill>
        <a:sysClr val="windowText" lastClr="000000"/>
      </a:solidFill>
    </a:ln>
    <a:effectLst>
      <a:outerShdw blurRad="50800" dist="38100" dir="18900000" algn="bl" rotWithShape="0">
        <a:prstClr val="black">
          <a:alpha val="40000"/>
        </a:prstClr>
      </a:outerShdw>
    </a:effectLst>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lang="zh-CN" altLang="en-US" sz="1400"/>
          </a:p>
        </c:rich>
      </c:tx>
      <c:spPr>
        <a:noFill/>
        <a:ln w="25887">
          <a:noFill/>
        </a:ln>
      </c:spPr>
    </c:title>
    <c:plotArea>
      <c:layout>
        <c:manualLayout>
          <c:layoutTarget val="inner"/>
          <c:xMode val="edge"/>
          <c:yMode val="edge"/>
          <c:x val="8.3446976535340528E-2"/>
          <c:y val="0.19567059864643369"/>
          <c:w val="0.8301047938860584"/>
          <c:h val="0.60326315009996756"/>
        </c:manualLayout>
      </c:layout>
      <c:barChart>
        <c:barDir val="col"/>
        <c:grouping val="clustered"/>
        <c:ser>
          <c:idx val="0"/>
          <c:order val="0"/>
          <c:tx>
            <c:strRef>
              <c:f>Sheet1!$B$1</c:f>
              <c:strCache>
                <c:ptCount val="1"/>
                <c:pt idx="0">
                  <c:v>零售额总量（亿元）</c:v>
                </c:pt>
              </c:strCache>
            </c:strRef>
          </c:tx>
          <c:spPr>
            <a:gradFill flip="none" rotWithShape="1">
              <a:gsLst>
                <a:gs pos="0">
                  <a:srgbClr val="FFF200"/>
                </a:gs>
                <a:gs pos="45000">
                  <a:srgbClr val="FF7A00"/>
                </a:gs>
                <a:gs pos="70000">
                  <a:srgbClr val="FF0300"/>
                </a:gs>
                <a:gs pos="100000">
                  <a:srgbClr val="4D0808"/>
                </a:gs>
              </a:gsLst>
              <a:lin ang="10800000" scaled="0"/>
              <a:tileRect/>
            </a:gradFill>
            <a:ln w="12943">
              <a:gradFill>
                <a:gsLst>
                  <a:gs pos="0">
                    <a:srgbClr val="000000"/>
                  </a:gs>
                  <a:gs pos="20000">
                    <a:srgbClr val="000040"/>
                  </a:gs>
                  <a:gs pos="50000">
                    <a:srgbClr val="400040"/>
                  </a:gs>
                  <a:gs pos="75000">
                    <a:srgbClr val="8F0040"/>
                  </a:gs>
                  <a:gs pos="89999">
                    <a:srgbClr val="F27300"/>
                  </a:gs>
                  <a:gs pos="100000">
                    <a:srgbClr val="FFBF00"/>
                  </a:gs>
                </a:gsLst>
                <a:lin ang="5400000" scaled="0"/>
              </a:gradFill>
            </a:ln>
            <a:effectLst>
              <a:outerShdw blurRad="50800" dist="38100" dir="2700000" algn="tl" rotWithShape="0">
                <a:prstClr val="black">
                  <a:alpha val="40000"/>
                </a:prstClr>
              </a:outerShdw>
            </a:effectLst>
          </c:spPr>
          <c:dLbls>
            <c:dLbl>
              <c:idx val="0"/>
              <c:layout>
                <c:manualLayout>
                  <c:x val="0"/>
                  <c:y val="9.4120533783852975E-2"/>
                </c:manualLayout>
              </c:layout>
              <c:spPr>
                <a:noFill/>
                <a:ln w="25887">
                  <a:noFill/>
                </a:ln>
              </c:spPr>
              <c:txPr>
                <a:bodyPr/>
                <a:lstStyle/>
                <a:p>
                  <a:pPr>
                    <a:defRPr/>
                  </a:pPr>
                  <a:endParaRPr lang="zh-CN"/>
                </a:p>
              </c:txPr>
              <c:dLblPos val="outEnd"/>
              <c:showVal val="1"/>
            </c:dLbl>
            <c:dLbl>
              <c:idx val="1"/>
              <c:layout>
                <c:manualLayout>
                  <c:x val="0"/>
                  <c:y val="9.3140254019971613E-2"/>
                </c:manualLayout>
              </c:layout>
              <c:spPr>
                <a:noFill/>
                <a:ln w="25887">
                  <a:noFill/>
                </a:ln>
              </c:spPr>
              <c:txPr>
                <a:bodyPr/>
                <a:lstStyle/>
                <a:p>
                  <a:pPr>
                    <a:defRPr/>
                  </a:pPr>
                  <a:endParaRPr lang="zh-CN"/>
                </a:p>
              </c:txPr>
              <c:dLblPos val="outEnd"/>
              <c:showVal val="1"/>
            </c:dLbl>
            <c:dLbl>
              <c:idx val="2"/>
              <c:layout>
                <c:manualLayout>
                  <c:x val="0"/>
                  <c:y val="0.12477227702859112"/>
                </c:manualLayout>
              </c:layout>
              <c:spPr>
                <a:noFill/>
                <a:ln w="25887">
                  <a:noFill/>
                </a:ln>
              </c:spPr>
              <c:txPr>
                <a:bodyPr/>
                <a:lstStyle/>
                <a:p>
                  <a:pPr>
                    <a:defRPr/>
                  </a:pPr>
                  <a:endParaRPr lang="zh-CN"/>
                </a:p>
              </c:txPr>
              <c:dLblPos val="outEnd"/>
              <c:showVal val="1"/>
            </c:dLbl>
            <c:dLbl>
              <c:idx val="3"/>
              <c:layout>
                <c:manualLayout>
                  <c:x val="0"/>
                  <c:y val="0.14716746613569981"/>
                </c:manualLayout>
              </c:layout>
              <c:spPr>
                <a:noFill/>
                <a:ln w="25887">
                  <a:noFill/>
                </a:ln>
              </c:spPr>
              <c:txPr>
                <a:bodyPr/>
                <a:lstStyle/>
                <a:p>
                  <a:pPr>
                    <a:defRPr/>
                  </a:pPr>
                  <a:endParaRPr lang="zh-CN"/>
                </a:p>
              </c:txPr>
              <c:dLblPos val="outEnd"/>
              <c:showVal val="1"/>
            </c:dLbl>
            <c:dLbl>
              <c:idx val="4"/>
              <c:layout>
                <c:manualLayout>
                  <c:x val="2.858531572442387E-3"/>
                  <c:y val="0.26177009483010028"/>
                </c:manualLayout>
              </c:layout>
              <c:spPr>
                <a:noFill/>
                <a:ln w="25887">
                  <a:noFill/>
                </a:ln>
              </c:spPr>
              <c:txPr>
                <a:bodyPr/>
                <a:lstStyle/>
                <a:p>
                  <a:pPr>
                    <a:defRPr/>
                  </a:pPr>
                  <a:endParaRPr lang="zh-CN"/>
                </a:p>
              </c:txPr>
              <c:dLblPos val="outEnd"/>
              <c:showVal val="1"/>
            </c:dLbl>
            <c:dLbl>
              <c:idx val="5"/>
              <c:layout>
                <c:manualLayout>
                  <c:x val="7.3927796062529414E-3"/>
                  <c:y val="0.36763833092292036"/>
                </c:manualLayout>
              </c:layout>
              <c:spPr>
                <a:noFill/>
                <a:ln w="25887">
                  <a:noFill/>
                </a:ln>
              </c:spPr>
              <c:txPr>
                <a:bodyPr/>
                <a:lstStyle/>
                <a:p>
                  <a:pPr>
                    <a:defRPr/>
                  </a:pPr>
                  <a:endParaRPr lang="zh-CN"/>
                </a:p>
              </c:txPr>
              <c:dLblPos val="outEnd"/>
              <c:showVal val="1"/>
            </c:dLbl>
            <c:dLbl>
              <c:idx val="6"/>
              <c:layout>
                <c:manualLayout>
                  <c:x val="9.631591620515299E-3"/>
                  <c:y val="1.6511867905056765E-2"/>
                </c:manualLayout>
              </c:layout>
              <c:spPr>
                <a:noFill/>
                <a:ln w="25887">
                  <a:noFill/>
                </a:ln>
              </c:spPr>
              <c:txPr>
                <a:bodyPr/>
                <a:lstStyle/>
                <a:p>
                  <a:pPr>
                    <a:defRPr/>
                  </a:pPr>
                  <a:endParaRPr lang="zh-CN"/>
                </a:p>
              </c:txPr>
              <c:dLblPos val="outEnd"/>
              <c:showVal val="1"/>
            </c:dLbl>
            <c:spPr>
              <a:noFill/>
              <a:ln w="25887">
                <a:noFill/>
              </a:ln>
            </c:spPr>
            <c:showVal val="1"/>
          </c:dLbls>
          <c:cat>
            <c:strRef>
              <c:f>Sheet1!$A$2:$A$6</c:f>
              <c:strCache>
                <c:ptCount val="5"/>
                <c:pt idx="0">
                  <c:v>2013年</c:v>
                </c:pt>
                <c:pt idx="1">
                  <c:v>2014年</c:v>
                </c:pt>
                <c:pt idx="2">
                  <c:v>2015年</c:v>
                </c:pt>
                <c:pt idx="3">
                  <c:v>2016年</c:v>
                </c:pt>
                <c:pt idx="4">
                  <c:v>2017年</c:v>
                </c:pt>
              </c:strCache>
            </c:strRef>
          </c:cat>
          <c:val>
            <c:numRef>
              <c:f>Sheet1!$B$2:$B$6</c:f>
              <c:numCache>
                <c:formatCode>General</c:formatCode>
                <c:ptCount val="5"/>
                <c:pt idx="0">
                  <c:v>139.30000000000001</c:v>
                </c:pt>
                <c:pt idx="1">
                  <c:v>156</c:v>
                </c:pt>
                <c:pt idx="2">
                  <c:v>168.6</c:v>
                </c:pt>
                <c:pt idx="3">
                  <c:v>181.2</c:v>
                </c:pt>
                <c:pt idx="4">
                  <c:v>191.1</c:v>
                </c:pt>
              </c:numCache>
            </c:numRef>
          </c:val>
        </c:ser>
        <c:axId val="124928384"/>
        <c:axId val="124929920"/>
      </c:barChart>
      <c:lineChart>
        <c:grouping val="standard"/>
        <c:ser>
          <c:idx val="1"/>
          <c:order val="1"/>
          <c:tx>
            <c:strRef>
              <c:f>Sheet1!$C$1</c:f>
              <c:strCache>
                <c:ptCount val="1"/>
                <c:pt idx="0">
                  <c:v>开盘</c:v>
                </c:pt>
              </c:strCache>
            </c:strRef>
          </c:tx>
          <c:spPr>
            <a:ln w="29122">
              <a:noFill/>
            </a:ln>
          </c:spPr>
          <c:marker>
            <c:symbol val="none"/>
          </c:marker>
          <c:cat>
            <c:strRef>
              <c:f>Sheet1!$A$2:$A$6</c:f>
              <c:strCache>
                <c:ptCount val="5"/>
                <c:pt idx="0">
                  <c:v>2013年</c:v>
                </c:pt>
                <c:pt idx="1">
                  <c:v>2014年</c:v>
                </c:pt>
                <c:pt idx="2">
                  <c:v>2015年</c:v>
                </c:pt>
                <c:pt idx="3">
                  <c:v>2016年</c:v>
                </c:pt>
                <c:pt idx="4">
                  <c:v>2017年</c:v>
                </c:pt>
              </c:strCache>
            </c:strRef>
          </c:cat>
          <c:val>
            <c:numRef>
              <c:f>Sheet1!$C$2:$C$6</c:f>
              <c:numCache>
                <c:formatCode>General</c:formatCode>
                <c:ptCount val="5"/>
              </c:numCache>
            </c:numRef>
          </c:val>
        </c:ser>
        <c:ser>
          <c:idx val="2"/>
          <c:order val="2"/>
          <c:tx>
            <c:strRef>
              <c:f>Sheet1!$D$1</c:f>
              <c:strCache>
                <c:ptCount val="1"/>
                <c:pt idx="0">
                  <c:v>盘高</c:v>
                </c:pt>
              </c:strCache>
            </c:strRef>
          </c:tx>
          <c:spPr>
            <a:ln w="29122">
              <a:noFill/>
            </a:ln>
          </c:spPr>
          <c:marker>
            <c:symbol val="none"/>
          </c:marker>
          <c:cat>
            <c:strRef>
              <c:f>Sheet1!$A$2:$A$6</c:f>
              <c:strCache>
                <c:ptCount val="5"/>
                <c:pt idx="0">
                  <c:v>2013年</c:v>
                </c:pt>
                <c:pt idx="1">
                  <c:v>2014年</c:v>
                </c:pt>
                <c:pt idx="2">
                  <c:v>2015年</c:v>
                </c:pt>
                <c:pt idx="3">
                  <c:v>2016年</c:v>
                </c:pt>
                <c:pt idx="4">
                  <c:v>2017年</c:v>
                </c:pt>
              </c:strCache>
            </c:strRef>
          </c:cat>
          <c:val>
            <c:numRef>
              <c:f>Sheet1!$D$2:$D$6</c:f>
              <c:numCache>
                <c:formatCode>General</c:formatCode>
                <c:ptCount val="5"/>
              </c:numCache>
            </c:numRef>
          </c:val>
        </c:ser>
        <c:ser>
          <c:idx val="3"/>
          <c:order val="3"/>
          <c:tx>
            <c:strRef>
              <c:f>Sheet1!$E$1</c:f>
              <c:strCache>
                <c:ptCount val="1"/>
                <c:pt idx="0">
                  <c:v>盘低</c:v>
                </c:pt>
              </c:strCache>
            </c:strRef>
          </c:tx>
          <c:spPr>
            <a:ln w="29122">
              <a:noFill/>
            </a:ln>
          </c:spPr>
          <c:marker>
            <c:symbol val="none"/>
          </c:marker>
          <c:cat>
            <c:strRef>
              <c:f>Sheet1!$A$2:$A$6</c:f>
              <c:strCache>
                <c:ptCount val="5"/>
                <c:pt idx="0">
                  <c:v>2013年</c:v>
                </c:pt>
                <c:pt idx="1">
                  <c:v>2014年</c:v>
                </c:pt>
                <c:pt idx="2">
                  <c:v>2015年</c:v>
                </c:pt>
                <c:pt idx="3">
                  <c:v>2016年</c:v>
                </c:pt>
                <c:pt idx="4">
                  <c:v>2017年</c:v>
                </c:pt>
              </c:strCache>
            </c:strRef>
          </c:cat>
          <c:val>
            <c:numRef>
              <c:f>Sheet1!$E$2:$E$6</c:f>
              <c:numCache>
                <c:formatCode>General</c:formatCode>
                <c:ptCount val="5"/>
              </c:numCache>
            </c:numRef>
          </c:val>
        </c:ser>
        <c:ser>
          <c:idx val="4"/>
          <c:order val="4"/>
          <c:tx>
            <c:strRef>
              <c:f>Sheet1!$F$1</c:f>
              <c:strCache>
                <c:ptCount val="1"/>
                <c:pt idx="0">
                  <c:v>增速(%)</c:v>
                </c:pt>
              </c:strCache>
            </c:strRef>
          </c:tx>
          <c:spPr>
            <a:ln w="19414">
              <a:solidFill>
                <a:schemeClr val="tx1"/>
              </a:solidFill>
            </a:ln>
          </c:spPr>
          <c:marker>
            <c:symbol val="circle"/>
            <c:size val="5"/>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1"/>
                <a:tileRect/>
              </a:gradFill>
              <a:ln w="0">
                <a:gradFill>
                  <a:gsLst>
                    <a:gs pos="0">
                      <a:srgbClr val="000000"/>
                    </a:gs>
                    <a:gs pos="39999">
                      <a:srgbClr val="0A128C"/>
                    </a:gs>
                    <a:gs pos="70000">
                      <a:srgbClr val="181CC7"/>
                    </a:gs>
                    <a:gs pos="88000">
                      <a:srgbClr val="7005D4"/>
                    </a:gs>
                    <a:gs pos="100000">
                      <a:srgbClr val="8C3D91"/>
                    </a:gs>
                  </a:gsLst>
                  <a:lin ang="5400000" scaled="0"/>
                </a:gradFill>
              </a:ln>
            </c:spPr>
          </c:marker>
          <c:dLbls>
            <c:dLbl>
              <c:idx val="0"/>
              <c:layout>
                <c:manualLayout>
                  <c:x val="-3.8526366482061231E-2"/>
                  <c:y val="-5.7791537667699004E-2"/>
                </c:manualLayout>
              </c:layout>
              <c:spPr>
                <a:gradFill>
                  <a:gsLst>
                    <a:gs pos="0">
                      <a:srgbClr val="DDEBCF"/>
                    </a:gs>
                    <a:gs pos="50000">
                      <a:srgbClr val="9CB86E"/>
                    </a:gs>
                    <a:gs pos="100000">
                      <a:srgbClr val="156B13"/>
                    </a:gs>
                  </a:gsLst>
                  <a:lin ang="13500000" scaled="0"/>
                </a:gradFill>
                <a:ln w="12943">
                  <a:gradFill flip="none" rotWithShape="1">
                    <a:gsLst>
                      <a:gs pos="0">
                        <a:srgbClr val="DDEBCF"/>
                      </a:gs>
                      <a:gs pos="50000">
                        <a:srgbClr val="9CB86E"/>
                      </a:gs>
                      <a:gs pos="100000">
                        <a:srgbClr val="156B13"/>
                      </a:gs>
                    </a:gsLst>
                    <a:lin ang="2700000" scaled="1"/>
                    <a:tileRect/>
                  </a:gradFill>
                </a:ln>
              </c:spPr>
              <c:txPr>
                <a:bodyPr/>
                <a:lstStyle/>
                <a:p>
                  <a:pPr>
                    <a:defRPr/>
                  </a:pPr>
                  <a:endParaRPr lang="zh-CN"/>
                </a:p>
              </c:txPr>
              <c:dLblPos val="r"/>
              <c:showVal val="1"/>
            </c:dLbl>
            <c:dLbl>
              <c:idx val="1"/>
              <c:layout>
                <c:manualLayout>
                  <c:x val="-5.0565856007705294E-2"/>
                  <c:y val="-7.0175438596491196E-2"/>
                </c:manualLayout>
              </c:layout>
              <c:spPr>
                <a:gradFill>
                  <a:gsLst>
                    <a:gs pos="0">
                      <a:srgbClr val="DDEBCF"/>
                    </a:gs>
                    <a:gs pos="50000">
                      <a:srgbClr val="9CB86E"/>
                    </a:gs>
                    <a:gs pos="100000">
                      <a:srgbClr val="156B13"/>
                    </a:gs>
                  </a:gsLst>
                  <a:lin ang="13500000" scaled="0"/>
                </a:gradFill>
                <a:ln w="12943">
                  <a:gradFill flip="none" rotWithShape="1">
                    <a:gsLst>
                      <a:gs pos="0">
                        <a:srgbClr val="DDEBCF"/>
                      </a:gs>
                      <a:gs pos="50000">
                        <a:srgbClr val="9CB86E"/>
                      </a:gs>
                      <a:gs pos="100000">
                        <a:srgbClr val="156B13"/>
                      </a:gs>
                    </a:gsLst>
                    <a:lin ang="2700000" scaled="1"/>
                    <a:tileRect/>
                  </a:gradFill>
                </a:ln>
              </c:spPr>
              <c:txPr>
                <a:bodyPr/>
                <a:lstStyle/>
                <a:p>
                  <a:pPr>
                    <a:defRPr/>
                  </a:pPr>
                  <a:endParaRPr lang="zh-CN"/>
                </a:p>
              </c:txPr>
              <c:dLblPos val="r"/>
              <c:showVal val="1"/>
            </c:dLbl>
            <c:dLbl>
              <c:idx val="2"/>
              <c:layout>
                <c:manualLayout>
                  <c:x val="-2.5221078134464021E-2"/>
                  <c:y val="-5.1821419633059307E-2"/>
                </c:manualLayout>
              </c:layout>
              <c:spPr>
                <a:gradFill>
                  <a:gsLst>
                    <a:gs pos="0">
                      <a:srgbClr val="DDEBCF"/>
                    </a:gs>
                    <a:gs pos="50000">
                      <a:srgbClr val="9CB86E"/>
                    </a:gs>
                    <a:gs pos="100000">
                      <a:srgbClr val="156B13"/>
                    </a:gs>
                  </a:gsLst>
                  <a:lin ang="13500000" scaled="0"/>
                </a:gradFill>
                <a:ln w="12943">
                  <a:gradFill flip="none" rotWithShape="1">
                    <a:gsLst>
                      <a:gs pos="0">
                        <a:srgbClr val="DDEBCF"/>
                      </a:gs>
                      <a:gs pos="50000">
                        <a:srgbClr val="9CB86E"/>
                      </a:gs>
                      <a:gs pos="100000">
                        <a:srgbClr val="156B13"/>
                      </a:gs>
                    </a:gsLst>
                    <a:lin ang="2700000" scaled="1"/>
                    <a:tileRect/>
                  </a:gradFill>
                </a:ln>
              </c:spPr>
              <c:txPr>
                <a:bodyPr/>
                <a:lstStyle/>
                <a:p>
                  <a:pPr>
                    <a:defRPr/>
                  </a:pPr>
                  <a:endParaRPr lang="zh-CN"/>
                </a:p>
              </c:txPr>
              <c:dLblPos val="r"/>
              <c:showVal val="1"/>
            </c:dLbl>
            <c:dLbl>
              <c:idx val="3"/>
              <c:layout>
                <c:manualLayout>
                  <c:x val="-2.9707158400071806E-2"/>
                  <c:y val="-9.2570959192448246E-2"/>
                </c:manualLayout>
              </c:layout>
              <c:spPr>
                <a:gradFill>
                  <a:gsLst>
                    <a:gs pos="0">
                      <a:srgbClr val="DDEBCF"/>
                    </a:gs>
                    <a:gs pos="50000">
                      <a:srgbClr val="9CB86E"/>
                    </a:gs>
                    <a:gs pos="100000">
                      <a:srgbClr val="156B13"/>
                    </a:gs>
                  </a:gsLst>
                  <a:lin ang="13500000" scaled="0"/>
                </a:gradFill>
                <a:ln w="12943">
                  <a:gradFill flip="none" rotWithShape="1">
                    <a:gsLst>
                      <a:gs pos="0">
                        <a:srgbClr val="DDEBCF"/>
                      </a:gs>
                      <a:gs pos="50000">
                        <a:srgbClr val="9CB86E"/>
                      </a:gs>
                      <a:gs pos="100000">
                        <a:srgbClr val="156B13"/>
                      </a:gs>
                    </a:gsLst>
                    <a:lin ang="2700000" scaled="1"/>
                    <a:tileRect/>
                  </a:gradFill>
                </a:ln>
              </c:spPr>
              <c:txPr>
                <a:bodyPr/>
                <a:lstStyle/>
                <a:p>
                  <a:pPr>
                    <a:defRPr/>
                  </a:pPr>
                  <a:endParaRPr lang="zh-CN"/>
                </a:p>
              </c:txPr>
              <c:dLblPos val="r"/>
              <c:showVal val="1"/>
            </c:dLbl>
            <c:dLbl>
              <c:idx val="4"/>
              <c:layout>
                <c:manualLayout>
                  <c:x val="-3.7019270027144176E-2"/>
                  <c:y val="-9.2995270456718584E-2"/>
                </c:manualLayout>
              </c:layout>
              <c:spPr>
                <a:gradFill>
                  <a:gsLst>
                    <a:gs pos="0">
                      <a:srgbClr val="DDEBCF"/>
                    </a:gs>
                    <a:gs pos="50000">
                      <a:srgbClr val="9CB86E"/>
                    </a:gs>
                    <a:gs pos="100000">
                      <a:srgbClr val="156B13"/>
                    </a:gs>
                  </a:gsLst>
                  <a:lin ang="13500000" scaled="0"/>
                </a:gradFill>
                <a:ln w="12943">
                  <a:gradFill flip="none" rotWithShape="1">
                    <a:gsLst>
                      <a:gs pos="0">
                        <a:srgbClr val="DDEBCF"/>
                      </a:gs>
                      <a:gs pos="50000">
                        <a:srgbClr val="9CB86E"/>
                      </a:gs>
                      <a:gs pos="100000">
                        <a:srgbClr val="156B13"/>
                      </a:gs>
                    </a:gsLst>
                    <a:lin ang="2700000" scaled="1"/>
                    <a:tileRect/>
                  </a:gradFill>
                </a:ln>
              </c:spPr>
              <c:txPr>
                <a:bodyPr/>
                <a:lstStyle/>
                <a:p>
                  <a:pPr>
                    <a:defRPr/>
                  </a:pPr>
                  <a:endParaRPr lang="zh-CN"/>
                </a:p>
              </c:txPr>
              <c:dLblPos val="r"/>
              <c:showVal val="1"/>
            </c:dLbl>
            <c:dLbl>
              <c:idx val="5"/>
              <c:layout>
                <c:manualLayout>
                  <c:x val="-4.3342162292318805E-2"/>
                  <c:y val="-6.1919504643962876E-2"/>
                </c:manualLayout>
              </c:layout>
              <c:spPr>
                <a:gradFill>
                  <a:gsLst>
                    <a:gs pos="0">
                      <a:srgbClr val="DDEBCF"/>
                    </a:gs>
                    <a:gs pos="50000">
                      <a:srgbClr val="9CB86E"/>
                    </a:gs>
                    <a:gs pos="100000">
                      <a:srgbClr val="156B13"/>
                    </a:gs>
                  </a:gsLst>
                  <a:lin ang="13500000" scaled="0"/>
                </a:gradFill>
                <a:ln w="12943">
                  <a:gradFill flip="none" rotWithShape="1">
                    <a:gsLst>
                      <a:gs pos="0">
                        <a:srgbClr val="DDEBCF"/>
                      </a:gs>
                      <a:gs pos="50000">
                        <a:srgbClr val="9CB86E"/>
                      </a:gs>
                      <a:gs pos="100000">
                        <a:srgbClr val="156B13"/>
                      </a:gs>
                    </a:gsLst>
                    <a:lin ang="2700000" scaled="1"/>
                    <a:tileRect/>
                  </a:gradFill>
                </a:ln>
              </c:spPr>
              <c:txPr>
                <a:bodyPr/>
                <a:lstStyle/>
                <a:p>
                  <a:pPr>
                    <a:defRPr/>
                  </a:pPr>
                  <a:endParaRPr lang="zh-CN"/>
                </a:p>
              </c:txPr>
              <c:dLblPos val="r"/>
              <c:showVal val="1"/>
            </c:dLbl>
            <c:dLbl>
              <c:idx val="6"/>
              <c:layout>
                <c:manualLayout>
                  <c:x val="-4.3342162292318805E-2"/>
                  <c:y val="-6.6047471620227033E-2"/>
                </c:manualLayout>
              </c:layout>
              <c:spPr>
                <a:gradFill>
                  <a:gsLst>
                    <a:gs pos="0">
                      <a:srgbClr val="DDEBCF"/>
                    </a:gs>
                    <a:gs pos="50000">
                      <a:srgbClr val="9CB86E"/>
                    </a:gs>
                    <a:gs pos="100000">
                      <a:srgbClr val="156B13"/>
                    </a:gs>
                  </a:gsLst>
                  <a:lin ang="13500000" scaled="0"/>
                </a:gradFill>
                <a:ln w="12943">
                  <a:gradFill flip="none" rotWithShape="1">
                    <a:gsLst>
                      <a:gs pos="0">
                        <a:srgbClr val="DDEBCF"/>
                      </a:gs>
                      <a:gs pos="50000">
                        <a:srgbClr val="9CB86E"/>
                      </a:gs>
                      <a:gs pos="100000">
                        <a:srgbClr val="156B13"/>
                      </a:gs>
                    </a:gsLst>
                    <a:lin ang="2700000" scaled="1"/>
                    <a:tileRect/>
                  </a:gradFill>
                </a:ln>
              </c:spPr>
              <c:txPr>
                <a:bodyPr/>
                <a:lstStyle/>
                <a:p>
                  <a:pPr>
                    <a:defRPr/>
                  </a:pPr>
                  <a:endParaRPr lang="zh-CN"/>
                </a:p>
              </c:txPr>
              <c:dLblPos val="r"/>
              <c:showVal val="1"/>
            </c:dLbl>
            <c:spPr>
              <a:gradFill>
                <a:gsLst>
                  <a:gs pos="0">
                    <a:srgbClr val="DDEBCF"/>
                  </a:gs>
                  <a:gs pos="50000">
                    <a:srgbClr val="9CB86E"/>
                  </a:gs>
                  <a:gs pos="100000">
                    <a:srgbClr val="156B13"/>
                  </a:gs>
                </a:gsLst>
                <a:lin ang="13500000" scaled="0"/>
              </a:gradFill>
              <a:ln w="12943">
                <a:gradFill flip="none" rotWithShape="1">
                  <a:gsLst>
                    <a:gs pos="0">
                      <a:srgbClr val="DDEBCF"/>
                    </a:gs>
                    <a:gs pos="50000">
                      <a:srgbClr val="9CB86E"/>
                    </a:gs>
                    <a:gs pos="100000">
                      <a:srgbClr val="156B13"/>
                    </a:gs>
                  </a:gsLst>
                  <a:lin ang="2700000" scaled="1"/>
                  <a:tileRect/>
                </a:gradFill>
              </a:ln>
            </c:spPr>
            <c:showVal val="1"/>
          </c:dLbls>
          <c:cat>
            <c:strRef>
              <c:f>Sheet1!$A$2:$A$6</c:f>
              <c:strCache>
                <c:ptCount val="5"/>
                <c:pt idx="0">
                  <c:v>2013年</c:v>
                </c:pt>
                <c:pt idx="1">
                  <c:v>2014年</c:v>
                </c:pt>
                <c:pt idx="2">
                  <c:v>2015年</c:v>
                </c:pt>
                <c:pt idx="3">
                  <c:v>2016年</c:v>
                </c:pt>
                <c:pt idx="4">
                  <c:v>2017年</c:v>
                </c:pt>
              </c:strCache>
            </c:strRef>
          </c:cat>
          <c:val>
            <c:numRef>
              <c:f>Sheet1!$F$2:$F$6</c:f>
              <c:numCache>
                <c:formatCode>0.0_ ;[Red]\-0.0\ </c:formatCode>
                <c:ptCount val="5"/>
                <c:pt idx="0">
                  <c:v>13.8</c:v>
                </c:pt>
                <c:pt idx="1">
                  <c:v>12</c:v>
                </c:pt>
                <c:pt idx="2">
                  <c:v>8.1</c:v>
                </c:pt>
                <c:pt idx="3">
                  <c:v>7.4</c:v>
                </c:pt>
                <c:pt idx="4">
                  <c:v>5.4</c:v>
                </c:pt>
              </c:numCache>
            </c:numRef>
          </c:val>
        </c:ser>
        <c:hiLowLines/>
        <c:marker val="1"/>
        <c:axId val="124931456"/>
        <c:axId val="124937344"/>
      </c:lineChart>
      <c:catAx>
        <c:axId val="124928384"/>
        <c:scaling>
          <c:orientation val="minMax"/>
        </c:scaling>
        <c:axPos val="b"/>
        <c:numFmt formatCode="yyyy/m/d" sourceLinked="1"/>
        <c:tickLblPos val="nextTo"/>
        <c:crossAx val="124929920"/>
        <c:crosses val="autoZero"/>
        <c:auto val="1"/>
        <c:lblAlgn val="ctr"/>
        <c:lblOffset val="100"/>
      </c:catAx>
      <c:valAx>
        <c:axId val="124929920"/>
        <c:scaling>
          <c:orientation val="minMax"/>
        </c:scaling>
        <c:axPos val="l"/>
        <c:majorGridlines/>
        <c:numFmt formatCode="General" sourceLinked="1"/>
        <c:tickLblPos val="nextTo"/>
        <c:spPr>
          <a:gradFill flip="none" rotWithShape="1">
            <a:gsLst>
              <a:gs pos="0">
                <a:srgbClr val="FFF200"/>
              </a:gs>
              <a:gs pos="45000">
                <a:srgbClr val="FF7A00"/>
              </a:gs>
              <a:gs pos="70000">
                <a:srgbClr val="FF0300"/>
              </a:gs>
              <a:gs pos="100000">
                <a:srgbClr val="4D0808"/>
              </a:gs>
            </a:gsLst>
            <a:lin ang="2700000" scaled="0"/>
            <a:tileRect/>
          </a:gradFill>
          <a:ln w="12943">
            <a:gradFill flip="none" rotWithShape="1">
              <a:gsLst>
                <a:gs pos="0">
                  <a:srgbClr val="03D4A8"/>
                </a:gs>
                <a:gs pos="25000">
                  <a:srgbClr val="21D6E0"/>
                </a:gs>
                <a:gs pos="75000">
                  <a:srgbClr val="0087E6"/>
                </a:gs>
                <a:gs pos="100000">
                  <a:srgbClr val="005CBF"/>
                </a:gs>
              </a:gsLst>
              <a:lin ang="5400000" scaled="1"/>
              <a:tileRect/>
            </a:gradFill>
          </a:ln>
        </c:spPr>
        <c:crossAx val="124928384"/>
        <c:crosses val="autoZero"/>
        <c:crossBetween val="between"/>
      </c:valAx>
      <c:catAx>
        <c:axId val="124931456"/>
        <c:scaling>
          <c:orientation val="minMax"/>
        </c:scaling>
        <c:delete val="1"/>
        <c:axPos val="b"/>
        <c:tickLblPos val="none"/>
        <c:crossAx val="124937344"/>
        <c:crosses val="autoZero"/>
        <c:auto val="1"/>
        <c:lblAlgn val="ctr"/>
        <c:lblOffset val="100"/>
      </c:catAx>
      <c:valAx>
        <c:axId val="124937344"/>
        <c:scaling>
          <c:orientation val="minMax"/>
        </c:scaling>
        <c:axPos val="r"/>
        <c:numFmt formatCode="General" sourceLinked="1"/>
        <c:tickLblPos val="nextTo"/>
        <c:spPr>
          <a:gradFill flip="none" rotWithShape="1">
            <a:gsLst>
              <a:gs pos="0">
                <a:srgbClr val="DDEBCF"/>
              </a:gs>
              <a:gs pos="50000">
                <a:srgbClr val="9CB86E"/>
              </a:gs>
              <a:gs pos="100000">
                <a:srgbClr val="156B13"/>
              </a:gs>
            </a:gsLst>
            <a:lin ang="13500000" scaled="1"/>
            <a:tileRect/>
          </a:gradFill>
          <a:ln w="12943">
            <a:gradFill flip="none" rotWithShape="1">
              <a:gsLst>
                <a:gs pos="0">
                  <a:srgbClr val="DDEBCF"/>
                </a:gs>
                <a:gs pos="50000">
                  <a:srgbClr val="9CB86E"/>
                </a:gs>
                <a:gs pos="100000">
                  <a:srgbClr val="156B13"/>
                </a:gs>
              </a:gsLst>
              <a:lin ang="16200000" scaled="1"/>
              <a:tileRect/>
            </a:gradFill>
          </a:ln>
        </c:spPr>
        <c:crossAx val="124931456"/>
        <c:crosses val="max"/>
        <c:crossBetween val="between"/>
      </c:valAx>
    </c:plotArea>
    <c:legend>
      <c:legendPos val="r"/>
      <c:legendEntry>
        <c:idx val="1"/>
        <c:delete val="1"/>
      </c:legendEntry>
      <c:legendEntry>
        <c:idx val="2"/>
        <c:delete val="1"/>
      </c:legendEntry>
      <c:legendEntry>
        <c:idx val="3"/>
        <c:delete val="1"/>
      </c:legendEntry>
      <c:layout>
        <c:manualLayout>
          <c:xMode val="edge"/>
          <c:yMode val="edge"/>
          <c:x val="0.26048941378922047"/>
          <c:y val="0.90322574740192951"/>
          <c:w val="0.47727277383212907"/>
          <c:h val="7.0380914055834132E-2"/>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view3D>
      <c:depthPercent val="100"/>
      <c:rAngAx val="1"/>
    </c:view3D>
    <c:plotArea>
      <c:layout/>
      <c:bar3DChart>
        <c:barDir val="col"/>
        <c:grouping val="clustered"/>
        <c:ser>
          <c:idx val="0"/>
          <c:order val="0"/>
          <c:tx>
            <c:strRef>
              <c:f>Sheet1!$B$1</c:f>
              <c:strCache>
                <c:ptCount val="1"/>
                <c:pt idx="0">
                  <c:v>税收收入</c:v>
                </c:pt>
              </c:strCache>
            </c:strRef>
          </c:tx>
          <c:dLbls>
            <c:showVal val="1"/>
          </c:dLbls>
          <c:cat>
            <c:strRef>
              <c:f>Sheet1!$A$2:$A$6</c:f>
              <c:strCache>
                <c:ptCount val="5"/>
                <c:pt idx="0">
                  <c:v>2013年</c:v>
                </c:pt>
                <c:pt idx="1">
                  <c:v>2014年</c:v>
                </c:pt>
                <c:pt idx="2">
                  <c:v>2015年</c:v>
                </c:pt>
                <c:pt idx="3">
                  <c:v>2016年</c:v>
                </c:pt>
                <c:pt idx="4">
                  <c:v>2017年</c:v>
                </c:pt>
              </c:strCache>
            </c:strRef>
          </c:cat>
          <c:val>
            <c:numRef>
              <c:f>Sheet1!$B$2:$B$6</c:f>
              <c:numCache>
                <c:formatCode>General</c:formatCode>
                <c:ptCount val="5"/>
                <c:pt idx="0">
                  <c:v>45.1</c:v>
                </c:pt>
                <c:pt idx="1">
                  <c:v>41.7</c:v>
                </c:pt>
                <c:pt idx="2">
                  <c:v>34.1</c:v>
                </c:pt>
                <c:pt idx="3">
                  <c:v>30.9</c:v>
                </c:pt>
                <c:pt idx="4" formatCode="0.0_ ">
                  <c:v>31.9</c:v>
                </c:pt>
              </c:numCache>
            </c:numRef>
          </c:val>
        </c:ser>
        <c:ser>
          <c:idx val="1"/>
          <c:order val="1"/>
          <c:tx>
            <c:strRef>
              <c:f>Sheet1!$C$1</c:f>
              <c:strCache>
                <c:ptCount val="1"/>
                <c:pt idx="0">
                  <c:v>公共财政预算收入</c:v>
                </c:pt>
              </c:strCache>
            </c:strRef>
          </c:tx>
          <c:dLbls>
            <c:dLbl>
              <c:idx val="3"/>
              <c:layout>
                <c:manualLayout>
                  <c:x val="2.1164021164021166E-2"/>
                  <c:y val="-9.0702947845805008E-3"/>
                </c:manualLayout>
              </c:layout>
              <c:spPr/>
              <c:txPr>
                <a:bodyPr/>
                <a:lstStyle/>
                <a:p>
                  <a:pPr>
                    <a:defRPr/>
                  </a:pPr>
                  <a:endParaRPr lang="zh-CN"/>
                </a:p>
              </c:txPr>
              <c:showVal val="1"/>
            </c:dLbl>
            <c:showVal val="1"/>
          </c:dLbls>
          <c:cat>
            <c:strRef>
              <c:f>Sheet1!$A$2:$A$6</c:f>
              <c:strCache>
                <c:ptCount val="5"/>
                <c:pt idx="0">
                  <c:v>2013年</c:v>
                </c:pt>
                <c:pt idx="1">
                  <c:v>2014年</c:v>
                </c:pt>
                <c:pt idx="2">
                  <c:v>2015年</c:v>
                </c:pt>
                <c:pt idx="3">
                  <c:v>2016年</c:v>
                </c:pt>
                <c:pt idx="4">
                  <c:v>2017年</c:v>
                </c:pt>
              </c:strCache>
            </c:strRef>
          </c:cat>
          <c:val>
            <c:numRef>
              <c:f>Sheet1!$C$2:$C$6</c:f>
              <c:numCache>
                <c:formatCode>General</c:formatCode>
                <c:ptCount val="5"/>
                <c:pt idx="0">
                  <c:v>35</c:v>
                </c:pt>
                <c:pt idx="1">
                  <c:v>35.5</c:v>
                </c:pt>
                <c:pt idx="2">
                  <c:v>19.7</c:v>
                </c:pt>
                <c:pt idx="3">
                  <c:v>18.3</c:v>
                </c:pt>
                <c:pt idx="4">
                  <c:v>18.899999999999999</c:v>
                </c:pt>
              </c:numCache>
            </c:numRef>
          </c:val>
        </c:ser>
        <c:ser>
          <c:idx val="2"/>
          <c:order val="2"/>
          <c:tx>
            <c:strRef>
              <c:f>Sheet1!$D$1</c:f>
              <c:strCache>
                <c:ptCount val="1"/>
                <c:pt idx="0">
                  <c:v>公共财政预算支出</c:v>
                </c:pt>
              </c:strCache>
            </c:strRef>
          </c:tx>
          <c:dLbls>
            <c:dLbl>
              <c:idx val="3"/>
              <c:layout>
                <c:manualLayout>
                  <c:x val="1.4109347442680775E-2"/>
                  <c:y val="0"/>
                </c:manualLayout>
              </c:layout>
              <c:spPr/>
              <c:txPr>
                <a:bodyPr/>
                <a:lstStyle/>
                <a:p>
                  <a:pPr>
                    <a:defRPr/>
                  </a:pPr>
                  <a:endParaRPr lang="zh-CN"/>
                </a:p>
              </c:txPr>
              <c:showVal val="1"/>
            </c:dLbl>
            <c:showVal val="1"/>
          </c:dLbls>
          <c:cat>
            <c:strRef>
              <c:f>Sheet1!$A$2:$A$6</c:f>
              <c:strCache>
                <c:ptCount val="5"/>
                <c:pt idx="0">
                  <c:v>2013年</c:v>
                </c:pt>
                <c:pt idx="1">
                  <c:v>2014年</c:v>
                </c:pt>
                <c:pt idx="2">
                  <c:v>2015年</c:v>
                </c:pt>
                <c:pt idx="3">
                  <c:v>2016年</c:v>
                </c:pt>
                <c:pt idx="4">
                  <c:v>2017年</c:v>
                </c:pt>
              </c:strCache>
            </c:strRef>
          </c:cat>
          <c:val>
            <c:numRef>
              <c:f>Sheet1!$D$2:$D$6</c:f>
              <c:numCache>
                <c:formatCode>General</c:formatCode>
                <c:ptCount val="5"/>
                <c:pt idx="0">
                  <c:v>27</c:v>
                </c:pt>
                <c:pt idx="1">
                  <c:v>29.6</c:v>
                </c:pt>
                <c:pt idx="2">
                  <c:v>17.100000000000001</c:v>
                </c:pt>
                <c:pt idx="3">
                  <c:v>15.8</c:v>
                </c:pt>
                <c:pt idx="4">
                  <c:v>22.5</c:v>
                </c:pt>
              </c:numCache>
            </c:numRef>
          </c:val>
        </c:ser>
        <c:shape val="box"/>
        <c:axId val="124811136"/>
        <c:axId val="124812672"/>
        <c:axId val="0"/>
      </c:bar3DChart>
      <c:catAx>
        <c:axId val="124811136"/>
        <c:scaling>
          <c:orientation val="minMax"/>
        </c:scaling>
        <c:axPos val="b"/>
        <c:numFmt formatCode="General" sourceLinked="1"/>
        <c:tickLblPos val="nextTo"/>
        <c:crossAx val="124812672"/>
        <c:crosses val="autoZero"/>
        <c:auto val="1"/>
        <c:lblAlgn val="ctr"/>
        <c:lblOffset val="100"/>
      </c:catAx>
      <c:valAx>
        <c:axId val="124812672"/>
        <c:scaling>
          <c:orientation val="minMax"/>
        </c:scaling>
        <c:axPos val="l"/>
        <c:majorGridlines/>
        <c:numFmt formatCode="General" sourceLinked="1"/>
        <c:tickLblPos val="nextTo"/>
        <c:crossAx val="124811136"/>
        <c:crosses val="autoZero"/>
        <c:crossBetween val="between"/>
      </c:valAx>
      <c:spPr>
        <a:noFill/>
        <a:ln w="25444">
          <a:noFill/>
        </a:ln>
      </c:spPr>
    </c:plotArea>
    <c:legend>
      <c:legendPos val="b"/>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0.03259</cdr:x>
      <cdr:y>0.04663</cdr:y>
    </cdr:from>
    <cdr:to>
      <cdr:x>0.15531</cdr:x>
      <cdr:y>0.10698</cdr:y>
    </cdr:to>
    <cdr:sp macro="" textlink="">
      <cdr:nvSpPr>
        <cdr:cNvPr id="2" name="矩形 1"/>
        <cdr:cNvSpPr/>
      </cdr:nvSpPr>
      <cdr:spPr>
        <a:xfrm xmlns:a="http://schemas.openxmlformats.org/drawingml/2006/main">
          <a:off x="171890" y="190985"/>
          <a:ext cx="647260" cy="247165"/>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zh-CN" altLang="en-US" sz="1000" b="1">
              <a:solidFill>
                <a:sysClr val="windowText" lastClr="000000"/>
              </a:solidFill>
            </a:rPr>
            <a:t>亿元</a:t>
          </a:r>
          <a:endParaRPr lang="zh-CN" sz="1000" b="1">
            <a:solidFill>
              <a:sysClr val="windowText" lastClr="000000"/>
            </a:solidFill>
          </a:endParaRPr>
        </a:p>
      </cdr:txBody>
    </cdr:sp>
  </cdr:relSizeAnchor>
  <cdr:relSizeAnchor xmlns:cdr="http://schemas.openxmlformats.org/drawingml/2006/chartDrawing">
    <cdr:from>
      <cdr:x>0.85613</cdr:x>
      <cdr:y>0.01013</cdr:y>
    </cdr:from>
    <cdr:to>
      <cdr:x>0.97691</cdr:x>
      <cdr:y>0.05063</cdr:y>
    </cdr:to>
    <cdr:sp macro="" textlink="">
      <cdr:nvSpPr>
        <cdr:cNvPr id="3" name="矩形 2"/>
        <cdr:cNvSpPr/>
      </cdr:nvSpPr>
      <cdr:spPr>
        <a:xfrm xmlns:a="http://schemas.openxmlformats.org/drawingml/2006/main" rot="10800000" flipV="1">
          <a:off x="4723209" y="37723"/>
          <a:ext cx="666347" cy="150892"/>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zh-CN" altLang="en-US" sz="1000" b="1">
              <a:solidFill>
                <a:sysClr val="windowText" lastClr="000000"/>
              </a:solidFill>
            </a:rPr>
            <a:t>              增速</a:t>
          </a:r>
          <a:r>
            <a:rPr lang="en-US" altLang="zh-CN" sz="1000" b="1">
              <a:solidFill>
                <a:sysClr val="windowText" lastClr="000000"/>
              </a:solidFill>
            </a:rPr>
            <a:t>%</a:t>
          </a:r>
          <a:endParaRPr lang="zh-CN" sz="10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0.03259</cdr:x>
      <cdr:y>0.04663</cdr:y>
    </cdr:from>
    <cdr:to>
      <cdr:x>0.15531</cdr:x>
      <cdr:y>0.10698</cdr:y>
    </cdr:to>
    <cdr:sp macro="" textlink="">
      <cdr:nvSpPr>
        <cdr:cNvPr id="2" name="矩形 1"/>
        <cdr:cNvSpPr/>
      </cdr:nvSpPr>
      <cdr:spPr>
        <a:xfrm xmlns:a="http://schemas.openxmlformats.org/drawingml/2006/main">
          <a:off x="171890" y="190985"/>
          <a:ext cx="647260" cy="247165"/>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zh-CN" altLang="en-US" sz="1000" b="1">
              <a:solidFill>
                <a:sysClr val="windowText" lastClr="000000"/>
              </a:solidFill>
            </a:rPr>
            <a:t>亿元</a:t>
          </a:r>
          <a:endParaRPr lang="zh-CN" sz="1000" b="1">
            <a:solidFill>
              <a:sysClr val="windowText" lastClr="000000"/>
            </a:solidFill>
          </a:endParaRPr>
        </a:p>
      </cdr:txBody>
    </cdr:sp>
  </cdr:relSizeAnchor>
  <cdr:relSizeAnchor xmlns:cdr="http://schemas.openxmlformats.org/drawingml/2006/chartDrawing">
    <cdr:from>
      <cdr:x>0.79641</cdr:x>
      <cdr:y>0.05529</cdr:y>
    </cdr:from>
    <cdr:to>
      <cdr:x>0.977</cdr:x>
      <cdr:y>0.11194</cdr:y>
    </cdr:to>
    <cdr:sp macro="" textlink="">
      <cdr:nvSpPr>
        <cdr:cNvPr id="3" name="矩形 2"/>
        <cdr:cNvSpPr/>
      </cdr:nvSpPr>
      <cdr:spPr>
        <a:xfrm xmlns:a="http://schemas.openxmlformats.org/drawingml/2006/main">
          <a:off x="4200526" y="211720"/>
          <a:ext cx="952500" cy="216905"/>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zh-CN" altLang="en-US" sz="1000" b="1">
              <a:solidFill>
                <a:sysClr val="windowText" lastClr="000000"/>
              </a:solidFill>
            </a:rPr>
            <a:t>              增速</a:t>
          </a:r>
          <a:r>
            <a:rPr lang="en-US" altLang="zh-CN" sz="1000" b="1">
              <a:solidFill>
                <a:sysClr val="windowText" lastClr="000000"/>
              </a:solidFill>
            </a:rPr>
            <a:t>%</a:t>
          </a:r>
          <a:endParaRPr lang="zh-CN" sz="1000" b="1">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0.01184</cdr:x>
      <cdr:y>0.06382</cdr:y>
    </cdr:from>
    <cdr:to>
      <cdr:x>0.11024</cdr:x>
      <cdr:y>0.08229</cdr:y>
    </cdr:to>
    <cdr:sp macro="" textlink="">
      <cdr:nvSpPr>
        <cdr:cNvPr id="2" name="矩形 1"/>
        <cdr:cNvSpPr/>
      </cdr:nvSpPr>
      <cdr:spPr>
        <a:xfrm xmlns:a="http://schemas.openxmlformats.org/drawingml/2006/main">
          <a:off x="57150" y="180975"/>
          <a:ext cx="495300" cy="51441"/>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zh-CN" altLang="en-US" sz="1000" b="1">
              <a:solidFill>
                <a:sysClr val="windowText" lastClr="000000"/>
              </a:solidFill>
            </a:rPr>
            <a:t>亿元</a:t>
          </a:r>
          <a:endParaRPr lang="zh-CN" sz="1000" b="1">
            <a:solidFill>
              <a:sysClr val="windowText" lastClr="000000"/>
            </a:solidFill>
          </a:endParaRPr>
        </a:p>
      </cdr:txBody>
    </cdr:sp>
  </cdr:relSizeAnchor>
  <cdr:relSizeAnchor xmlns:cdr="http://schemas.openxmlformats.org/drawingml/2006/chartDrawing">
    <cdr:from>
      <cdr:x>0.85867</cdr:x>
      <cdr:y>0.05044</cdr:y>
    </cdr:from>
    <cdr:to>
      <cdr:x>0.98972</cdr:x>
      <cdr:y>0.09034</cdr:y>
    </cdr:to>
    <cdr:sp macro="" textlink="">
      <cdr:nvSpPr>
        <cdr:cNvPr id="3" name="矩形 2"/>
        <cdr:cNvSpPr/>
      </cdr:nvSpPr>
      <cdr:spPr>
        <a:xfrm xmlns:a="http://schemas.openxmlformats.org/drawingml/2006/main">
          <a:off x="4578984" y="142875"/>
          <a:ext cx="647701" cy="114300"/>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zh-CN" altLang="en-US" sz="1000" b="1">
              <a:solidFill>
                <a:sysClr val="windowText" lastClr="000000"/>
              </a:solidFill>
            </a:rPr>
            <a:t>增速</a:t>
          </a:r>
          <a:r>
            <a:rPr lang="en-US" altLang="zh-CN" sz="1000" b="1">
              <a:solidFill>
                <a:sysClr val="windowText" lastClr="000000"/>
              </a:solidFill>
            </a:rPr>
            <a:t>%</a:t>
          </a:r>
          <a:endParaRPr lang="zh-CN" sz="1000" b="1">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0.15514</cdr:x>
      <cdr:y>0.06516</cdr:y>
    </cdr:to>
    <cdr:sp macro="" textlink="">
      <cdr:nvSpPr>
        <cdr:cNvPr id="2" name="TextBox 1"/>
        <cdr:cNvSpPr txBox="1"/>
      </cdr:nvSpPr>
      <cdr:spPr>
        <a:xfrm xmlns:a="http://schemas.openxmlformats.org/drawingml/2006/main">
          <a:off x="0" y="0"/>
          <a:ext cx="8763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亿元</a:t>
          </a:r>
        </a:p>
      </cdr:txBody>
    </cdr:sp>
  </cdr:relSizeAnchor>
  <cdr:relSizeAnchor xmlns:cdr="http://schemas.openxmlformats.org/drawingml/2006/chartDrawing">
    <cdr:from>
      <cdr:x>0.00843</cdr:x>
      <cdr:y>0</cdr:y>
    </cdr:from>
    <cdr:to>
      <cdr:x>0.17032</cdr:x>
      <cdr:y>0.13784</cdr:y>
    </cdr:to>
    <cdr:sp macro="" textlink="">
      <cdr:nvSpPr>
        <cdr:cNvPr id="3" name="TextBox 2"/>
        <cdr:cNvSpPr txBox="1"/>
      </cdr:nvSpPr>
      <cdr:spPr>
        <a:xfrm xmlns:a="http://schemas.openxmlformats.org/drawingml/2006/main">
          <a:off x="47625" y="0"/>
          <a:ext cx="914400" cy="523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a:p>
      </cdr:txBody>
    </cdr:sp>
  </cdr:relSizeAnchor>
  <cdr:relSizeAnchor xmlns:cdr="http://schemas.openxmlformats.org/drawingml/2006/chartDrawing">
    <cdr:from>
      <cdr:x>0.10287</cdr:x>
      <cdr:y>0.13283</cdr:y>
    </cdr:from>
    <cdr:to>
      <cdr:x>0.26476</cdr:x>
      <cdr:y>0.37343</cdr:y>
    </cdr:to>
    <cdr:sp macro="" textlink="">
      <cdr:nvSpPr>
        <cdr:cNvPr id="4" name="TextBox 3"/>
        <cdr:cNvSpPr txBox="1"/>
      </cdr:nvSpPr>
      <cdr:spPr>
        <a:xfrm xmlns:a="http://schemas.openxmlformats.org/drawingml/2006/main">
          <a:off x="581025" y="504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a:p>
      </cdr:txBody>
    </cdr:sp>
  </cdr:relSizeAnchor>
  <cdr:relSizeAnchor xmlns:cdr="http://schemas.openxmlformats.org/drawingml/2006/chartDrawing">
    <cdr:from>
      <cdr:x>0.83811</cdr:x>
      <cdr:y>0.01754</cdr:y>
    </cdr:from>
    <cdr:to>
      <cdr:x>1</cdr:x>
      <cdr:y>0.25815</cdr:y>
    </cdr:to>
    <cdr:sp macro="" textlink="">
      <cdr:nvSpPr>
        <cdr:cNvPr id="5" name="TextBox 4"/>
        <cdr:cNvSpPr txBox="1"/>
      </cdr:nvSpPr>
      <cdr:spPr>
        <a:xfrm xmlns:a="http://schemas.openxmlformats.org/drawingml/2006/main">
          <a:off x="5181600" y="666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2570C-3444-4ECB-9BA0-F45A6C82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12</Pages>
  <Words>725</Words>
  <Characters>4133</Characters>
  <Application>Microsoft Office Word</Application>
  <DocSecurity>0</DocSecurity>
  <Lines>34</Lines>
  <Paragraphs>9</Paragraphs>
  <ScaleCrop>false</ScaleCrop>
  <Company>China</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根据年快报初步统计，现将2011年全区国民经济和社会发展情况公报如下：</dc:title>
  <dc:creator>john</dc:creator>
  <cp:lastModifiedBy>微软中国</cp:lastModifiedBy>
  <cp:revision>117</cp:revision>
  <cp:lastPrinted>2013-04-11T01:28:00Z</cp:lastPrinted>
  <dcterms:created xsi:type="dcterms:W3CDTF">2018-03-19T06:51:00Z</dcterms:created>
  <dcterms:modified xsi:type="dcterms:W3CDTF">2018-06-21T00:32:00Z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