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619" w:leftChars="-295" w:right="-569" w:rightChars="-271"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b/>
          <w:sz w:val="36"/>
          <w:szCs w:val="36"/>
        </w:rPr>
      </w:pPr>
      <w:r>
        <w:rPr>
          <w:rFonts w:hint="eastAsia" w:cs="Times New Roman" w:eastAsiaTheme="minorEastAsia"/>
          <w:b/>
          <w:sz w:val="40"/>
          <w:szCs w:val="40"/>
          <w:lang w:val="en-US" w:eastAsia="zh-CN"/>
        </w:rPr>
        <w:t>市一完中西侧旧城区改建项目</w:t>
      </w:r>
      <w:r>
        <w:rPr>
          <w:rFonts w:hint="default" w:ascii="Times New Roman" w:hAnsi="Times New Roman" w:cs="Times New Roman" w:eastAsiaTheme="minorEastAsia"/>
          <w:b/>
          <w:sz w:val="40"/>
          <w:szCs w:val="40"/>
        </w:rPr>
        <w:t>社会稳定风险评估公示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-619" w:leftChars="-295" w:right="-569" w:rightChars="-271" w:firstLine="0" w:firstLineChars="0"/>
        <w:textAlignment w:val="auto"/>
        <w:outlineLvl w:val="9"/>
        <w:rPr>
          <w:rFonts w:hint="default" w:ascii="Times New Roman" w:hAnsi="Times New Roman" w:cs="Times New Roman" w:eastAsiaTheme="minorEastAsia"/>
          <w:b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4" w:lineRule="auto"/>
        <w:ind w:left="-619" w:leftChars="-295" w:right="-569" w:rightChars="-271" w:firstLine="482" w:firstLineChars="200"/>
        <w:textAlignment w:val="auto"/>
        <w:outlineLvl w:val="9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项目名称：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  <w:t>市一完中西侧旧城区改建项目</w:t>
      </w:r>
    </w:p>
    <w:p>
      <w:pPr>
        <w:ind w:left="-619" w:leftChars="-295" w:right="-569" w:rightChars="-271" w:firstLine="482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评估单位：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辽宁正浩社会风险评估有限公司</w:t>
      </w:r>
    </w:p>
    <w:p>
      <w:pPr>
        <w:numPr>
          <w:ilvl w:val="0"/>
          <w:numId w:val="0"/>
        </w:numPr>
        <w:ind w:leftChars="-295" w:right="-569" w:rightChars="-271" w:firstLine="482" w:firstLineChars="200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cs="Times New Roman" w:eastAsiaTheme="minorEastAsia"/>
          <w:b/>
          <w:sz w:val="24"/>
          <w:szCs w:val="24"/>
          <w:lang w:val="en-US" w:eastAsia="zh-CN"/>
        </w:rPr>
        <w:t>一、  项目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概况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 </w:t>
      </w:r>
    </w:p>
    <w:p>
      <w:pPr>
        <w:tabs>
          <w:tab w:val="left" w:pos="8796"/>
        </w:tabs>
        <w:ind w:left="-619" w:leftChars="-295" w:right="-569" w:rightChars="-271" w:firstLine="960" w:firstLineChars="400"/>
        <w:rPr>
          <w:rFonts w:hint="default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因兴隆台区旧城区改建的需要，按照盘锦市城市总体规划要求，兴隆台区政府拟对泰山北路以东、市一完中以西、文汇北街以南、盘宇街以北区域的财贸中专1栋家属楼房屋及其附属物实施征收，共涉及54户居民，建筑面积约4600平方米。</w:t>
      </w:r>
    </w:p>
    <w:p>
      <w:pPr>
        <w:numPr>
          <w:ilvl w:val="0"/>
          <w:numId w:val="0"/>
        </w:numPr>
        <w:tabs>
          <w:tab w:val="left" w:pos="8796"/>
        </w:tabs>
        <w:ind w:leftChars="105" w:right="-569" w:rightChars="-271"/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/>
          <w:bCs w:val="0"/>
          <w:sz w:val="24"/>
          <w:szCs w:val="24"/>
          <w:lang w:val="en-US" w:eastAsia="zh-CN"/>
        </w:rPr>
        <w:t>征收范围：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泰山北路以东、市一完中以西、文汇北街以南、盘宇街以北区域。</w:t>
      </w:r>
    </w:p>
    <w:p>
      <w:pPr>
        <w:numPr>
          <w:ilvl w:val="0"/>
          <w:numId w:val="0"/>
        </w:numPr>
        <w:tabs>
          <w:tab w:val="left" w:pos="8796"/>
        </w:tabs>
        <w:ind w:leftChars="105" w:right="-569" w:rightChars="-271"/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/>
          <w:bCs w:val="0"/>
          <w:sz w:val="24"/>
          <w:szCs w:val="24"/>
          <w:lang w:val="en-US" w:eastAsia="zh-CN"/>
        </w:rPr>
        <w:t>有照住宅房屋征收补偿安置办法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：采取货币补偿和产权调换两种方式。</w:t>
      </w:r>
    </w:p>
    <w:p>
      <w:pPr>
        <w:pStyle w:val="2"/>
        <w:numPr>
          <w:ilvl w:val="0"/>
          <w:numId w:val="0"/>
        </w:numPr>
        <w:ind w:leftChars="105"/>
        <w:rPr>
          <w:rFonts w:hint="default"/>
          <w:sz w:val="24"/>
          <w:szCs w:val="24"/>
          <w:lang w:val="en-US" w:eastAsia="zh-CN"/>
        </w:rPr>
      </w:pPr>
      <w:r>
        <w:rPr>
          <w:rFonts w:hint="eastAsia" w:cs="Times New Roman" w:eastAsiaTheme="minorEastAsia"/>
          <w:b/>
          <w:bCs w:val="0"/>
          <w:kern w:val="2"/>
          <w:sz w:val="24"/>
          <w:szCs w:val="24"/>
          <w:lang w:val="en-US" w:eastAsia="zh-CN" w:bidi="ar-SA"/>
        </w:rPr>
        <w:t>无照房屋征收补偿安置办法：</w:t>
      </w:r>
      <w:r>
        <w:rPr>
          <w:rFonts w:hint="eastAsia" w:cs="Times New Roman" w:eastAsiaTheme="minorEastAsia"/>
          <w:b w:val="0"/>
          <w:bCs/>
          <w:kern w:val="2"/>
          <w:sz w:val="24"/>
          <w:szCs w:val="24"/>
          <w:lang w:val="en-US" w:eastAsia="zh-CN" w:bidi="ar-SA"/>
        </w:rPr>
        <w:t>按照房地产价格评估机构的评估结果给予一次性的货币补偿。</w:t>
      </w:r>
    </w:p>
    <w:p>
      <w:pPr>
        <w:tabs>
          <w:tab w:val="left" w:pos="8796"/>
        </w:tabs>
        <w:ind w:left="-619" w:leftChars="-295" w:right="-569" w:rightChars="-271" w:firstLine="0" w:firstLineChars="0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二、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社会稳定风险分析的工作程序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ab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619" w:leftChars="-295" w:right="-569" w:rightChars="-271" w:firstLine="480" w:firstLineChars="20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  <w:t>（一）收集工程相关资料，现场勘查，调查该工程所在地区的社会环境和自然环境情况；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619" w:leftChars="-295" w:right="-569" w:rightChars="-271" w:firstLine="480" w:firstLineChars="20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  <w:t>（二）依据相关法律、法规，标准、规范，发展规划及产业政策，对工程建设的合理性、合法性、可行性、可控性进行分析判断；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619" w:leftChars="-295" w:right="-569" w:rightChars="-271" w:firstLine="480" w:firstLineChars="20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  <w:t>（三）通过公众参与、专家论证等方式识别该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lang w:val="en-US" w:eastAsia="zh-CN"/>
        </w:rPr>
        <w:t>项目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  <w:t>存在的社会风险因素；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-619" w:leftChars="-295" w:right="-569" w:rightChars="-271" w:firstLine="480" w:firstLineChars="20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  <w:t>（四）编制分析报告内容，判定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lang w:val="en-US" w:eastAsia="zh-CN"/>
        </w:rPr>
        <w:t>该项目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</w:rPr>
        <w:t>的社会稳定风险等级，提出风险防范和化解措施。</w:t>
      </w:r>
    </w:p>
    <w:p>
      <w:pPr>
        <w:ind w:left="-619" w:leftChars="-295" w:right="-569" w:rightChars="-271" w:firstLine="0" w:firstLineChars="0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三、公示说明</w:t>
      </w:r>
    </w:p>
    <w:p>
      <w:pPr>
        <w:pStyle w:val="13"/>
        <w:adjustRightInd w:val="0"/>
        <w:ind w:left="-619" w:leftChars="-295" w:right="-569" w:rightChars="-271"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根据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国务院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《重大行政决策程序暂行条例》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国务院[2019]713号令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）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sz w:val="24"/>
          <w:szCs w:val="24"/>
        </w:rPr>
        <w:t>和</w:t>
      </w:r>
      <w:r>
        <w:rPr>
          <w:rFonts w:hint="eastAsia" w:ascii="Times New Roman" w:cs="Times New Roman" w:eastAsiaTheme="minorEastAsia"/>
          <w:sz w:val="24"/>
          <w:szCs w:val="24"/>
          <w:lang w:eastAsia="zh-CN"/>
        </w:rPr>
        <w:t>《</w:t>
      </w:r>
      <w:r>
        <w:rPr>
          <w:rFonts w:hint="eastAsia" w:ascii="Times New Roman" w:cs="Times New Roman" w:eastAsiaTheme="minorEastAsia"/>
          <w:sz w:val="24"/>
          <w:szCs w:val="24"/>
          <w:lang w:val="en-US" w:eastAsia="zh-CN"/>
        </w:rPr>
        <w:t>中华人民共和国土地管理法</w:t>
      </w:r>
      <w:r>
        <w:rPr>
          <w:rFonts w:hint="eastAsia" w:ascii="Times New Roman" w:cs="Times New Roman" w:eastAsiaTheme="minorEastAsia"/>
          <w:sz w:val="24"/>
          <w:szCs w:val="24"/>
          <w:lang w:eastAsia="zh-CN"/>
        </w:rPr>
        <w:t>》</w:t>
      </w:r>
      <w:r>
        <w:rPr>
          <w:rFonts w:hint="eastAsia" w:ascii="Times New Roman" w:cs="Times New Roman" w:eastAsiaTheme="minorEastAsia"/>
          <w:sz w:val="24"/>
          <w:szCs w:val="24"/>
          <w:lang w:val="en-US" w:eastAsia="zh-CN"/>
        </w:rPr>
        <w:t>第47条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的要求</w:t>
      </w:r>
      <w:r>
        <w:rPr>
          <w:rFonts w:hint="eastAsia" w:ascii="Times New Roman" w:hAnsi="Times New Roman" w:cs="Times New Roman" w:eastAsiaTheme="minorEastAsia"/>
          <w:sz w:val="24"/>
          <w:szCs w:val="24"/>
          <w:highlight w:val="none"/>
          <w:lang w:eastAsia="zh-CN"/>
        </w:rPr>
        <w:t>，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兴隆台区土地整理中心</w:t>
      </w:r>
      <w:r>
        <w:rPr>
          <w:rFonts w:hint="eastAsia" w:ascii="Times New Roman" w:cs="Times New Roman" w:eastAsiaTheme="minorEastAsia"/>
          <w:sz w:val="24"/>
          <w:szCs w:val="24"/>
          <w:highlight w:val="none"/>
          <w:lang w:val="en-US" w:eastAsia="zh-CN"/>
        </w:rPr>
        <w:t>对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《</w:t>
      </w:r>
      <w:r>
        <w:rPr>
          <w:rFonts w:hint="default" w:ascii="Times New Roman" w:hAnsi="Times New Roman" w:cs="Times New Roman" w:eastAsiaTheme="minorEastAsia"/>
          <w:b w:val="0"/>
          <w:bCs/>
          <w:sz w:val="24"/>
          <w:szCs w:val="24"/>
          <w:lang w:val="en-US" w:eastAsia="zh-CN"/>
        </w:rPr>
        <w:t>市一完中西侧旧城区改建项目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》</w:t>
      </w:r>
      <w:r>
        <w:rPr>
          <w:rFonts w:hint="eastAsia" w:ascii="Times New Roman" w:cs="Times New Roman" w:eastAsiaTheme="minorEastAsia"/>
          <w:sz w:val="24"/>
          <w:szCs w:val="24"/>
          <w:lang w:val="en-US" w:eastAsia="zh-CN"/>
        </w:rPr>
        <w:t>进行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社会稳定风险评估工作。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-619" w:leftChars="-295" w:right="-569" w:rightChars="-271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cs="Times New Roman" w:eastAsiaTheme="minorEastAsia"/>
          <w:sz w:val="24"/>
          <w:szCs w:val="24"/>
          <w:lang w:eastAsia="zh-CN"/>
        </w:rPr>
        <w:t>（一）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财贸中专家属楼居民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对本项目社会稳定风险方面的建议或意见，可向</w:t>
      </w:r>
      <w:r>
        <w:rPr>
          <w:rFonts w:hint="eastAsia" w:ascii="Times New Roman" w:cs="Times New Roman" w:eastAsiaTheme="minorEastAsia"/>
          <w:sz w:val="24"/>
          <w:szCs w:val="24"/>
          <w:lang w:val="en-US" w:eastAsia="zh-CN"/>
        </w:rPr>
        <w:t>房屋征收实施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单位和评估单位提出。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-619" w:leftChars="-295" w:right="-569" w:rightChars="-271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cs="Times New Roman" w:eastAsiaTheme="minorEastAsia"/>
          <w:sz w:val="24"/>
          <w:szCs w:val="24"/>
          <w:lang w:eastAsia="zh-CN"/>
        </w:rPr>
        <w:t>（二）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公示期间，评估单位将为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财贸中专家属楼居民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提供相关材料查询和咨询服务。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88" w:lineRule="auto"/>
        <w:ind w:left="-619" w:leftChars="-295" w:right="-569" w:rightChars="-271" w:firstLine="480" w:firstLineChars="200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cs="Times New Roman" w:eastAsiaTheme="minorEastAsia"/>
          <w:sz w:val="24"/>
          <w:szCs w:val="24"/>
          <w:lang w:eastAsia="zh-CN"/>
        </w:rPr>
        <w:t>（三）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自公示之日起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1</w:t>
      </w:r>
      <w:r>
        <w:rPr>
          <w:rFonts w:hint="eastAsia" w:ascii="Times New Roman" w:cs="Times New Roman" w:eastAsiaTheme="minorEastAsia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日内，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财贸中专家属楼居民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可通过信函/电话/电子邮件等形式与</w:t>
      </w:r>
      <w:r>
        <w:rPr>
          <w:rFonts w:hint="eastAsia" w:ascii="Times New Roman" w:cs="Times New Roman" w:eastAsiaTheme="minorEastAsia"/>
          <w:sz w:val="24"/>
          <w:szCs w:val="24"/>
          <w:lang w:val="en-US" w:eastAsia="zh-CN"/>
        </w:rPr>
        <w:t>房屋征收实施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单位</w:t>
      </w:r>
      <w:r>
        <w:rPr>
          <w:rFonts w:hint="eastAsia" w:ascii="Times New Roman" w:cs="Times New Roman" w:eastAsiaTheme="minorEastAsia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评估单位联系。</w:t>
      </w:r>
    </w:p>
    <w:p>
      <w:pPr>
        <w:ind w:left="-619" w:leftChars="-295" w:right="-569" w:rightChars="-271" w:firstLine="0" w:firstLineChars="0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四、联系方式</w:t>
      </w:r>
    </w:p>
    <w:p>
      <w:pPr>
        <w:pStyle w:val="13"/>
        <w:adjustRightInd w:val="0"/>
        <w:ind w:left="-619" w:leftChars="-295" w:right="-569" w:rightChars="-271"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yellow"/>
          <w:lang w:val="en-US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（一）</w:t>
      </w:r>
      <w:r>
        <w:rPr>
          <w:rFonts w:hint="eastAsia" w:ascii="Times New Roman" w:hAnsi="Times New Roman" w:cs="Times New Roman" w:eastAsiaTheme="minorEastAsia"/>
          <w:color w:val="auto"/>
          <w:sz w:val="24"/>
          <w:szCs w:val="24"/>
          <w:lang w:val="en-US" w:eastAsia="zh-CN"/>
        </w:rPr>
        <w:t>征收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单位：</w:t>
      </w: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兴隆台区人民政府     房屋征收实施单位：兴隆台区土地整理中心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-619" w:leftChars="-295" w:right="-569" w:rightChars="-271" w:firstLine="1200" w:firstLineChars="5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ascii="宋体" w:hAnsi="宋体"/>
          <w:sz w:val="24"/>
          <w:szCs w:val="24"/>
          <w:lang w:val="en-US" w:eastAsia="zh-CN"/>
        </w:rPr>
        <w:t>兴隆台区惠宾大街107号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-619" w:leftChars="-295" w:right="-569" w:rightChars="-271" w:firstLine="1200" w:firstLineChars="500"/>
        <w:jc w:val="left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联 系 人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郑伟</w:t>
      </w:r>
      <w:r>
        <w:rPr>
          <w:rFonts w:hint="eastAsia" w:ascii="宋体" w:hAnsi="宋体"/>
          <w:sz w:val="24"/>
          <w:szCs w:val="24"/>
        </w:rPr>
        <w:t> 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   电  话：</w:t>
      </w:r>
      <w:r>
        <w:rPr>
          <w:rFonts w:hint="eastAsia" w:ascii="宋体" w:hAnsi="宋体"/>
          <w:sz w:val="24"/>
          <w:szCs w:val="24"/>
          <w:lang w:val="en-US" w:eastAsia="zh-CN"/>
        </w:rPr>
        <w:t>0427-2229966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-619" w:leftChars="-295" w:right="-569" w:rightChars="-271" w:firstLine="1200" w:firstLineChars="500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邮    箱：tdzlzx2019@163.com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 xml:space="preserve">          </w:t>
      </w:r>
    </w:p>
    <w:p>
      <w:pPr>
        <w:ind w:left="-619" w:leftChars="-295" w:right="-569" w:rightChars="-271"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</w:p>
    <w:p>
      <w:pPr>
        <w:ind w:left="-619" w:leftChars="-295" w:right="-569" w:rightChars="-271" w:firstLine="480" w:firstLineChars="200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（二）评估单位：辽宁正浩社会风险评估有限公司</w:t>
      </w:r>
    </w:p>
    <w:p>
      <w:pPr>
        <w:ind w:left="-619" w:leftChars="-295" w:right="-569" w:rightChars="-271" w:firstLine="1200" w:firstLineChars="500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地    址：阜新市太平区东光路18-4门</w:t>
      </w:r>
    </w:p>
    <w:p>
      <w:pPr>
        <w:ind w:left="-619" w:leftChars="-295" w:right="-569" w:rightChars="-271" w:firstLine="1200" w:firstLineChars="500"/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联 系 人：高</w:t>
      </w:r>
      <w:r>
        <w:rPr>
          <w:rFonts w:hint="eastAsia" w:cs="Times New Roman" w:eastAsia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芯           电  话：0418-2678881</w:t>
      </w:r>
    </w:p>
    <w:p>
      <w:pPr>
        <w:ind w:left="-619" w:leftChars="-295" w:right="-569" w:rightChars="-271" w:firstLine="1200" w:firstLineChars="500"/>
        <w:rPr>
          <w:rStyle w:val="11"/>
          <w:rFonts w:hint="default" w:ascii="Times New Roman" w:hAnsi="Times New Roman" w:cs="Times New Roman" w:eastAsiaTheme="minorEastAsia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邮    箱：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instrText xml:space="preserve"> HYPERLINK "mailto:15041803363@163.com" </w:instrTex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fldChar w:fldCharType="separate"/>
      </w:r>
      <w:r>
        <w:rPr>
          <w:rStyle w:val="11"/>
          <w:rFonts w:hint="default" w:ascii="Times New Roman" w:hAnsi="Times New Roman" w:cs="Times New Roman" w:eastAsiaTheme="minorEastAsia"/>
          <w:color w:val="auto"/>
          <w:sz w:val="24"/>
          <w:szCs w:val="24"/>
          <w:u w:val="none"/>
        </w:rPr>
        <w:t>15041803363@163.com</w:t>
      </w:r>
      <w:r>
        <w:rPr>
          <w:rStyle w:val="11"/>
          <w:rFonts w:hint="default" w:ascii="Times New Roman" w:hAnsi="Times New Roman" w:cs="Times New Roman" w:eastAsiaTheme="minorEastAsia"/>
          <w:color w:val="auto"/>
          <w:sz w:val="24"/>
          <w:szCs w:val="24"/>
          <w:u w:val="none"/>
        </w:rPr>
        <w:fldChar w:fldCharType="end"/>
      </w:r>
    </w:p>
    <w:p>
      <w:pPr>
        <w:pStyle w:val="13"/>
        <w:adjustRightInd w:val="0"/>
        <w:ind w:left="-619" w:leftChars="-295" w:right="-569" w:rightChars="-271" w:firstLine="480" w:firstLineChars="200"/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</w:pPr>
    </w:p>
    <w:p>
      <w:pPr>
        <w:pStyle w:val="13"/>
        <w:adjustRightInd w:val="0"/>
        <w:ind w:left="-619" w:leftChars="-295" w:right="-569" w:rightChars="-271" w:firstLine="480" w:firstLineChars="200"/>
        <w:jc w:val="right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yellow"/>
          <w:lang w:val="en-US"/>
        </w:rPr>
      </w:pPr>
      <w:r>
        <w:rPr>
          <w:rFonts w:hint="eastAsia" w:cs="Times New Roman" w:eastAsiaTheme="minorEastAsia"/>
          <w:b w:val="0"/>
          <w:bCs/>
          <w:sz w:val="24"/>
          <w:szCs w:val="24"/>
          <w:lang w:val="en-US" w:eastAsia="zh-CN"/>
        </w:rPr>
        <w:t>兴隆台区土地整理中心</w:t>
      </w:r>
    </w:p>
    <w:p>
      <w:pPr>
        <w:adjustRightInd w:val="0"/>
        <w:snapToGrid w:val="0"/>
        <w:ind w:left="-619" w:leftChars="-295" w:right="-569" w:rightChars="-271" w:firstLine="0" w:firstLineChars="0"/>
        <w:jc w:val="right"/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adjustRightInd w:val="0"/>
        <w:snapToGrid w:val="0"/>
        <w:ind w:left="-619" w:leftChars="-295" w:right="-569" w:rightChars="-271" w:firstLine="0" w:firstLineChars="0"/>
        <w:jc w:val="right"/>
        <w:rPr>
          <w:rFonts w:hint="eastAsia" w:ascii="Times New Roman" w:hAnsi="Times New Roman" w:cs="Times New Roman" w:eastAsiaTheme="minorEastAsia"/>
          <w:b/>
          <w:bCs/>
          <w:sz w:val="28"/>
          <w:szCs w:val="28"/>
          <w:lang w:eastAsia="zh-CN"/>
        </w:rPr>
      </w:pPr>
      <w:r>
        <w:rPr>
          <w:rFonts w:hint="eastAsia" w:cs="Times New Roman" w:eastAsiaTheme="minorEastAsia"/>
          <w:color w:val="000000"/>
          <w:sz w:val="21"/>
          <w:szCs w:val="21"/>
          <w:lang w:val="en-US" w:eastAsia="zh-CN"/>
        </w:rPr>
        <w:t>2022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年</w:t>
      </w:r>
      <w:r>
        <w:rPr>
          <w:rFonts w:hint="eastAsia" w:cs="Times New Roman" w:eastAsiaTheme="minorEastAsia"/>
          <w:color w:val="000000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  <w:t>月</w:t>
      </w:r>
      <w:r>
        <w:rPr>
          <w:rFonts w:hint="eastAsia" w:cs="Times New Roman" w:eastAsiaTheme="minorEastAsia"/>
          <w:color w:val="000000"/>
          <w:sz w:val="21"/>
          <w:szCs w:val="21"/>
          <w:lang w:val="en-US" w:eastAsia="zh-CN"/>
        </w:rPr>
        <w:t>6</w:t>
      </w:r>
      <w:r>
        <w:rPr>
          <w:rFonts w:hint="eastAsia" w:cs="Times New Roman" w:eastAsiaTheme="minorEastAsia"/>
          <w:color w:val="000000"/>
          <w:sz w:val="21"/>
          <w:szCs w:val="21"/>
          <w:lang w:eastAsia="zh-CN"/>
        </w:rPr>
        <w:t>日</w:t>
      </w:r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26945"/>
    <w:rsid w:val="00BD098A"/>
    <w:rsid w:val="01E02B0A"/>
    <w:rsid w:val="02852E65"/>
    <w:rsid w:val="035241C7"/>
    <w:rsid w:val="05FB4374"/>
    <w:rsid w:val="064A3A0F"/>
    <w:rsid w:val="066C559F"/>
    <w:rsid w:val="08FD4BD5"/>
    <w:rsid w:val="09281270"/>
    <w:rsid w:val="0A670558"/>
    <w:rsid w:val="0C654F6B"/>
    <w:rsid w:val="0DC5681D"/>
    <w:rsid w:val="0E326945"/>
    <w:rsid w:val="10AF3BB6"/>
    <w:rsid w:val="115138D6"/>
    <w:rsid w:val="13DD5FED"/>
    <w:rsid w:val="165051EE"/>
    <w:rsid w:val="170535D2"/>
    <w:rsid w:val="179A1D1F"/>
    <w:rsid w:val="1BFC27FD"/>
    <w:rsid w:val="1E2003CC"/>
    <w:rsid w:val="1E53368C"/>
    <w:rsid w:val="25963D71"/>
    <w:rsid w:val="280D2C29"/>
    <w:rsid w:val="285F2C45"/>
    <w:rsid w:val="28B27AA0"/>
    <w:rsid w:val="2B6A3EF4"/>
    <w:rsid w:val="2E215A46"/>
    <w:rsid w:val="32B37F2E"/>
    <w:rsid w:val="32FC7B27"/>
    <w:rsid w:val="34993154"/>
    <w:rsid w:val="35177442"/>
    <w:rsid w:val="37AA55D7"/>
    <w:rsid w:val="3855322D"/>
    <w:rsid w:val="3C426602"/>
    <w:rsid w:val="3DFC7C98"/>
    <w:rsid w:val="3E490156"/>
    <w:rsid w:val="3E55633E"/>
    <w:rsid w:val="3E9C533C"/>
    <w:rsid w:val="3EAB0654"/>
    <w:rsid w:val="3F9609BC"/>
    <w:rsid w:val="41F15FF9"/>
    <w:rsid w:val="426179A2"/>
    <w:rsid w:val="42F00D2B"/>
    <w:rsid w:val="447C6196"/>
    <w:rsid w:val="466050F2"/>
    <w:rsid w:val="472745EF"/>
    <w:rsid w:val="479C6D8B"/>
    <w:rsid w:val="49866B1B"/>
    <w:rsid w:val="49AD1724"/>
    <w:rsid w:val="4A060B41"/>
    <w:rsid w:val="4B885FA4"/>
    <w:rsid w:val="4E0709E3"/>
    <w:rsid w:val="4EC54E1A"/>
    <w:rsid w:val="4F0E382A"/>
    <w:rsid w:val="540B0066"/>
    <w:rsid w:val="544B7B0A"/>
    <w:rsid w:val="54892903"/>
    <w:rsid w:val="54F2189F"/>
    <w:rsid w:val="55A36037"/>
    <w:rsid w:val="564E541D"/>
    <w:rsid w:val="5B044F1C"/>
    <w:rsid w:val="5BF705DC"/>
    <w:rsid w:val="5E5E64E1"/>
    <w:rsid w:val="5F2127BA"/>
    <w:rsid w:val="602816AC"/>
    <w:rsid w:val="67F87C88"/>
    <w:rsid w:val="68985BC2"/>
    <w:rsid w:val="68E822DD"/>
    <w:rsid w:val="6A526DB0"/>
    <w:rsid w:val="6B0F149F"/>
    <w:rsid w:val="6BB440BE"/>
    <w:rsid w:val="6D836174"/>
    <w:rsid w:val="6FB0390B"/>
    <w:rsid w:val="710C6776"/>
    <w:rsid w:val="73852C46"/>
    <w:rsid w:val="75CF01A8"/>
    <w:rsid w:val="75F23E97"/>
    <w:rsid w:val="77BC650A"/>
    <w:rsid w:val="7879089F"/>
    <w:rsid w:val="78B21F72"/>
    <w:rsid w:val="797A48CF"/>
    <w:rsid w:val="79A731EA"/>
    <w:rsid w:val="7A65732D"/>
    <w:rsid w:val="7C773348"/>
    <w:rsid w:val="7D763D9B"/>
    <w:rsid w:val="7DDD7A5A"/>
    <w:rsid w:val="7EDB74B9"/>
    <w:rsid w:val="7FCC39AA"/>
    <w:rsid w:val="7FD03853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80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471" w:firstLineChars="200"/>
    </w:pPr>
    <w:rPr>
      <w:sz w:val="24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  <w:rPr>
      <w:sz w:val="28"/>
      <w:szCs w:val="24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toc 1"/>
    <w:next w:val="1"/>
    <w:qFormat/>
    <w:uiPriority w:val="39"/>
    <w:pPr>
      <w:widowControl w:val="0"/>
      <w:tabs>
        <w:tab w:val="right" w:leader="dot" w:pos="8777"/>
      </w:tabs>
      <w:spacing w:line="480" w:lineRule="exact"/>
      <w:jc w:val="both"/>
    </w:pPr>
    <w:rPr>
      <w:rFonts w:ascii="宋体" w:hAnsi="宋体" w:eastAsia="宋体" w:cs="Times New Roman"/>
      <w:b/>
      <w:kern w:val="2"/>
      <w:sz w:val="28"/>
      <w:szCs w:val="28"/>
      <w:lang w:val="en-US" w:eastAsia="zh-CN" w:bidi="ar-SA"/>
    </w:rPr>
  </w:style>
  <w:style w:type="paragraph" w:styleId="8">
    <w:name w:val="Body Text First Indent 2"/>
    <w:basedOn w:val="6"/>
    <w:qFormat/>
    <w:uiPriority w:val="99"/>
    <w:pPr>
      <w:ind w:firstLine="420"/>
    </w:p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纯文本1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2021-02-03T07:19:00Z</dcterms:created>
  <dc:creator></dc:creator>
  <cp:lastModifiedBy>_M.</cp:lastModifiedBy>
  <cp:lastPrinted>2021-12-08T07:21:00Z</cp:lastPrinted>
  <dcterms:modified xsi:type="dcterms:W3CDTF">2022-01-06T03:06:59Z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5417AB68A32E4FAEB540B267EFC99A48</vt:lpwstr>
  </property>
</Properties>
</file>