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40" w:lineRule="atLeas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140" w:lineRule="atLeast"/>
        <w:jc w:val="center"/>
        <w:rPr>
          <w:rFonts w:hint="eastAsia" w:ascii="仿宋_GB2312" w:eastAsia="仿宋_GB2312"/>
          <w:sz w:val="15"/>
          <w:szCs w:val="15"/>
        </w:rPr>
      </w:pPr>
    </w:p>
    <w:p>
      <w:pPr>
        <w:spacing w:line="140" w:lineRule="atLeast"/>
        <w:jc w:val="center"/>
        <w:rPr>
          <w:rFonts w:hint="eastAsia" w:ascii="仿宋_GB2312" w:eastAsia="仿宋_GB2312"/>
          <w:sz w:val="15"/>
          <w:szCs w:val="15"/>
        </w:rPr>
      </w:pPr>
    </w:p>
    <w:p>
      <w:pPr>
        <w:spacing w:line="140" w:lineRule="atLeast"/>
        <w:jc w:val="center"/>
        <w:rPr>
          <w:rFonts w:hint="eastAsia" w:ascii="仿宋_GB2312" w:eastAsia="仿宋_GB2312"/>
          <w:sz w:val="15"/>
          <w:szCs w:val="15"/>
        </w:rPr>
      </w:pPr>
    </w:p>
    <w:p>
      <w:pPr>
        <w:spacing w:line="140" w:lineRule="atLeast"/>
        <w:jc w:val="left"/>
        <w:rPr>
          <w:rFonts w:hint="eastAsia" w:ascii="仿宋_GB2312" w:eastAsia="仿宋_GB2312"/>
          <w:sz w:val="15"/>
          <w:szCs w:val="15"/>
        </w:rPr>
      </w:pPr>
    </w:p>
    <w:p>
      <w:pPr>
        <w:spacing w:line="80" w:lineRule="atLeast"/>
        <w:jc w:val="left"/>
        <w:rPr>
          <w:rFonts w:hint="eastAsia" w:ascii="仿宋_GB2312" w:eastAsia="仿宋_GB2312"/>
          <w:sz w:val="15"/>
          <w:szCs w:val="15"/>
        </w:rPr>
      </w:pPr>
    </w:p>
    <w:p>
      <w:pPr>
        <w:spacing w:line="80" w:lineRule="atLeast"/>
        <w:jc w:val="left"/>
        <w:rPr>
          <w:rFonts w:hint="eastAsia" w:ascii="仿宋_GB2312" w:eastAsia="仿宋_GB2312"/>
          <w:sz w:val="15"/>
          <w:szCs w:val="15"/>
        </w:rPr>
      </w:pPr>
    </w:p>
    <w:p>
      <w:pPr>
        <w:spacing w:line="80" w:lineRule="atLeast"/>
        <w:jc w:val="left"/>
        <w:rPr>
          <w:rFonts w:hint="eastAsia" w:ascii="仿宋_GB2312" w:eastAsia="仿宋_GB2312"/>
          <w:sz w:val="15"/>
          <w:szCs w:val="15"/>
        </w:rPr>
      </w:pPr>
    </w:p>
    <w:p>
      <w:pPr>
        <w:spacing w:line="80" w:lineRule="atLeast"/>
        <w:jc w:val="left"/>
        <w:rPr>
          <w:rFonts w:hint="eastAsia" w:ascii="仿宋_GB2312" w:eastAsia="仿宋_GB2312"/>
          <w:sz w:val="15"/>
          <w:szCs w:val="15"/>
          <w:lang w:val="en-US" w:eastAsia="zh-CN"/>
        </w:rPr>
      </w:pPr>
      <w:r>
        <w:rPr>
          <w:rFonts w:hint="eastAsia" w:ascii="仿宋_GB2312" w:eastAsia="仿宋_GB2312"/>
          <w:sz w:val="15"/>
          <w:szCs w:val="15"/>
          <w:lang w:val="en-US" w:eastAsia="zh-CN"/>
        </w:rPr>
        <w:t xml:space="preserve"> </w:t>
      </w:r>
    </w:p>
    <w:p>
      <w:pPr>
        <w:spacing w:line="80" w:lineRule="atLeast"/>
        <w:jc w:val="left"/>
        <w:rPr>
          <w:rFonts w:hint="eastAsia" w:ascii="仿宋_GB2312" w:eastAsia="仿宋_GB2312"/>
          <w:sz w:val="15"/>
          <w:szCs w:val="15"/>
        </w:rPr>
      </w:pPr>
    </w:p>
    <w:p>
      <w:pPr>
        <w:jc w:val="left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兴隆营商督字</w:t>
      </w:r>
      <w:r>
        <w:rPr>
          <w:rFonts w:hint="eastAsia" w:ascii="仿宋_GB2312" w:hAnsi="宋体" w:eastAsia="仿宋_GB2312" w:cs="宋体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               签发人：王兴江</w:t>
      </w:r>
    </w:p>
    <w:p/>
    <w:p>
      <w:pPr>
        <w:jc w:val="left"/>
        <w:rPr>
          <w:rFonts w:eastAsia="仿宋_GB2312"/>
        </w:rPr>
      </w:pP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兴隆台区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12345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工作“评优评差”情况通报</w:t>
      </w:r>
    </w:p>
    <w:p>
      <w:pPr>
        <w:pStyle w:val="2"/>
        <w:spacing w:before="5"/>
        <w:jc w:val="center"/>
        <w:rPr>
          <w:rFonts w:hint="eastAsia" w:ascii="楷体" w:hAnsi="楷体" w:eastAsia="楷体" w:cs="楷体"/>
          <w:lang w:val="en-US" w:bidi="ar-SA"/>
        </w:rPr>
      </w:pPr>
      <w:r>
        <w:rPr>
          <w:rFonts w:hint="eastAsia" w:ascii="楷体" w:hAnsi="楷体" w:eastAsia="楷体" w:cs="楷体"/>
          <w:lang w:val="en-US" w:bidi="ar-SA"/>
        </w:rPr>
        <w:t>（第</w:t>
      </w:r>
      <w:r>
        <w:rPr>
          <w:rFonts w:hint="eastAsia" w:ascii="楷体" w:hAnsi="楷体" w:eastAsia="楷体" w:cs="楷体"/>
          <w:lang w:val="en-US" w:eastAsia="zh-CN" w:bidi="ar-SA"/>
        </w:rPr>
        <w:t>3</w:t>
      </w:r>
      <w:r>
        <w:rPr>
          <w:rFonts w:hint="eastAsia" w:ascii="楷体" w:hAnsi="楷体" w:eastAsia="楷体" w:cs="楷体"/>
          <w:lang w:val="en-US" w:bidi="ar-SA"/>
        </w:rPr>
        <w:t>期）</w:t>
      </w:r>
    </w:p>
    <w:p>
      <w:pPr>
        <w:spacing w:line="576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ind w:firstLine="640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按照区政府主要领导对 </w:t>
      </w:r>
      <w:r>
        <w:rPr>
          <w:rFonts w:hint="eastAsia" w:eastAsia="仿宋"/>
          <w:sz w:val="32"/>
          <w:szCs w:val="32"/>
          <w:lang w:val="en-US" w:eastAsia="zh-CN"/>
        </w:rPr>
        <w:t>“12345”平台</w:t>
      </w:r>
      <w:r>
        <w:rPr>
          <w:rFonts w:hint="eastAsia" w:ascii="仿宋" w:hAnsi="仿宋" w:eastAsia="仿宋" w:cs="仿宋"/>
          <w:sz w:val="32"/>
          <w:szCs w:val="32"/>
        </w:rPr>
        <w:t>工作有关指示精神，依据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12345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平台自动生成成绩排名，</w:t>
      </w:r>
      <w:r>
        <w:rPr>
          <w:rFonts w:hint="eastAsia" w:eastAsia="仿宋"/>
          <w:sz w:val="32"/>
          <w:szCs w:val="32"/>
          <w:lang w:val="en-US" w:eastAsia="zh-CN"/>
        </w:rPr>
        <w:t>现将1至4月份</w:t>
      </w:r>
      <w:r>
        <w:rPr>
          <w:rFonts w:hint="eastAsia" w:eastAsia="仿宋"/>
          <w:sz w:val="32"/>
          <w:szCs w:val="32"/>
        </w:rPr>
        <w:t>（</w:t>
      </w:r>
      <w:r>
        <w:rPr>
          <w:rFonts w:hint="eastAsia" w:eastAsia="仿宋"/>
          <w:sz w:val="32"/>
          <w:szCs w:val="32"/>
          <w:lang w:val="en-US" w:eastAsia="zh-CN"/>
        </w:rPr>
        <w:t>1月1日—4月30日）“12345”平台“评优评差”情况通报如下：</w:t>
      </w:r>
    </w:p>
    <w:p>
      <w:pPr>
        <w:pStyle w:val="2"/>
        <w:spacing w:before="40" w:line="576" w:lineRule="exact"/>
        <w:ind w:right="243" w:firstLine="656" w:firstLineChars="200"/>
        <w:rPr>
          <w:rFonts w:hint="eastAsia" w:ascii="黑体" w:hAnsi="黑体" w:eastAsia="黑体" w:cs="黑体"/>
          <w:spacing w:val="4"/>
        </w:rPr>
      </w:pPr>
      <w:r>
        <w:rPr>
          <w:rFonts w:hint="eastAsia" w:ascii="黑体" w:hAnsi="黑体" w:eastAsia="黑体" w:cs="黑体"/>
          <w:spacing w:val="4"/>
        </w:rPr>
        <w:t>一、基本情况</w:t>
      </w:r>
    </w:p>
    <w:p>
      <w:pPr>
        <w:pStyle w:val="2"/>
        <w:numPr>
          <w:ilvl w:val="0"/>
          <w:numId w:val="0"/>
        </w:numPr>
        <w:spacing w:before="40" w:line="576" w:lineRule="exact"/>
        <w:ind w:right="243" w:rightChars="0" w:firstLine="640" w:firstLineChars="200"/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highlight w:val="none"/>
          <w:lang w:val="en-US" w:eastAsia="zh-CN" w:bidi="ar-SA"/>
        </w:rPr>
        <w:t>2021年1至4月份，我区 “12345”平台共受理有效诉求3434件。办结率99.07%、及时办结率99.70%、满意率92.26%、优秀率92.76%。</w:t>
      </w:r>
    </w:p>
    <w:p>
      <w:pPr>
        <w:pStyle w:val="2"/>
        <w:numPr>
          <w:ilvl w:val="0"/>
          <w:numId w:val="0"/>
        </w:numPr>
        <w:spacing w:before="40" w:line="576" w:lineRule="exact"/>
        <w:ind w:right="243" w:rightChars="0" w:firstLine="656" w:firstLineChars="200"/>
        <w:rPr>
          <w:rFonts w:hint="eastAsia" w:ascii="黑体" w:hAnsi="黑体" w:eastAsia="黑体" w:cs="黑体"/>
          <w:spacing w:val="4"/>
          <w:highlight w:val="none"/>
        </w:rPr>
      </w:pPr>
      <w:r>
        <w:rPr>
          <w:rFonts w:hint="eastAsia" w:ascii="黑体" w:hAnsi="黑体" w:eastAsia="黑体" w:cs="黑体"/>
          <w:spacing w:val="4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spacing w:val="4"/>
          <w:highlight w:val="none"/>
        </w:rPr>
        <w:t>“评优评差”情况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eastAsia="仿宋"/>
          <w:sz w:val="32"/>
          <w:szCs w:val="32"/>
          <w:highlight w:val="none"/>
          <w:lang w:val="en-US" w:eastAsia="zh-CN"/>
        </w:rPr>
        <w:t>4月份，“12345”平台有效诉求涉及基层单位共计22</w:t>
      </w:r>
      <w:r>
        <w:rPr>
          <w:rFonts w:hint="eastAsia" w:eastAsia="仿宋"/>
          <w:sz w:val="32"/>
          <w:szCs w:val="32"/>
          <w:lang w:val="en-US" w:eastAsia="zh-CN"/>
        </w:rPr>
        <w:t>家，按照社会关注度、群众满意度以及按时反馈率等指标排名，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盘锦市兴隆台区教育局等5个单位，被评为“五佳</w:t>
      </w:r>
      <w:r>
        <w:rPr>
          <w:rFonts w:hint="eastAsia" w:eastAsia="仿宋"/>
          <w:sz w:val="32"/>
          <w:szCs w:val="32"/>
          <w:lang w:val="en-US" w:eastAsia="zh-CN"/>
        </w:rPr>
        <w:t>”承办单位（见表一）；盘锦市兴隆台区财政局等单位存在5个办理“较差”诉求件（见表二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pStyle w:val="2"/>
        <w:spacing w:before="40" w:line="576" w:lineRule="exact"/>
        <w:ind w:right="243"/>
        <w:jc w:val="center"/>
        <w:rPr>
          <w:rFonts w:hint="eastAsia" w:ascii="楷体" w:hAnsi="楷体" w:eastAsia="楷体" w:cs="楷体"/>
          <w:spacing w:val="4"/>
          <w:sz w:val="36"/>
          <w:szCs w:val="36"/>
        </w:rPr>
      </w:pPr>
    </w:p>
    <w:p>
      <w:pPr>
        <w:pStyle w:val="2"/>
        <w:spacing w:before="40" w:line="576" w:lineRule="exact"/>
        <w:ind w:right="243"/>
        <w:jc w:val="center"/>
        <w:rPr>
          <w:rFonts w:hint="eastAsia" w:ascii="楷体" w:hAnsi="楷体" w:eastAsia="楷体" w:cs="楷体"/>
          <w:color w:val="0000FF"/>
          <w:spacing w:val="4"/>
          <w:sz w:val="36"/>
          <w:szCs w:val="36"/>
        </w:rPr>
      </w:pPr>
      <w:r>
        <w:rPr>
          <w:rFonts w:hint="eastAsia" w:ascii="楷体" w:hAnsi="楷体" w:eastAsia="楷体" w:cs="楷体"/>
          <w:spacing w:val="4"/>
          <w:sz w:val="36"/>
          <w:szCs w:val="36"/>
        </w:rPr>
        <w:t>表一：“五佳”基层承办单位</w:t>
      </w:r>
    </w:p>
    <w:tbl>
      <w:tblPr>
        <w:tblStyle w:val="5"/>
        <w:tblpPr w:leftFromText="180" w:rightFromText="180" w:vertAnchor="text" w:horzAnchor="page" w:tblpX="1213" w:tblpY="277"/>
        <w:tblOverlap w:val="never"/>
        <w:tblW w:w="932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3054"/>
        <w:gridCol w:w="1054"/>
        <w:gridCol w:w="1133"/>
        <w:gridCol w:w="1101"/>
        <w:gridCol w:w="834"/>
        <w:gridCol w:w="828"/>
        <w:gridCol w:w="8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名次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受理单位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办结率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按时办结率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加分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减分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盘锦市兴隆台区教育局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盘锦市兴隆台区创新街道办事处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盘锦市兴隆台区环保局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盘锦市兴隆台区兴海街道办事处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盘锦市兴隆台区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惠宾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街道办事处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.1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10.04</w:t>
            </w:r>
          </w:p>
        </w:tc>
      </w:tr>
    </w:tbl>
    <w:p>
      <w:pPr>
        <w:pStyle w:val="2"/>
        <w:spacing w:before="40" w:line="576" w:lineRule="exact"/>
        <w:ind w:right="243"/>
        <w:jc w:val="both"/>
        <w:rPr>
          <w:rFonts w:hint="eastAsia" w:ascii="楷体" w:hAnsi="楷体" w:eastAsia="楷体" w:cs="楷体"/>
          <w:spacing w:val="4"/>
          <w:sz w:val="21"/>
          <w:szCs w:val="21"/>
        </w:rPr>
      </w:pPr>
    </w:p>
    <w:p>
      <w:pPr>
        <w:jc w:val="center"/>
        <w:rPr>
          <w:rFonts w:hint="eastAsia" w:ascii="楷体" w:hAnsi="楷体" w:eastAsia="楷体" w:cs="楷体"/>
          <w:spacing w:val="4"/>
          <w:kern w:val="2"/>
          <w:sz w:val="36"/>
          <w:szCs w:val="36"/>
          <w:lang w:val="zh-CN" w:eastAsia="zh-CN" w:bidi="zh-CN"/>
        </w:rPr>
      </w:pPr>
      <w:r>
        <w:rPr>
          <w:rFonts w:hint="eastAsia" w:ascii="楷体" w:hAnsi="楷体" w:eastAsia="楷体" w:cs="楷体"/>
          <w:spacing w:val="4"/>
          <w:kern w:val="2"/>
          <w:sz w:val="36"/>
          <w:szCs w:val="36"/>
          <w:highlight w:val="none"/>
          <w:lang w:val="zh-CN" w:eastAsia="zh-CN" w:bidi="zh-CN"/>
        </w:rPr>
        <w:t>表二：“较差”承办诉求件</w:t>
      </w:r>
    </w:p>
    <w:tbl>
      <w:tblPr>
        <w:tblStyle w:val="5"/>
        <w:tblW w:w="10395" w:type="dxa"/>
        <w:tblInd w:w="-62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095"/>
        <w:gridCol w:w="2370"/>
        <w:gridCol w:w="3901"/>
        <w:gridCol w:w="929"/>
        <w:gridCol w:w="15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部门编号</w:t>
            </w:r>
          </w:p>
        </w:tc>
        <w:tc>
          <w:tcPr>
            <w:tcW w:w="23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诉求问题</w:t>
            </w:r>
          </w:p>
        </w:tc>
        <w:tc>
          <w:tcPr>
            <w:tcW w:w="390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办理部门</w:t>
            </w:r>
          </w:p>
        </w:tc>
        <w:tc>
          <w:tcPr>
            <w:tcW w:w="92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25"/>
              </w:tabs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诉求时间</w:t>
            </w:r>
          </w:p>
        </w:tc>
        <w:tc>
          <w:tcPr>
            <w:tcW w:w="15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967658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某市民咨询房屋退税问题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盘锦市兴隆台区财政局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2021/4/27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超期办结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1054126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盘锦市民反映违建问题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盘锦市兴隆台区城市管理综合行政执法局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2021/6/5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超期未办结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1013386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盘锦市某市民反映自来水管线漏水问题</w:t>
            </w:r>
          </w:p>
        </w:tc>
        <w:tc>
          <w:tcPr>
            <w:tcW w:w="3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盘锦同城实业有限公司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2021/5/12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超期办结</w:t>
            </w:r>
          </w:p>
        </w:tc>
      </w:tr>
    </w:tbl>
    <w:p>
      <w:pPr>
        <w:spacing w:line="576" w:lineRule="exact"/>
        <w:ind w:firstLine="640" w:firstLineChars="200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工作要求</w:t>
      </w:r>
    </w:p>
    <w:p>
      <w:pPr>
        <w:keepNext w:val="0"/>
        <w:keepLines w:val="0"/>
        <w:widowControl/>
        <w:suppressLineNumbers w:val="0"/>
        <w:ind w:left="309" w:leftChars="147"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1"/>
          <w:szCs w:val="31"/>
          <w:lang w:val="en-US" w:eastAsia="zh-CN" w:bidi="ar"/>
        </w:rPr>
        <w:t>按照市政府关于政务服务“好差评”工作的最新要求，“12345”政务服务便民热线平台将作为政务服务评优评差的，要依托，要充分认识平台工作的重要性和紧迫性。请各联网部门加强体制机制建设，认真整改、提质提效，确保我区“12345”政务服务便民热线平台成绩在全市领先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注重办件实效性，首次受理的责任部门和责任人要马上就办、办就办好，一次性处理到位。在诉求件的办理过程中，部门负责人和分管领导要跟进协调，做到应办尽办，确保群众满意。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实施跟踪督办制度，对调查不认真、整改不到位、合理诉求不满意、反馈结果不真实的诉求件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在“党建引领、智慧治理”系统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进行督办，提前预防同类诉求问题的发生。坚持回访制度，对于不了解政策和实情的诉求，要向当事人解释清楚，做到解释问题不隔夜。 </w:t>
      </w:r>
    </w:p>
    <w:p>
      <w:pPr>
        <w:spacing w:line="576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区工作站于每个工作日</w:t>
      </w:r>
      <w:r>
        <w:rPr>
          <w:rFonts w:hint="eastAsia" w:eastAsia="仿宋"/>
          <w:b w:val="0"/>
          <w:bCs w:val="0"/>
          <w:sz w:val="32"/>
          <w:szCs w:val="32"/>
        </w:rPr>
        <w:t>16:00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统计各单位登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值守情况，如到时还未登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的就默认为该单位未登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每个月超过</w:t>
      </w:r>
      <w:r>
        <w:rPr>
          <w:rFonts w:hint="eastAsia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天未登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以提示函的方式发到相关单位。</w:t>
      </w:r>
    </w:p>
    <w:p>
      <w:pPr>
        <w:spacing w:line="576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spacing w:line="576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17145</wp:posOffset>
                </wp:positionV>
                <wp:extent cx="56007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05pt;margin-top:1.35pt;height:0.05pt;width:441pt;z-index:251659264;mso-width-relative:page;mso-height-relative:page;" filled="f" stroked="t" coordsize="21600,21600" o:gfxdata="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BUKnC0AAAAAQBAAAPAAAAAAAAAAEAIAAA&#10;ACIAAABkcnMvZG93bnJldi54bWxQSwECFAAUAAAACACHTuJApZ3+7dsBAACYAwAADgAAAAAAAAAB&#10;ACAAAAAf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报：区委书记，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区委副书记，区委常委；</w:t>
      </w:r>
      <w:r>
        <w:rPr>
          <w:rFonts w:hint="eastAsia" w:ascii="仿宋_GB2312" w:hAnsi="仿宋_GB2312" w:eastAsia="仿宋_GB2312" w:cs="仿宋_GB2312"/>
          <w:sz w:val="32"/>
          <w:szCs w:val="32"/>
        </w:rPr>
        <w:t>区长，各位副区长。</w:t>
      </w:r>
    </w:p>
    <w:p>
      <w:pPr>
        <w:spacing w:line="576" w:lineRule="exact"/>
        <w:ind w:left="960" w:hanging="960" w:hangingChars="300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送：</w:t>
      </w:r>
      <w:r>
        <w:rPr>
          <w:rFonts w:hint="eastAsia" w:ascii="仿宋_GB2312" w:hAnsi="仿宋_GB2312" w:eastAsia="仿宋_GB2312" w:cs="仿宋_GB2312"/>
          <w:w w:val="66"/>
          <w:sz w:val="32"/>
          <w:szCs w:val="32"/>
          <w:lang w:eastAsia="zh-CN"/>
        </w:rPr>
        <w:t>区纪委监委，区委巡察办，区委区政府督查室，</w:t>
      </w:r>
      <w:r>
        <w:rPr>
          <w:rFonts w:hint="eastAsia" w:ascii="仿宋_GB2312" w:hAnsi="仿宋_GB2312" w:eastAsia="仿宋_GB2312" w:cs="仿宋_GB2312"/>
          <w:w w:val="66"/>
          <w:sz w:val="32"/>
          <w:szCs w:val="32"/>
        </w:rPr>
        <w:t>区内各联网平台单位。</w:t>
      </w:r>
    </w:p>
    <w:p>
      <w:pPr>
        <w:spacing w:line="576" w:lineRule="exact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36830</wp:posOffset>
                </wp:positionV>
                <wp:extent cx="56197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2.9pt;height:0.05pt;width:442.5pt;z-index:251660288;mso-width-relative:page;mso-height-relative:page;" filled="f" stroked="t" coordsize="21600,21600" o:gfxdata="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JEEn9IAAAAFAQAADwAAAAAAAAABACAA&#10;AAAiAAAAZHJzL2Rvd25yZXYueG1sUEsBAhQAFAAAAAgAh07iQIz75QjaAQAAmA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区营商环境建设局办公室          </w:t>
      </w:r>
      <w:r>
        <w:rPr>
          <w:rFonts w:hint="eastAsia" w:eastAsia="仿宋"/>
          <w:sz w:val="32"/>
          <w:szCs w:val="32"/>
        </w:rPr>
        <w:t xml:space="preserve"> 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int="eastAsia"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hint="eastAsia"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25</w:t>
      </w:r>
      <w:r>
        <w:rPr>
          <w:rFonts w:hint="eastAsia" w:eastAsia="仿宋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4 -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D72B2"/>
    <w:rsid w:val="005632F3"/>
    <w:rsid w:val="00C00417"/>
    <w:rsid w:val="01F95CAE"/>
    <w:rsid w:val="044D013E"/>
    <w:rsid w:val="04F67FDD"/>
    <w:rsid w:val="08DE40B1"/>
    <w:rsid w:val="0E763583"/>
    <w:rsid w:val="0FFB189C"/>
    <w:rsid w:val="138120D0"/>
    <w:rsid w:val="13EC5C1A"/>
    <w:rsid w:val="159E6126"/>
    <w:rsid w:val="1C1D72B2"/>
    <w:rsid w:val="1C951CEA"/>
    <w:rsid w:val="2062008A"/>
    <w:rsid w:val="21964EF2"/>
    <w:rsid w:val="25BF7F7D"/>
    <w:rsid w:val="2A1A5B2A"/>
    <w:rsid w:val="2A796EB7"/>
    <w:rsid w:val="2B2D21A7"/>
    <w:rsid w:val="317E4CBC"/>
    <w:rsid w:val="3AFF0C3E"/>
    <w:rsid w:val="42803437"/>
    <w:rsid w:val="43C73898"/>
    <w:rsid w:val="43F522EC"/>
    <w:rsid w:val="4FED75D3"/>
    <w:rsid w:val="50884AF1"/>
    <w:rsid w:val="5239535C"/>
    <w:rsid w:val="52F17D4C"/>
    <w:rsid w:val="53384E3E"/>
    <w:rsid w:val="53F13EF1"/>
    <w:rsid w:val="5629661B"/>
    <w:rsid w:val="578C2E0E"/>
    <w:rsid w:val="5A9A576E"/>
    <w:rsid w:val="5DBE4E72"/>
    <w:rsid w:val="63311AD8"/>
    <w:rsid w:val="661B39CF"/>
    <w:rsid w:val="661C3EDF"/>
    <w:rsid w:val="680D37EB"/>
    <w:rsid w:val="6B6D6771"/>
    <w:rsid w:val="71394DC4"/>
    <w:rsid w:val="71934B36"/>
    <w:rsid w:val="751E36F7"/>
    <w:rsid w:val="76070CE3"/>
    <w:rsid w:val="770344B3"/>
    <w:rsid w:val="77FF26F9"/>
    <w:rsid w:val="7A7477AE"/>
    <w:rsid w:val="7B101611"/>
    <w:rsid w:val="7C922FBE"/>
    <w:rsid w:val="7E03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single"/>
    </w:rPr>
  </w:style>
  <w:style w:type="character" w:styleId="8">
    <w:name w:val="Hyperlink"/>
    <w:basedOn w:val="6"/>
    <w:qFormat/>
    <w:uiPriority w:val="0"/>
    <w:rPr>
      <w:color w:val="0000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2020-12-29T07:54:00Z</dcterms:created>
  <dc:creator>User</dc:creator>
  <cp:lastModifiedBy>Administrator</cp:lastModifiedBy>
  <cp:lastPrinted>2021-05-24T02:47:00Z</cp:lastPrinted>
  <dcterms:modified xsi:type="dcterms:W3CDTF">2021-10-27T05:48:01Z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C159805AF0ED41D5AF574DFA2A85C94D</vt:lpwstr>
  </property>
</Properties>
</file>