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35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8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8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10月08日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75149B"/>
    <w:rsid w:val="03DD15C2"/>
    <w:rsid w:val="049C21DD"/>
    <w:rsid w:val="07FD433C"/>
    <w:rsid w:val="08B2139E"/>
    <w:rsid w:val="09DC3698"/>
    <w:rsid w:val="09EC00B3"/>
    <w:rsid w:val="0A0F4EC1"/>
    <w:rsid w:val="0AA14B39"/>
    <w:rsid w:val="0D886271"/>
    <w:rsid w:val="0E110EC0"/>
    <w:rsid w:val="100B21F3"/>
    <w:rsid w:val="10EA2396"/>
    <w:rsid w:val="13795687"/>
    <w:rsid w:val="144F1220"/>
    <w:rsid w:val="14772001"/>
    <w:rsid w:val="16295FFD"/>
    <w:rsid w:val="16713173"/>
    <w:rsid w:val="1789149D"/>
    <w:rsid w:val="19A546CA"/>
    <w:rsid w:val="19B305BC"/>
    <w:rsid w:val="1B585122"/>
    <w:rsid w:val="1F6D2F7E"/>
    <w:rsid w:val="22BD677E"/>
    <w:rsid w:val="232F2B49"/>
    <w:rsid w:val="247F089A"/>
    <w:rsid w:val="27296922"/>
    <w:rsid w:val="282C022F"/>
    <w:rsid w:val="2B6D569A"/>
    <w:rsid w:val="2FFB2158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89063BF"/>
    <w:rsid w:val="4A5D3613"/>
    <w:rsid w:val="4D1A4D38"/>
    <w:rsid w:val="4E0A3B66"/>
    <w:rsid w:val="4E1812CD"/>
    <w:rsid w:val="4FFD09AD"/>
    <w:rsid w:val="51E23291"/>
    <w:rsid w:val="51F33BA8"/>
    <w:rsid w:val="53ED1D29"/>
    <w:rsid w:val="55A35F36"/>
    <w:rsid w:val="594F449D"/>
    <w:rsid w:val="5A156371"/>
    <w:rsid w:val="5A290129"/>
    <w:rsid w:val="5B165A97"/>
    <w:rsid w:val="5DE146D9"/>
    <w:rsid w:val="5E7A1183"/>
    <w:rsid w:val="5EBD4007"/>
    <w:rsid w:val="5FB56943"/>
    <w:rsid w:val="600B44E5"/>
    <w:rsid w:val="61B81872"/>
    <w:rsid w:val="63126F23"/>
    <w:rsid w:val="64E62E62"/>
    <w:rsid w:val="65905C90"/>
    <w:rsid w:val="694C6B38"/>
    <w:rsid w:val="6A3A0AEC"/>
    <w:rsid w:val="6AF336D1"/>
    <w:rsid w:val="6C7F53E4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E032B8C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2021-10-08T01:49:04Z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E27075727A024CC28D17DB82EDED8716</vt:lpwstr>
  </property>
</Properties>
</file>