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6C" w:rsidRDefault="00D03704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关于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2020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  <w:shd w:val="clear" w:color="auto" w:fill="FFFFFF"/>
        </w:rPr>
        <w:t>年举借债务情况说明</w:t>
      </w:r>
    </w:p>
    <w:p w:rsidR="00A54C6C" w:rsidRDefault="00D03704">
      <w:pPr>
        <w:pStyle w:val="a3"/>
        <w:widowControl/>
        <w:spacing w:beforeAutospacing="0" w:afterAutospacing="0" w:line="450" w:lineRule="atLeast"/>
        <w:ind w:firstLine="4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截至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目前，省财政厅共分配我市新增政府债务限额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24.46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亿元，其中：新增一般债务限额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亿元，新增专项债务限额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19.46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亿元。根据省政府对我市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年申请新增债券项目批准情况，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年新增债务限额分配市本级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亿元用于盘锦港航道建设项目，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亿元用于辽东湾西线供水项目）；分配盘山县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8.6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2.7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亿元用于盘山县浩业化工基础设施配套项目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,4.9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亿元用于棚户区改造项目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,1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亿元用于三产融合产业园建设项目）；分配双台子区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4.23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亿元用于棚户区改造项目；分配大洼区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3.43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亿元（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0.43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亿元用于大洼区污水处理项目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,3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亿元用于棚户区改造项目）；分配辽东湾新区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1.2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亿元用于辽东湾新区精细化工产业园项目。</w:t>
      </w:r>
      <w:bookmarkStart w:id="0" w:name="_GoBack"/>
      <w:bookmarkEnd w:id="0"/>
    </w:p>
    <w:p w:rsidR="00A54C6C" w:rsidRDefault="00A54C6C">
      <w:pPr>
        <w:rPr>
          <w:rFonts w:hint="eastAsia"/>
        </w:rPr>
      </w:pPr>
    </w:p>
    <w:sectPr w:rsidR="00A54C6C" w:rsidSect="00A5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2423A6"/>
    <w:rsid w:val="00A54C6C"/>
    <w:rsid w:val="00D03704"/>
    <w:rsid w:val="2324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4C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4C6C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xbany</cp:lastModifiedBy>
  <cp:revision>2</cp:revision>
  <dcterms:created xsi:type="dcterms:W3CDTF">2021-05-28T02:50:00Z</dcterms:created>
  <dcterms:modified xsi:type="dcterms:W3CDTF">2024-11-27T06:00:00Z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