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b/>
          <w:sz w:val="52"/>
          <w:szCs w:val="52"/>
        </w:rPr>
      </w:pPr>
    </w:p>
    <w:p>
      <w:pPr>
        <w:spacing w:line="540" w:lineRule="exact"/>
        <w:jc w:val="center"/>
        <w:rPr>
          <w:b/>
          <w:sz w:val="52"/>
          <w:szCs w:val="52"/>
        </w:rPr>
      </w:pPr>
      <w:r>
        <w:rPr>
          <w:rFonts w:hint="eastAsia"/>
          <w:b/>
          <w:sz w:val="52"/>
          <w:szCs w:val="52"/>
        </w:rPr>
        <w:t>盘锦市双台子区投资促进中心</w:t>
      </w: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2020年度部门决算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双台子区投资促进中心概况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双台子区投资促进中心2020年度部门决算报表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rPr>
          <w:rFonts w:ascii="仿宋_GB2312" w:eastAsia="仿宋_GB2312"/>
          <w:sz w:val="32"/>
          <w:szCs w:val="32"/>
        </w:rPr>
      </w:pPr>
      <w:r>
        <w:rPr>
          <w:rFonts w:hint="eastAsia" w:ascii="仿宋_GB2312" w:eastAsia="仿宋_GB2312"/>
          <w:sz w:val="32"/>
          <w:szCs w:val="32"/>
        </w:rPr>
        <w:t>二、2020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九、2020年度国有资本经营预算财政拨款支出决算</w:t>
      </w:r>
    </w:p>
    <w:p>
      <w:pPr>
        <w:spacing w:line="540" w:lineRule="exact"/>
        <w:rPr>
          <w:rFonts w:ascii="黑体" w:hAnsi="黑体" w:eastAsia="黑体"/>
          <w:sz w:val="32"/>
          <w:szCs w:val="32"/>
        </w:rPr>
      </w:pPr>
      <w:r>
        <w:rPr>
          <w:rFonts w:hint="eastAsia" w:ascii="黑体" w:hAnsi="黑体" w:eastAsia="黑体"/>
          <w:sz w:val="32"/>
          <w:szCs w:val="32"/>
        </w:rPr>
        <w:t>第三部分   双台子区投资促进中心2020年度部门决算情况说明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w:t>
      </w:r>
      <w:r>
        <w:rPr>
          <w:rFonts w:hint="eastAsia" w:ascii="宋体" w:hAnsi="宋体" w:cs="宋体"/>
          <w:b/>
          <w:bCs/>
          <w:sz w:val="36"/>
          <w:szCs w:val="36"/>
        </w:rPr>
        <w:t>双台子区投资促进中心</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widowControl/>
        <w:ind w:firstLine="707" w:firstLineChars="221"/>
        <w:jc w:val="left"/>
        <w:rPr>
          <w:rFonts w:ascii="仿宋" w:hAnsi="仿宋" w:eastAsia="仿宋"/>
          <w:sz w:val="32"/>
          <w:szCs w:val="32"/>
        </w:rPr>
      </w:pPr>
      <w:r>
        <w:rPr>
          <w:rFonts w:hint="eastAsia" w:ascii="仿宋" w:hAnsi="仿宋" w:eastAsia="仿宋"/>
          <w:sz w:val="32"/>
          <w:szCs w:val="32"/>
        </w:rPr>
        <w:t>（一）执行国家和省市关于开展招商引资、商贸物流、项目审计、土地储备所涉及的政策和法律法规；研究并收集整理与全区产业发展相关的产业发展趋势、辖区内土地利用规划和城市规划要求，拟订全区招商引资、招商服务的政策措施、中长期规划和年度计划并组织实施。</w:t>
      </w:r>
    </w:p>
    <w:p>
      <w:pPr>
        <w:ind w:firstLine="707" w:firstLineChars="221"/>
        <w:rPr>
          <w:rFonts w:ascii="仿宋" w:hAnsi="仿宋" w:eastAsia="仿宋"/>
          <w:sz w:val="32"/>
          <w:szCs w:val="32"/>
        </w:rPr>
      </w:pPr>
      <w:r>
        <w:rPr>
          <w:rFonts w:hint="eastAsia" w:ascii="仿宋" w:hAnsi="仿宋" w:eastAsia="仿宋"/>
          <w:sz w:val="32"/>
          <w:szCs w:val="32"/>
        </w:rPr>
        <w:t>（二）承担全区招商引资和招商项目服务工作等职能；负责统筹、指导、组织协调全区招商引资相关的统计、督查、绩效考评、协调服务、咨询工作和参加国内外招商活动。</w:t>
      </w:r>
    </w:p>
    <w:p>
      <w:pPr>
        <w:pStyle w:val="4"/>
        <w:spacing w:before="0" w:beforeAutospacing="0" w:after="0" w:afterAutospacing="0"/>
        <w:ind w:firstLine="707" w:firstLineChars="221"/>
        <w:rPr>
          <w:rFonts w:ascii="仿宋" w:hAnsi="仿宋" w:eastAsia="仿宋" w:cs="Times New Roman"/>
          <w:kern w:val="2"/>
          <w:sz w:val="32"/>
          <w:szCs w:val="32"/>
        </w:rPr>
      </w:pPr>
      <w:r>
        <w:rPr>
          <w:rFonts w:hint="eastAsia" w:ascii="仿宋" w:hAnsi="仿宋" w:eastAsia="仿宋" w:cs="Times New Roman"/>
          <w:kern w:val="2"/>
          <w:sz w:val="32"/>
          <w:szCs w:val="32"/>
        </w:rPr>
        <w:t>（三）负责为招商引资企业提供前期手续办理服务；负责对招商引资企业项目建设阶段实行跟踪服务；做好党建、安全生产工作。</w:t>
      </w:r>
    </w:p>
    <w:p>
      <w:pPr>
        <w:widowControl/>
        <w:ind w:firstLine="707" w:firstLineChars="221"/>
        <w:jc w:val="left"/>
        <w:rPr>
          <w:rFonts w:ascii="仿宋" w:hAnsi="仿宋" w:eastAsia="仿宋"/>
          <w:sz w:val="32"/>
          <w:szCs w:val="32"/>
        </w:rPr>
      </w:pPr>
      <w:r>
        <w:rPr>
          <w:rFonts w:hint="eastAsia" w:ascii="仿宋" w:hAnsi="仿宋" w:eastAsia="仿宋"/>
          <w:sz w:val="32"/>
          <w:szCs w:val="32"/>
        </w:rPr>
        <w:t>（四）按照国家、省、市关于土地储备工作的法律法规，负责辖区内土地储备工作。</w:t>
      </w:r>
    </w:p>
    <w:p>
      <w:pPr>
        <w:ind w:firstLine="707" w:firstLineChars="221"/>
        <w:rPr>
          <w:rFonts w:ascii="仿宋" w:hAnsi="仿宋" w:eastAsia="仿宋"/>
          <w:sz w:val="32"/>
          <w:szCs w:val="32"/>
        </w:rPr>
      </w:pPr>
      <w:r>
        <w:rPr>
          <w:rFonts w:hint="eastAsia" w:ascii="仿宋" w:hAnsi="仿宋" w:eastAsia="仿宋"/>
          <w:sz w:val="32"/>
          <w:szCs w:val="32"/>
        </w:rPr>
        <w:t>（五）负责收集、培养科普人才、组建科普人才库工作；组织协调相关部门开展科学技术、再生资源利用的普及、教育、培训服务工作。</w:t>
      </w:r>
    </w:p>
    <w:p>
      <w:pPr>
        <w:ind w:firstLine="707" w:firstLineChars="221"/>
        <w:rPr>
          <w:rFonts w:ascii="仿宋" w:hAnsi="仿宋" w:eastAsia="仿宋"/>
          <w:sz w:val="32"/>
          <w:szCs w:val="32"/>
        </w:rPr>
      </w:pPr>
      <w:r>
        <w:rPr>
          <w:rFonts w:hint="eastAsia" w:ascii="仿宋" w:hAnsi="仿宋" w:eastAsia="仿宋"/>
          <w:sz w:val="32"/>
          <w:szCs w:val="32"/>
        </w:rPr>
        <w:t>（六）负责全区政府财政性资金安排的基本建设项目工程预、决算的编制和审核工作；全区审计信息网络与OA系统的建立、运行、管理和维护。</w:t>
      </w:r>
    </w:p>
    <w:p>
      <w:pPr>
        <w:ind w:firstLine="707" w:firstLineChars="221"/>
        <w:rPr>
          <w:rFonts w:ascii="仿宋" w:hAnsi="仿宋" w:eastAsia="仿宋"/>
          <w:sz w:val="32"/>
          <w:szCs w:val="32"/>
        </w:rPr>
      </w:pPr>
      <w:r>
        <w:rPr>
          <w:rFonts w:hint="eastAsia" w:ascii="仿宋" w:hAnsi="仿宋" w:eastAsia="仿宋"/>
          <w:sz w:val="32"/>
          <w:szCs w:val="32"/>
        </w:rPr>
        <w:t>（七）负责区招商队伍的绩效考核工作，提出区招商队伍绩效考核实施方案和人员奖惩意见。</w:t>
      </w:r>
    </w:p>
    <w:p>
      <w:pPr>
        <w:ind w:firstLine="707" w:firstLineChars="221"/>
        <w:rPr>
          <w:rFonts w:ascii="仿宋" w:hAnsi="仿宋" w:eastAsia="仿宋"/>
          <w:sz w:val="32"/>
          <w:szCs w:val="32"/>
        </w:rPr>
      </w:pPr>
      <w:r>
        <w:rPr>
          <w:rFonts w:hint="eastAsia" w:ascii="仿宋" w:hAnsi="仿宋" w:eastAsia="仿宋"/>
          <w:sz w:val="32"/>
          <w:szCs w:val="32"/>
        </w:rPr>
        <w:t>（八）承办区委区政府交办的其他事项。</w:t>
      </w:r>
    </w:p>
    <w:p>
      <w:pPr>
        <w:spacing w:line="540" w:lineRule="exact"/>
        <w:ind w:left="640"/>
        <w:jc w:val="left"/>
        <w:rPr>
          <w:rFonts w:ascii="仿宋" w:hAnsi="仿宋" w:eastAsia="仿宋"/>
          <w:sz w:val="32"/>
          <w:szCs w:val="32"/>
        </w:rPr>
      </w:pPr>
    </w:p>
    <w:p>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部门决算单位构成</w:t>
      </w:r>
    </w:p>
    <w:p>
      <w:pPr>
        <w:spacing w:line="540" w:lineRule="exact"/>
        <w:ind w:firstLine="630" w:firstLineChars="196"/>
        <w:jc w:val="left"/>
        <w:rPr>
          <w:rFonts w:ascii="仿宋_GB2312" w:eastAsia="仿宋_GB2312"/>
          <w:b/>
          <w:sz w:val="32"/>
          <w:szCs w:val="32"/>
        </w:rPr>
      </w:pPr>
      <w:r>
        <w:rPr>
          <w:rFonts w:hint="eastAsia" w:ascii="仿宋_GB2312" w:eastAsia="仿宋_GB2312"/>
          <w:b/>
          <w:sz w:val="32"/>
          <w:szCs w:val="32"/>
        </w:rPr>
        <w:t>纳入辽宁省财政厅2020年部门决算编制范围的二级预算单位包括：无</w:t>
      </w:r>
    </w:p>
    <w:p>
      <w:pPr>
        <w:spacing w:line="540" w:lineRule="exact"/>
        <w:ind w:left="640"/>
        <w:jc w:val="left"/>
        <w:rPr>
          <w:rFonts w:ascii="黑体" w:eastAsia="黑体"/>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 双台子区投资促进中心2020年度部门决算情况说明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w:t>
      </w:r>
      <w:r>
        <w:rPr>
          <w:rFonts w:hint="eastAsia" w:ascii="楷体_GB2312" w:hAnsi="宋体" w:eastAsia="楷体_GB2312"/>
          <w:b/>
          <w:sz w:val="32"/>
          <w:szCs w:val="32"/>
          <w:lang w:val="en-US" w:eastAsia="zh-CN"/>
        </w:rPr>
        <w:t>69.42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1.财政拨款收入659.35万元，占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98.5</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公共预算财政拨款收入659.35万元，政府性基金收入0万元。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w:t>
      </w:r>
      <w:r>
        <w:rPr>
          <w:rFonts w:hint="eastAsia" w:ascii="仿宋_GB2312" w:hAnsi="宋体" w:eastAsia="仿宋_GB2312"/>
          <w:sz w:val="32"/>
          <w:szCs w:val="32"/>
          <w:lang w:val="en-US" w:eastAsia="zh-CN"/>
        </w:rPr>
        <w:t>上年</w:t>
      </w:r>
      <w:r>
        <w:rPr>
          <w:rFonts w:hint="eastAsia" w:ascii="仿宋_GB2312" w:hAnsi="宋体" w:eastAsia="仿宋_GB2312"/>
          <w:sz w:val="32"/>
          <w:szCs w:val="32"/>
        </w:rPr>
        <w:t>结转和结余</w:t>
      </w:r>
      <w:r>
        <w:rPr>
          <w:rFonts w:hint="eastAsia" w:ascii="仿宋_GB2312" w:hAnsi="宋体" w:eastAsia="仿宋_GB2312"/>
          <w:sz w:val="32"/>
          <w:szCs w:val="32"/>
          <w:lang w:val="en-US" w:eastAsia="zh-CN"/>
        </w:rPr>
        <w:t>10.08</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1.5</w:t>
      </w:r>
      <w:r>
        <w:rPr>
          <w:rFonts w:hint="eastAsia" w:ascii="仿宋_GB2312" w:hAnsi="宋体" w:eastAsia="仿宋_GB2312"/>
          <w:sz w:val="32"/>
          <w:szCs w:val="32"/>
        </w:rPr>
        <w:t>%。主要是因为招商人员节省开支。</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206.67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增长44.66%，</w:t>
      </w:r>
      <w:r>
        <w:rPr>
          <w:rFonts w:hint="eastAsia" w:ascii="仿宋_GB2312" w:hAnsi="宋体" w:eastAsia="仿宋_GB2312"/>
          <w:sz w:val="32"/>
          <w:szCs w:val="32"/>
        </w:rPr>
        <w:t>主要原因：是事业单位优化整合，由区政府直属的区精细化工项目招商服务局、区商务局所属的区商贸发展服务中心、区审计局所属的区基本项目审核办公室、区审计信息中心、区科学技术协会所属区科学技术普及推广中心整合组成。</w:t>
      </w:r>
      <w:r>
        <w:rPr>
          <w:rFonts w:hint="eastAsia" w:ascii="仿宋_GB2312" w:hAnsi="宋体" w:eastAsia="仿宋_GB2312"/>
          <w:sz w:val="32"/>
          <w:szCs w:val="32"/>
          <w:lang w:val="en-US" w:eastAsia="zh-CN"/>
        </w:rPr>
        <w:t xml:space="preserve"> </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（二）支出总计603.83万元，包括：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1.基本支出503.83万元，占支出总计的0.63%。主要是为保障机构正常运转、完成日常工作任务而发生的各项支出。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2.项目支出100万元，占支出总计的0.15%。</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与上年相比，今年支出增加196.6万元，主要原因：项目支出</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（三）年末结转和结余65.6万元。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主要是因为疫情影响，中心出差严重受到限制，形成的结余。与上年相比，今年结转结余增加55.52万元，主要原因：疫情严重不能出差进行招商工作。</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2020年度财政拨款支出603.83万元，其中：基本支出503.83万元，项目支出100万元。与</w:t>
      </w:r>
      <w:r>
        <w:rPr>
          <w:rFonts w:ascii="仿宋_GB2312" w:hAnsi="宋体" w:eastAsia="仿宋_GB2312"/>
          <w:sz w:val="32"/>
          <w:szCs w:val="32"/>
        </w:rPr>
        <w:t>上年相比，</w:t>
      </w:r>
      <w:r>
        <w:rPr>
          <w:rFonts w:hint="eastAsia" w:ascii="仿宋_GB2312" w:hAnsi="宋体" w:eastAsia="仿宋_GB2312"/>
          <w:sz w:val="32"/>
          <w:szCs w:val="32"/>
        </w:rPr>
        <w:t>财政拨款支出增加41.08万元，主要原因：新增了一个项目支出。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603.83</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481.69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79.77</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68.81万元，占11.4%；卫生健康支出18.4万元，占3.05%；住房保障支出34.92万元，占5.78%</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1.一般公共服务支出481.69万元，具体包括：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（1）行政运行0万元，主要是基本支出，完成年初预算的0%。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（2）一般行政管理事务0万元，主要是项目支出。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（3）物价管理0万元，主要是物价管理支出。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（4）事业运行381.18万元，主要是人员工资和办公经费等支出。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w:t>
      </w:r>
      <w:r>
        <w:rPr>
          <w:rFonts w:hint="eastAsia" w:ascii="仿宋_GB2312" w:hAnsi="宋体" w:eastAsia="仿宋_GB2312"/>
          <w:color w:val="002060"/>
          <w:sz w:val="32"/>
          <w:szCs w:val="32"/>
        </w:rPr>
        <w:t>出68.81万元</w:t>
      </w:r>
      <w:r>
        <w:rPr>
          <w:rFonts w:hint="eastAsia" w:ascii="仿宋_GB2312" w:hAnsi="宋体" w:eastAsia="仿宋_GB2312"/>
          <w:sz w:val="32"/>
          <w:szCs w:val="32"/>
        </w:rPr>
        <w:t>，具体包括：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（1）机关事业单位基本养老保险缴费40.1万元，主要是职工人员养老保险等支出。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（2）其他社会保障和就业支出1.2万元。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3.卫生健康支出18.4万元，包括：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（1）行政单位医疗0万元，主要是基本支出。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（2）事业单位医疗17.03万元，主要是职工人员医疗保险等支出。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4.住房保障支出36.74万元，具体包括：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住房公积金36.74万元，主要是职工人员住房公积金等支出。</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2020年度一般公共预算财政拨款安排的“三公”经费支出6.24万元.其中：因公出国（境）费0万元，公务接待费4.82万元，公务运行维护费1.42万元。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 2020年参加出国（境）团组0个，累计0人次。</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2.公务接待费4.82万元，主要用于招商工作的开展中，接待来访企业和出去拜访企业时候招待企业等。</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1.42万元。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公务用车运行维护费1.42万元，主要用于燃油费和公车维修保险等。截至年末使用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2020年度一般公共预算财政拨款基本支</w:t>
      </w:r>
      <w:r>
        <w:rPr>
          <w:rFonts w:hint="eastAsia" w:ascii="仿宋_GB2312" w:hAnsi="宋体" w:eastAsia="仿宋_GB2312"/>
          <w:color w:val="000000" w:themeColor="text1"/>
          <w:sz w:val="32"/>
          <w:szCs w:val="32"/>
        </w:rPr>
        <w:t>出503.83万</w:t>
      </w:r>
      <w:r>
        <w:rPr>
          <w:rFonts w:hint="eastAsia" w:ascii="仿宋_GB2312" w:hAnsi="宋体" w:eastAsia="仿宋_GB2312"/>
          <w:sz w:val="32"/>
          <w:szCs w:val="32"/>
        </w:rPr>
        <w:t>元，其中：人员经费438.53万元，主要包括基本工资、津贴补贴、奖金、其他社会保障缴费、机关事业单位基本养老保险缴费、其他工资福利支出、离休费、退休费、抚恤金、生活补助、奖励金、住房公积金、采暖补贴、其他对个人和家庭补助的支出；日常公用经费65.3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2020年双台子区投资促进中心机关运行经费支出0万元。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2020年双台子区投资促进中心政府采购支出总额0万元。政府采购货物支出0万元，政府采购工程支出0万元，政府采购服务支出0万元。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截至2020年12月31日，双台子区投资促进中心共有车辆1辆，其中：一般公务用车1辆；单位价值50万元以上通用设备0台（套），单价100万元以上专用设备0台（套）。</w:t>
      </w:r>
    </w:p>
    <w:p>
      <w:pPr>
        <w:spacing w:line="540" w:lineRule="exact"/>
        <w:ind w:firstLine="640" w:firstLineChars="200"/>
        <w:rPr>
          <w:rFonts w:ascii="仿宋_GB2312" w:hAnsi="黑体" w:eastAsia="仿宋_GB2312"/>
          <w:sz w:val="32"/>
          <w:szCs w:val="32"/>
        </w:rPr>
      </w:pP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根据财政预算管理要求，我局组织对2020年度预算项目支出全面开展绩效自评，共涉及预算支出项目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cs="宋体"/>
          <w:sz w:val="32"/>
          <w:szCs w:val="32"/>
        </w:rPr>
        <w:t>单位认识不到位，重视程度不够。单位项目业务股室与财务股室没有形成有效合作机制，分管业务领导对预算绩效重视不够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加大预算执行中对绩效指标的监控力度</w:t>
      </w:r>
      <w:r>
        <w:rPr>
          <w:rFonts w:hint="eastAsia" w:ascii="仿宋_GB2312" w:hAnsi="宋体" w:eastAsia="仿宋_GB2312" w:cs="宋体"/>
          <w:sz w:val="32"/>
          <w:szCs w:val="32"/>
        </w:rPr>
        <w:t>。</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B2C73"/>
    <w:rsid w:val="00131A93"/>
    <w:rsid w:val="00194E6E"/>
    <w:rsid w:val="002345EE"/>
    <w:rsid w:val="00251D7B"/>
    <w:rsid w:val="00355205"/>
    <w:rsid w:val="003B3516"/>
    <w:rsid w:val="003D0F33"/>
    <w:rsid w:val="00436516"/>
    <w:rsid w:val="00490BE1"/>
    <w:rsid w:val="00505C95"/>
    <w:rsid w:val="005C1DB0"/>
    <w:rsid w:val="005D1C7B"/>
    <w:rsid w:val="0061343C"/>
    <w:rsid w:val="00630FC9"/>
    <w:rsid w:val="006D756A"/>
    <w:rsid w:val="008039B3"/>
    <w:rsid w:val="0083342E"/>
    <w:rsid w:val="00834907"/>
    <w:rsid w:val="00881F75"/>
    <w:rsid w:val="008B61FB"/>
    <w:rsid w:val="008D1FBE"/>
    <w:rsid w:val="00946577"/>
    <w:rsid w:val="009B338C"/>
    <w:rsid w:val="009D0EBC"/>
    <w:rsid w:val="00AA594E"/>
    <w:rsid w:val="00AB3395"/>
    <w:rsid w:val="00B31CE2"/>
    <w:rsid w:val="00B915A9"/>
    <w:rsid w:val="00BB369A"/>
    <w:rsid w:val="00C20B3F"/>
    <w:rsid w:val="00C50471"/>
    <w:rsid w:val="00C802BB"/>
    <w:rsid w:val="00C95715"/>
    <w:rsid w:val="00CC5664"/>
    <w:rsid w:val="00CD70F0"/>
    <w:rsid w:val="00D31247"/>
    <w:rsid w:val="00D44938"/>
    <w:rsid w:val="00D74D73"/>
    <w:rsid w:val="00DA43DE"/>
    <w:rsid w:val="00E65363"/>
    <w:rsid w:val="00EA4192"/>
    <w:rsid w:val="00EC5F4A"/>
    <w:rsid w:val="00F443EE"/>
    <w:rsid w:val="00F85A17"/>
    <w:rsid w:val="073C4F00"/>
    <w:rsid w:val="08327035"/>
    <w:rsid w:val="0A907549"/>
    <w:rsid w:val="0D672006"/>
    <w:rsid w:val="0D8465E6"/>
    <w:rsid w:val="15E84162"/>
    <w:rsid w:val="16814FA9"/>
    <w:rsid w:val="17E36E53"/>
    <w:rsid w:val="247229E3"/>
    <w:rsid w:val="287F3566"/>
    <w:rsid w:val="2C4263C5"/>
    <w:rsid w:val="31746276"/>
    <w:rsid w:val="34C8070D"/>
    <w:rsid w:val="397F349F"/>
    <w:rsid w:val="3C980847"/>
    <w:rsid w:val="3D336C2E"/>
    <w:rsid w:val="420E5ABB"/>
    <w:rsid w:val="43814EA0"/>
    <w:rsid w:val="44655E10"/>
    <w:rsid w:val="45CE438E"/>
    <w:rsid w:val="49D258B1"/>
    <w:rsid w:val="4A2D0E16"/>
    <w:rsid w:val="4DE82758"/>
    <w:rsid w:val="4EE0417C"/>
    <w:rsid w:val="50B635FD"/>
    <w:rsid w:val="539C2D67"/>
    <w:rsid w:val="58744C68"/>
    <w:rsid w:val="590F10B6"/>
    <w:rsid w:val="59C203D7"/>
    <w:rsid w:val="5E222371"/>
    <w:rsid w:val="5E9922E5"/>
    <w:rsid w:val="6A073D46"/>
    <w:rsid w:val="6B7C6910"/>
    <w:rsid w:val="6C7866FF"/>
    <w:rsid w:val="723A109D"/>
    <w:rsid w:val="72665159"/>
    <w:rsid w:val="74966E6C"/>
    <w:rsid w:val="7D482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uiPriority w:val="99"/>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DE6F9-C8B4-4C51-8676-E7F56AD4FD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624</Words>
  <Characters>3558</Characters>
  <Lines>29</Lines>
  <Paragraphs>8</Paragraphs>
  <TotalTime>5</TotalTime>
  <ScaleCrop>false</ScaleCrop>
  <LinksUpToDate>false</LinksUpToDate>
  <CharactersWithSpaces>4174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2021-09-03T07:21:00Z</dcterms:created>
  <dc:creator>微软用户</dc:creator>
  <cp:lastModifiedBy>既然不是仙难免有杂念</cp:lastModifiedBy>
  <cp:lastPrinted>2021-09-03T07:11:00Z</cp:lastPrinted>
  <dcterms:modified xsi:type="dcterms:W3CDTF">2021-09-15T03:18:55Z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