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20</w:t>
      </w:r>
      <w:r>
        <w:rPr>
          <w:rFonts w:hint="eastAsia"/>
          <w:sz w:val="44"/>
          <w:szCs w:val="44"/>
        </w:rPr>
        <w:t>年度政府决算公开目录</w:t>
      </w:r>
    </w:p>
    <w:p/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日盘锦市大洼区第十八届人大常委会第十三次会议批复了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盘锦市大洼区财政决算，根据《中华人民共和国预算法》第一章、第十四条规定：“经本级人民代表大会或者本级人民代表大会常务委员会批准的预算、预算调整、决算、预算执行情况的报告及报表，应当在批准后二十日内由本级政府财政部门向社会公开，并对本级政府财政转移支付安排、执行的情况以及举借债务的情况等重要事项作出说明”。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日，盘锦市大洼区财政局通过门户网站“财政预决算报告”平台，公开了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年度本级政府决算信息，现将公开内容编制目录如下：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年度政府决算报告等相关公开材料</w:t>
      </w:r>
    </w:p>
    <w:p>
      <w:pPr>
        <w:spacing w:line="7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关于盘锦市大洼区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年财政决算的报告</w:t>
      </w:r>
    </w:p>
    <w:p>
      <w:pPr>
        <w:spacing w:line="7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盘锦市大洼区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年地方政府债务情况说明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年度预算绩效公开开展情况说明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年度财政拨款“三公”经费支出决算情况说明及报表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年度财政转移支付执行情况说明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6.20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</w:rPr>
        <w:t>年度社会保险基金收支情况说明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年度转移支付情况公开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年度对下一般性转移支付、专项转移支付、税收返还分地区、分项目情况表，及转移支付执行情况说明。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年度大洼区和区本级一般公共财政决算公开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大洼区和区本级一般公共预算收支表、一般公共预算基本支出决算表、地方政府一般债务限额及余额情况表等。其中一般公共预算支出表又分为功能分类明细表和经济分类明细表；一般公共预算基本支出公开到经济性质分类款级科目。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年度大洼区和区本级政府性基金决算公开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年度大洼区和区本级政府性基金预算收支决算总表及分级表；</w:t>
      </w:r>
      <w:r>
        <w:rPr>
          <w:rFonts w:ascii="仿宋" w:hAnsi="仿宋" w:eastAsia="仿宋" w:cs="仿宋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年度地方政府专项债务限额及余额情况表；政府性基金转移支付决算表。</w:t>
      </w:r>
    </w:p>
    <w:p>
      <w:pPr>
        <w:tabs>
          <w:tab w:val="left" w:pos="606"/>
        </w:tabs>
        <w:ind w:firstLine="420" w:firstLineChars="200"/>
        <w:jc w:val="left"/>
        <w:rPr>
          <w:rFonts w:ascii="仿宋" w:hAnsi="仿宋" w:eastAsia="仿宋" w:cs="仿宋"/>
          <w:sz w:val="32"/>
          <w:szCs w:val="32"/>
        </w:rPr>
      </w:pPr>
      <w:r>
        <w:tab/>
      </w: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年度大洼区和区本级国有资本经营决算公开</w:t>
      </w:r>
    </w:p>
    <w:p>
      <w:pPr>
        <w:tabs>
          <w:tab w:val="left" w:pos="606"/>
        </w:tabs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</w:rPr>
        <w:t>主要包括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年度大洼区和区本级国有资本经营收支决算总表及明细表。</w:t>
      </w:r>
    </w:p>
    <w:p>
      <w:pPr>
        <w:tabs>
          <w:tab w:val="left" w:pos="606"/>
        </w:tabs>
        <w:ind w:firstLine="420" w:firstLineChars="200"/>
        <w:jc w:val="left"/>
        <w:rPr>
          <w:rFonts w:ascii="仿宋" w:hAnsi="仿宋" w:eastAsia="仿宋" w:cs="仿宋"/>
          <w:sz w:val="32"/>
          <w:szCs w:val="32"/>
        </w:rPr>
      </w:pPr>
      <w:r>
        <w:tab/>
      </w:r>
      <w:r>
        <w:rPr>
          <w:rFonts w:hint="eastAsia" w:ascii="仿宋" w:hAnsi="仿宋" w:eastAsia="仿宋" w:cs="仿宋"/>
          <w:sz w:val="32"/>
          <w:szCs w:val="32"/>
        </w:rPr>
        <w:t>六、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年度大洼区和区本级社会保险基金决算公开</w:t>
      </w:r>
    </w:p>
    <w:p>
      <w:pPr>
        <w:tabs>
          <w:tab w:val="left" w:pos="628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年度大洼区和区本级社会保险基金收支决算表。</w:t>
      </w:r>
    </w:p>
    <w:p>
      <w:pPr>
        <w:tabs>
          <w:tab w:val="left" w:pos="628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年度地方政府债务情况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年地方政府一般债务、专项债务分地区限额、余额情况表；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一般债务、专项债务及还本付息情况表；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年地方政府债务余额情况表；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年末本地区、本级及所属地区债券资金使用安排。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年度财政专户资金情况</w:t>
      </w:r>
      <w:bookmarkStart w:id="0" w:name="_GoBack"/>
      <w:bookmarkEnd w:id="0"/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</w:t>
      </w:r>
      <w:r>
        <w:fldChar w:fldCharType="begin"/>
      </w:r>
      <w:r>
        <w:instrText xml:space="preserve"> HYPERLINK "http://www.panjin.gov.cn:803/web51/site/attach/0/dbe6bb4a911440edbe5999d4aa60577a.xls"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盘锦市大洼区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年度财政专户管理资金收入支出决算表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年度财政代列资金情况</w:t>
      </w:r>
    </w:p>
    <w:p>
      <w:pPr>
        <w:tabs>
          <w:tab w:val="left" w:pos="606"/>
        </w:tabs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</w:t>
      </w:r>
      <w:r>
        <w:fldChar w:fldCharType="begin"/>
      </w:r>
      <w:r>
        <w:instrText xml:space="preserve"> HYPERLINK "http://www.panjin.gov.cn:803/web51/site/attach/0/5cf0dceb52504c8aa675133368dd727e.xls"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盘锦市大洼区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年度财政代列资金情况表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D26"/>
    <w:rsid w:val="0000472D"/>
    <w:rsid w:val="0019720E"/>
    <w:rsid w:val="001D6258"/>
    <w:rsid w:val="003C5BFE"/>
    <w:rsid w:val="00473D26"/>
    <w:rsid w:val="004A4CFD"/>
    <w:rsid w:val="0068016E"/>
    <w:rsid w:val="00A14C5D"/>
    <w:rsid w:val="00A962F4"/>
    <w:rsid w:val="00AF1955"/>
    <w:rsid w:val="00B31814"/>
    <w:rsid w:val="00C6733E"/>
    <w:rsid w:val="00E76E5D"/>
    <w:rsid w:val="00F1798C"/>
    <w:rsid w:val="00F92FBF"/>
    <w:rsid w:val="00FE7CE6"/>
    <w:rsid w:val="0BCF5100"/>
    <w:rsid w:val="5C6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99"/>
    <w:rPr>
      <w:rFonts w:cs="Times New Roman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190</Words>
  <Characters>1088</Characters>
  <Lines>0</Lines>
  <Paragraphs>0</Paragraphs>
  <TotalTime>51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2021-08-30T02:54:04Z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AECB68FDE5DA4D3A803AD29F3F9CBC88</vt:lpwstr>
  </property>
</Properties>
</file>