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20</w:t>
      </w:r>
      <w:r>
        <w:rPr>
          <w:rFonts w:hint="eastAsia" w:ascii="方正小标宋简体" w:hAnsi="方正小标宋简体" w:eastAsia="方正小标宋简体" w:cs="方正小标宋简体"/>
          <w:b/>
          <w:color w:val="auto"/>
          <w:sz w:val="44"/>
          <w:szCs w:val="44"/>
          <w:lang w:val="en-US" w:eastAsia="zh-CN"/>
        </w:rPr>
        <w:t>20</w:t>
      </w:r>
      <w:r>
        <w:rPr>
          <w:rFonts w:hint="eastAsia" w:ascii="方正小标宋简体" w:hAnsi="方正小标宋简体" w:eastAsia="方正小标宋简体" w:cs="方正小标宋简体"/>
          <w:b/>
          <w:color w:val="auto"/>
          <w:sz w:val="44"/>
          <w:szCs w:val="44"/>
        </w:rPr>
        <w:t>年盘锦市兴隆台区</w:t>
      </w:r>
    </w:p>
    <w:p>
      <w:pPr>
        <w:spacing w:line="360" w:lineRule="auto"/>
        <w:jc w:val="center"/>
        <w:rPr>
          <w:rFonts w:asciiTheme="minorEastAsia" w:hAnsiTheme="minorEastAsia" w:eastAsiaTheme="minorEastAsia"/>
          <w:b/>
          <w:color w:val="auto"/>
          <w:sz w:val="44"/>
          <w:szCs w:val="44"/>
        </w:rPr>
      </w:pPr>
      <w:r>
        <w:rPr>
          <w:rFonts w:hint="eastAsia" w:ascii="方正小标宋简体" w:hAnsi="方正小标宋简体" w:eastAsia="方正小标宋简体" w:cs="方正小标宋简体"/>
          <w:b/>
          <w:color w:val="auto"/>
          <w:sz w:val="44"/>
          <w:szCs w:val="44"/>
        </w:rPr>
        <w:t>国民经济和社会发展统计公报</w:t>
      </w:r>
    </w:p>
    <w:p>
      <w:pPr>
        <w:spacing w:line="360" w:lineRule="auto"/>
        <w:jc w:val="center"/>
        <w:rPr>
          <w:rFonts w:asciiTheme="minorEastAsia" w:hAnsiTheme="minorEastAsia" w:eastAsiaTheme="minorEastAsia"/>
          <w:b/>
          <w:color w:val="auto"/>
          <w:sz w:val="32"/>
          <w:szCs w:val="32"/>
        </w:rPr>
      </w:pPr>
    </w:p>
    <w:p>
      <w:pPr>
        <w:spacing w:line="360" w:lineRule="auto"/>
        <w:jc w:val="center"/>
        <w:rPr>
          <w:rFonts w:ascii="楷体" w:hAnsi="楷体" w:eastAsia="楷体" w:cs="楷体"/>
          <w:color w:val="auto"/>
          <w:sz w:val="34"/>
          <w:szCs w:val="34"/>
        </w:rPr>
      </w:pPr>
      <w:r>
        <w:rPr>
          <w:rFonts w:hint="eastAsia" w:ascii="楷体" w:hAnsi="楷体" w:eastAsia="楷体" w:cs="楷体"/>
          <w:color w:val="auto"/>
          <w:sz w:val="34"/>
          <w:szCs w:val="34"/>
        </w:rPr>
        <w:t>盘锦市兴隆台区统计局</w:t>
      </w:r>
    </w:p>
    <w:p>
      <w:pPr>
        <w:spacing w:line="360" w:lineRule="auto"/>
        <w:jc w:val="center"/>
        <w:rPr>
          <w:rFonts w:ascii="楷体" w:hAnsi="楷体" w:eastAsia="楷体" w:cs="楷体"/>
          <w:color w:val="auto"/>
          <w:sz w:val="34"/>
          <w:szCs w:val="34"/>
        </w:rPr>
      </w:pPr>
      <w:r>
        <w:rPr>
          <w:rFonts w:hint="eastAsia" w:ascii="楷体" w:hAnsi="楷体" w:eastAsia="楷体" w:cs="楷体"/>
          <w:color w:val="auto"/>
          <w:sz w:val="34"/>
          <w:szCs w:val="34"/>
        </w:rPr>
        <w:t>（202</w:t>
      </w:r>
      <w:r>
        <w:rPr>
          <w:rFonts w:hint="eastAsia" w:ascii="楷体" w:hAnsi="楷体" w:eastAsia="楷体" w:cs="楷体"/>
          <w:color w:val="auto"/>
          <w:sz w:val="34"/>
          <w:szCs w:val="34"/>
          <w:lang w:val="en-US" w:eastAsia="zh-CN"/>
        </w:rPr>
        <w:t>1</w:t>
      </w:r>
      <w:r>
        <w:rPr>
          <w:rFonts w:hint="eastAsia" w:ascii="楷体" w:hAnsi="楷体" w:eastAsia="楷体" w:cs="楷体"/>
          <w:color w:val="auto"/>
          <w:sz w:val="34"/>
          <w:szCs w:val="34"/>
        </w:rPr>
        <w:t>年3月1</w:t>
      </w:r>
      <w:r>
        <w:rPr>
          <w:rFonts w:hint="eastAsia" w:ascii="楷体" w:hAnsi="楷体" w:eastAsia="楷体" w:cs="楷体"/>
          <w:color w:val="auto"/>
          <w:sz w:val="34"/>
          <w:szCs w:val="34"/>
          <w:lang w:val="en-US" w:eastAsia="zh-CN"/>
        </w:rPr>
        <w:t>2</w:t>
      </w:r>
      <w:r>
        <w:rPr>
          <w:rFonts w:hint="eastAsia" w:ascii="楷体" w:hAnsi="楷体" w:eastAsia="楷体" w:cs="楷体"/>
          <w:color w:val="auto"/>
          <w:sz w:val="34"/>
          <w:szCs w:val="34"/>
        </w:rPr>
        <w:t>日）</w:t>
      </w:r>
    </w:p>
    <w:p>
      <w:pPr>
        <w:spacing w:line="360" w:lineRule="auto"/>
        <w:jc w:val="center"/>
        <w:rPr>
          <w:rFonts w:asciiTheme="minorEastAsia" w:hAnsiTheme="minorEastAsia" w:eastAsiaTheme="minorEastAsia"/>
          <w:color w:val="auto"/>
          <w:sz w:val="24"/>
          <w:szCs w:val="24"/>
        </w:rPr>
      </w:pPr>
    </w:p>
    <w:p>
      <w:pPr>
        <w:spacing w:line="360" w:lineRule="auto"/>
        <w:ind w:firstLine="680" w:firstLineChars="20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根据年快报统计</w:t>
      </w:r>
      <w:r>
        <w:rPr>
          <w:rFonts w:hint="eastAsia" w:ascii="仿宋_GB2312" w:hAnsi="仿宋_GB2312" w:eastAsia="仿宋_GB2312" w:cs="仿宋_GB2312"/>
          <w:color w:val="auto"/>
          <w:sz w:val="34"/>
          <w:szCs w:val="34"/>
          <w:vertAlign w:val="superscript"/>
        </w:rPr>
        <w:t>[1]</w:t>
      </w:r>
      <w:r>
        <w:rPr>
          <w:rFonts w:hint="eastAsia" w:ascii="仿宋_GB2312" w:hAnsi="仿宋_GB2312" w:eastAsia="仿宋_GB2312" w:cs="仿宋_GB2312"/>
          <w:color w:val="auto"/>
          <w:sz w:val="34"/>
          <w:szCs w:val="34"/>
        </w:rPr>
        <w:t>，现将20</w:t>
      </w:r>
      <w:r>
        <w:rPr>
          <w:rFonts w:hint="eastAsia" w:ascii="仿宋_GB2312" w:hAnsi="仿宋_GB2312" w:eastAsia="仿宋_GB2312" w:cs="仿宋_GB2312"/>
          <w:color w:val="auto"/>
          <w:sz w:val="34"/>
          <w:szCs w:val="34"/>
          <w:lang w:val="en-US" w:eastAsia="zh-CN"/>
        </w:rPr>
        <w:t>20</w:t>
      </w:r>
      <w:r>
        <w:rPr>
          <w:rFonts w:hint="eastAsia" w:ascii="仿宋_GB2312" w:hAnsi="仿宋_GB2312" w:eastAsia="仿宋_GB2312" w:cs="仿宋_GB2312"/>
          <w:color w:val="auto"/>
          <w:sz w:val="34"/>
          <w:szCs w:val="34"/>
        </w:rPr>
        <w:t>年全区国民经济和社会发展情况公报如下：</w:t>
      </w:r>
    </w:p>
    <w:p>
      <w:pPr>
        <w:widowControl/>
        <w:shd w:val="clear" w:color="auto" w:fill="FFFFFF"/>
        <w:spacing w:line="600" w:lineRule="atLeast"/>
        <w:ind w:firstLine="68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20</w:t>
      </w:r>
      <w:r>
        <w:rPr>
          <w:rFonts w:hint="eastAsia" w:ascii="仿宋_GB2312" w:hAnsi="仿宋_GB2312" w:eastAsia="仿宋_GB2312" w:cs="仿宋_GB2312"/>
          <w:color w:val="auto"/>
          <w:sz w:val="34"/>
          <w:szCs w:val="34"/>
          <w:lang w:val="en-US" w:eastAsia="zh-CN"/>
        </w:rPr>
        <w:t>20</w:t>
      </w:r>
      <w:r>
        <w:rPr>
          <w:rFonts w:hint="eastAsia" w:ascii="仿宋_GB2312" w:hAnsi="仿宋_GB2312" w:eastAsia="仿宋_GB2312" w:cs="仿宋_GB2312"/>
          <w:color w:val="auto"/>
          <w:sz w:val="34"/>
          <w:szCs w:val="34"/>
        </w:rPr>
        <w:t>年，</w:t>
      </w:r>
      <w:r>
        <w:rPr>
          <w:rFonts w:hint="eastAsia" w:ascii="仿宋" w:hAnsi="仿宋" w:eastAsia="仿宋" w:cs="Times New Roman"/>
          <w:color w:val="auto"/>
          <w:kern w:val="0"/>
          <w:sz w:val="34"/>
          <w:szCs w:val="34"/>
        </w:rPr>
        <w:t>是全面建成小康社会和“十三五”规划收官之年，面对突如其来的新冠肺炎疫情和经济下行压力，在</w:t>
      </w:r>
      <w:r>
        <w:rPr>
          <w:rFonts w:hint="eastAsia" w:ascii="仿宋" w:hAnsi="仿宋" w:eastAsia="仿宋" w:cs="Times New Roman"/>
          <w:color w:val="auto"/>
          <w:kern w:val="0"/>
          <w:sz w:val="34"/>
          <w:szCs w:val="34"/>
          <w:lang w:val="en-US" w:eastAsia="zh-CN"/>
        </w:rPr>
        <w:t>区委区政府的</w:t>
      </w:r>
      <w:r>
        <w:rPr>
          <w:rFonts w:hint="eastAsia" w:ascii="仿宋" w:hAnsi="仿宋" w:eastAsia="仿宋" w:cs="Times New Roman"/>
          <w:color w:val="auto"/>
          <w:kern w:val="0"/>
          <w:sz w:val="34"/>
          <w:szCs w:val="34"/>
        </w:rPr>
        <w:t>坚强领导下，</w:t>
      </w:r>
      <w:r>
        <w:rPr>
          <w:rFonts w:hint="eastAsia" w:ascii="仿宋" w:hAnsi="仿宋" w:eastAsia="仿宋" w:cs="Times New Roman"/>
          <w:color w:val="auto"/>
          <w:kern w:val="0"/>
          <w:sz w:val="34"/>
          <w:szCs w:val="34"/>
          <w:lang w:val="en-US" w:eastAsia="zh-CN"/>
        </w:rPr>
        <w:t>全区上下</w:t>
      </w:r>
      <w:r>
        <w:rPr>
          <w:rFonts w:hint="eastAsia" w:ascii="仿宋" w:hAnsi="仿宋" w:eastAsia="仿宋" w:cs="Times New Roman"/>
          <w:color w:val="auto"/>
          <w:kern w:val="0"/>
          <w:sz w:val="34"/>
          <w:szCs w:val="34"/>
        </w:rPr>
        <w:t>坚持以习近平新时代中国特色社会主义思想为指导，认真落实党的十九大和十九届二中、三中、四中、五中全会精神，统筹推进新冠肺炎疫情防控和经济社会发展，扎实做好“六稳、六保”工作、全面落实“四争四抓”任务，保持了经济运行在合理区间和民生事业的稳定发展，三大攻坚战取得成就，小康社会全面提升，“十三五”实现圆满收官。</w:t>
      </w:r>
    </w:p>
    <w:p>
      <w:pPr>
        <w:spacing w:line="360" w:lineRule="auto"/>
        <w:ind w:firstLine="680" w:firstLineChars="200"/>
        <w:rPr>
          <w:rFonts w:ascii="黑体" w:hAnsi="黑体" w:eastAsia="黑体" w:cs="黑体"/>
          <w:bCs/>
          <w:color w:val="auto"/>
          <w:sz w:val="34"/>
          <w:szCs w:val="34"/>
        </w:rPr>
      </w:pPr>
      <w:r>
        <w:rPr>
          <w:rFonts w:hint="eastAsia" w:ascii="黑体" w:hAnsi="黑体" w:eastAsia="黑体" w:cs="黑体"/>
          <w:bCs/>
          <w:color w:val="auto"/>
          <w:sz w:val="34"/>
          <w:szCs w:val="34"/>
        </w:rPr>
        <w:t>一、经济总量</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初步核算，全年地区生产总值</w:t>
      </w:r>
      <w:r>
        <w:rPr>
          <w:rFonts w:hint="eastAsia" w:ascii="仿宋_GB2312" w:hAnsi="仿宋_GB2312" w:eastAsia="仿宋_GB2312" w:cs="仿宋_GB2312"/>
          <w:color w:val="auto"/>
          <w:sz w:val="34"/>
          <w:szCs w:val="34"/>
          <w:vertAlign w:val="superscript"/>
        </w:rPr>
        <w:t>[2]</w:t>
      </w:r>
      <w:r>
        <w:rPr>
          <w:rFonts w:hint="eastAsia" w:ascii="仿宋_GB2312" w:hAnsi="仿宋_GB2312" w:eastAsia="仿宋_GB2312" w:cs="仿宋_GB2312"/>
          <w:color w:val="auto"/>
          <w:sz w:val="34"/>
          <w:szCs w:val="34"/>
          <w:vertAlign w:val="baseline"/>
          <w:lang w:val="en-US" w:eastAsia="zh-CN"/>
        </w:rPr>
        <w:t>360.3</w:t>
      </w:r>
      <w:r>
        <w:rPr>
          <w:rFonts w:hint="eastAsia" w:ascii="仿宋_GB2312" w:hAnsi="仿宋_GB2312" w:eastAsia="仿宋_GB2312" w:cs="仿宋_GB2312"/>
          <w:color w:val="auto"/>
          <w:sz w:val="34"/>
          <w:szCs w:val="34"/>
        </w:rPr>
        <w:t>亿元，按可比价格计算,比上年增长</w:t>
      </w:r>
      <w:r>
        <w:rPr>
          <w:rFonts w:hint="eastAsia" w:ascii="仿宋_GB2312" w:hAnsi="仿宋_GB2312" w:eastAsia="仿宋_GB2312" w:cs="仿宋_GB2312"/>
          <w:color w:val="auto"/>
          <w:sz w:val="34"/>
          <w:szCs w:val="34"/>
          <w:lang w:val="en-US" w:eastAsia="zh-CN"/>
        </w:rPr>
        <w:t>0.3</w:t>
      </w:r>
      <w:r>
        <w:rPr>
          <w:rFonts w:hint="eastAsia" w:ascii="仿宋_GB2312" w:hAnsi="仿宋_GB2312" w:eastAsia="仿宋_GB2312" w:cs="仿宋_GB2312"/>
          <w:color w:val="auto"/>
          <w:sz w:val="34"/>
          <w:szCs w:val="34"/>
        </w:rPr>
        <w:t>%。其中,第一产业增加值2.</w:t>
      </w:r>
      <w:r>
        <w:rPr>
          <w:rFonts w:hint="eastAsia" w:ascii="仿宋_GB2312" w:hAnsi="仿宋_GB2312" w:eastAsia="仿宋_GB2312" w:cs="仿宋_GB2312"/>
          <w:color w:val="auto"/>
          <w:sz w:val="34"/>
          <w:szCs w:val="34"/>
          <w:lang w:val="en-US" w:eastAsia="zh-CN"/>
        </w:rPr>
        <w:t>3</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0.3</w:t>
      </w:r>
      <w:r>
        <w:rPr>
          <w:rFonts w:hint="eastAsia" w:ascii="仿宋_GB2312" w:hAnsi="仿宋_GB2312" w:eastAsia="仿宋_GB2312" w:cs="仿宋_GB2312"/>
          <w:color w:val="auto"/>
          <w:sz w:val="34"/>
          <w:szCs w:val="34"/>
        </w:rPr>
        <w:t>%；第二产业增加值</w:t>
      </w:r>
      <w:r>
        <w:rPr>
          <w:rFonts w:hint="eastAsia" w:ascii="仿宋_GB2312" w:hAnsi="仿宋_GB2312" w:eastAsia="仿宋_GB2312" w:cs="仿宋_GB2312"/>
          <w:color w:val="auto"/>
          <w:sz w:val="34"/>
          <w:szCs w:val="34"/>
          <w:lang w:val="en-US" w:eastAsia="zh-CN"/>
        </w:rPr>
        <w:t>131.5</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2.6</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kern w:val="0"/>
          <w:sz w:val="34"/>
          <w:szCs w:val="34"/>
        </w:rPr>
        <w:t>第三产业</w:t>
      </w:r>
      <w:r>
        <w:rPr>
          <w:rFonts w:hint="eastAsia" w:ascii="仿宋_GB2312" w:hAnsi="仿宋_GB2312" w:eastAsia="仿宋_GB2312" w:cs="仿宋_GB2312"/>
          <w:color w:val="auto"/>
          <w:sz w:val="34"/>
          <w:szCs w:val="34"/>
        </w:rPr>
        <w:t>增加值</w:t>
      </w:r>
      <w:r>
        <w:rPr>
          <w:rFonts w:hint="eastAsia" w:ascii="仿宋_GB2312" w:hAnsi="仿宋_GB2312" w:eastAsia="仿宋_GB2312" w:cs="仿宋_GB2312"/>
          <w:color w:val="auto"/>
          <w:sz w:val="34"/>
          <w:szCs w:val="34"/>
          <w:lang w:val="en-US" w:eastAsia="zh-CN"/>
        </w:rPr>
        <w:t>226.5</w:t>
      </w:r>
      <w:r>
        <w:rPr>
          <w:rFonts w:hint="eastAsia" w:ascii="仿宋_GB2312" w:hAnsi="仿宋_GB2312" w:eastAsia="仿宋_GB2312" w:cs="仿宋_GB2312"/>
          <w:color w:val="auto"/>
          <w:sz w:val="34"/>
          <w:szCs w:val="34"/>
        </w:rPr>
        <w:t>亿元，</w:t>
      </w:r>
      <w:r>
        <w:rPr>
          <w:rFonts w:hint="eastAsia" w:ascii="仿宋_GB2312" w:hAnsi="仿宋_GB2312" w:eastAsia="仿宋_GB2312" w:cs="仿宋_GB2312"/>
          <w:color w:val="auto"/>
          <w:sz w:val="34"/>
          <w:szCs w:val="34"/>
          <w:lang w:val="en-US" w:eastAsia="zh-CN"/>
        </w:rPr>
        <w:t>下降1.0</w:t>
      </w:r>
      <w:r>
        <w:rPr>
          <w:rFonts w:hint="eastAsia" w:ascii="仿宋_GB2312" w:hAnsi="仿宋_GB2312" w:eastAsia="仿宋_GB2312" w:cs="仿宋_GB2312"/>
          <w:color w:val="auto"/>
          <w:sz w:val="34"/>
          <w:szCs w:val="34"/>
        </w:rPr>
        <w:t>%。三次产业增加值占地区生产总值的比重为0.6：</w:t>
      </w:r>
      <w:r>
        <w:rPr>
          <w:rFonts w:hint="eastAsia" w:ascii="仿宋_GB2312" w:hAnsi="仿宋_GB2312" w:eastAsia="仿宋_GB2312" w:cs="仿宋_GB2312"/>
          <w:color w:val="auto"/>
          <w:sz w:val="34"/>
          <w:szCs w:val="34"/>
          <w:lang w:val="en-US" w:eastAsia="zh-CN"/>
        </w:rPr>
        <w:t>36.5</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val="en-US" w:eastAsia="zh-CN"/>
        </w:rPr>
        <w:t>62.9</w:t>
      </w:r>
      <w:r>
        <w:rPr>
          <w:rFonts w:hint="eastAsia" w:ascii="仿宋_GB2312" w:hAnsi="仿宋_GB2312" w:eastAsia="仿宋_GB2312" w:cs="仿宋_GB2312"/>
          <w:color w:val="auto"/>
          <w:sz w:val="34"/>
          <w:szCs w:val="34"/>
        </w:rPr>
        <w:t>。</w:t>
      </w:r>
    </w:p>
    <w:p>
      <w:pPr>
        <w:spacing w:line="360" w:lineRule="auto"/>
        <w:ind w:firstLine="666" w:firstLineChars="196"/>
        <w:rPr>
          <w:rFonts w:ascii="黑体" w:hAnsi="黑体" w:eastAsia="黑体" w:cs="黑体"/>
          <w:b w:val="0"/>
          <w:bCs/>
          <w:color w:val="auto"/>
          <w:sz w:val="34"/>
          <w:szCs w:val="34"/>
        </w:rPr>
      </w:pPr>
      <w:r>
        <w:rPr>
          <w:rFonts w:hint="eastAsia" w:ascii="黑体" w:hAnsi="黑体" w:eastAsia="黑体" w:cs="黑体"/>
          <w:b w:val="0"/>
          <w:bCs/>
          <w:color w:val="auto"/>
          <w:sz w:val="34"/>
          <w:szCs w:val="34"/>
        </w:rPr>
        <w:t>二、农、林、牧、渔业</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全年农林牧渔业</w:t>
      </w:r>
      <w:r>
        <w:rPr>
          <w:rFonts w:hint="eastAsia" w:ascii="仿宋_GB2312" w:hAnsi="仿宋_GB2312" w:eastAsia="仿宋_GB2312" w:cs="仿宋_GB2312"/>
          <w:color w:val="auto"/>
          <w:sz w:val="34"/>
          <w:szCs w:val="34"/>
          <w:lang w:eastAsia="zh-CN"/>
        </w:rPr>
        <w:t>总产</w:t>
      </w:r>
      <w:r>
        <w:rPr>
          <w:rFonts w:hint="eastAsia" w:ascii="仿宋_GB2312" w:hAnsi="仿宋_GB2312" w:eastAsia="仿宋_GB2312" w:cs="仿宋_GB2312"/>
          <w:color w:val="auto"/>
          <w:sz w:val="34"/>
          <w:szCs w:val="34"/>
        </w:rPr>
        <w:t>值</w:t>
      </w:r>
      <w:r>
        <w:rPr>
          <w:rFonts w:hint="eastAsia" w:ascii="仿宋_GB2312" w:hAnsi="仿宋_GB2312" w:eastAsia="仿宋_GB2312" w:cs="仿宋_GB2312"/>
          <w:color w:val="auto"/>
          <w:sz w:val="34"/>
          <w:szCs w:val="34"/>
          <w:lang w:val="en-US" w:eastAsia="zh-CN"/>
        </w:rPr>
        <w:t>4.2</w:t>
      </w:r>
      <w:r>
        <w:rPr>
          <w:rFonts w:hint="eastAsia" w:ascii="仿宋_GB2312" w:hAnsi="仿宋_GB2312" w:eastAsia="仿宋_GB2312" w:cs="仿宋_GB2312"/>
          <w:color w:val="auto"/>
          <w:sz w:val="34"/>
          <w:szCs w:val="34"/>
        </w:rPr>
        <w:t>亿元，按可比价格计算，比上年增长</w:t>
      </w:r>
      <w:r>
        <w:rPr>
          <w:rFonts w:hint="eastAsia" w:ascii="仿宋_GB2312" w:hAnsi="仿宋_GB2312" w:eastAsia="仿宋_GB2312" w:cs="仿宋_GB2312"/>
          <w:color w:val="auto"/>
          <w:sz w:val="34"/>
          <w:szCs w:val="34"/>
          <w:lang w:val="en-US" w:eastAsia="zh-CN"/>
        </w:rPr>
        <w:t>0.3</w:t>
      </w:r>
      <w:r>
        <w:rPr>
          <w:rFonts w:hint="eastAsia" w:ascii="仿宋_GB2312" w:hAnsi="仿宋_GB2312" w:eastAsia="仿宋_GB2312" w:cs="仿宋_GB2312"/>
          <w:color w:val="auto"/>
          <w:sz w:val="34"/>
          <w:szCs w:val="34"/>
        </w:rPr>
        <w:t>%。其中，农业</w:t>
      </w:r>
      <w:r>
        <w:rPr>
          <w:rFonts w:hint="eastAsia" w:ascii="仿宋_GB2312" w:hAnsi="仿宋_GB2312" w:eastAsia="仿宋_GB2312" w:cs="仿宋_GB2312"/>
          <w:color w:val="auto"/>
          <w:sz w:val="34"/>
          <w:szCs w:val="34"/>
          <w:lang w:eastAsia="zh-CN"/>
        </w:rPr>
        <w:t>产值</w:t>
      </w:r>
      <w:r>
        <w:rPr>
          <w:rFonts w:hint="eastAsia" w:ascii="仿宋_GB2312" w:hAnsi="仿宋_GB2312" w:eastAsia="仿宋_GB2312" w:cs="仿宋_GB2312"/>
          <w:color w:val="auto"/>
          <w:sz w:val="34"/>
          <w:szCs w:val="34"/>
          <w:lang w:val="en-US" w:eastAsia="zh-CN"/>
        </w:rPr>
        <w:t>2.4</w:t>
      </w:r>
      <w:r>
        <w:rPr>
          <w:rFonts w:hint="eastAsia" w:ascii="仿宋_GB2312" w:hAnsi="仿宋_GB2312" w:eastAsia="仿宋_GB2312" w:cs="仿宋_GB2312"/>
          <w:color w:val="auto"/>
          <w:sz w:val="34"/>
          <w:szCs w:val="34"/>
        </w:rPr>
        <w:t>亿元，牧业</w:t>
      </w:r>
      <w:r>
        <w:rPr>
          <w:rFonts w:hint="eastAsia" w:ascii="仿宋_GB2312" w:hAnsi="仿宋_GB2312" w:eastAsia="仿宋_GB2312" w:cs="仿宋_GB2312"/>
          <w:color w:val="auto"/>
          <w:sz w:val="34"/>
          <w:szCs w:val="34"/>
          <w:lang w:eastAsia="zh-CN"/>
        </w:rPr>
        <w:t>产值</w:t>
      </w:r>
      <w:r>
        <w:rPr>
          <w:rFonts w:hint="eastAsia" w:ascii="仿宋_GB2312" w:hAnsi="仿宋_GB2312" w:eastAsia="仿宋_GB2312" w:cs="仿宋_GB2312"/>
          <w:color w:val="auto"/>
          <w:sz w:val="34"/>
          <w:szCs w:val="34"/>
          <w:lang w:val="en-US" w:eastAsia="zh-CN"/>
        </w:rPr>
        <w:t xml:space="preserve"> 1.2</w:t>
      </w:r>
      <w:r>
        <w:rPr>
          <w:rFonts w:hint="eastAsia" w:ascii="仿宋_GB2312" w:hAnsi="仿宋_GB2312" w:eastAsia="仿宋_GB2312" w:cs="仿宋_GB2312"/>
          <w:color w:val="auto"/>
          <w:sz w:val="34"/>
          <w:szCs w:val="34"/>
        </w:rPr>
        <w:t>亿元，渔业</w:t>
      </w:r>
      <w:r>
        <w:rPr>
          <w:rFonts w:hint="eastAsia" w:ascii="仿宋_GB2312" w:hAnsi="仿宋_GB2312" w:eastAsia="仿宋_GB2312" w:cs="仿宋_GB2312"/>
          <w:color w:val="auto"/>
          <w:sz w:val="34"/>
          <w:szCs w:val="34"/>
          <w:lang w:val="en-US" w:eastAsia="zh-CN"/>
        </w:rPr>
        <w:t>产值0.5</w:t>
      </w:r>
      <w:r>
        <w:rPr>
          <w:rFonts w:hint="eastAsia" w:ascii="仿宋_GB2312" w:hAnsi="仿宋_GB2312" w:eastAsia="仿宋_GB2312" w:cs="仿宋_GB2312"/>
          <w:color w:val="auto"/>
          <w:sz w:val="34"/>
          <w:szCs w:val="34"/>
        </w:rPr>
        <w:t>亿元</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农林牧渔业</w:t>
      </w:r>
      <w:r>
        <w:rPr>
          <w:rFonts w:hint="eastAsia" w:ascii="仿宋_GB2312" w:hAnsi="仿宋_GB2312" w:eastAsia="仿宋_GB2312" w:cs="仿宋_GB2312"/>
          <w:color w:val="auto"/>
          <w:sz w:val="34"/>
          <w:szCs w:val="34"/>
          <w:lang w:eastAsia="zh-CN"/>
        </w:rPr>
        <w:t>服务业产值</w:t>
      </w:r>
      <w:r>
        <w:rPr>
          <w:rFonts w:hint="eastAsia" w:ascii="仿宋_GB2312" w:hAnsi="仿宋_GB2312" w:eastAsia="仿宋_GB2312" w:cs="仿宋_GB2312"/>
          <w:color w:val="auto"/>
          <w:sz w:val="34"/>
          <w:szCs w:val="34"/>
          <w:lang w:val="en-US" w:eastAsia="zh-CN"/>
        </w:rPr>
        <w:t>0.1亿元</w:t>
      </w:r>
      <w:r>
        <w:rPr>
          <w:rFonts w:hint="eastAsia" w:ascii="仿宋_GB2312" w:hAnsi="仿宋_GB2312" w:eastAsia="仿宋_GB2312" w:cs="仿宋_GB2312"/>
          <w:color w:val="auto"/>
          <w:sz w:val="34"/>
          <w:szCs w:val="34"/>
        </w:rPr>
        <w:t>。</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全年粮食作物播种面积6</w:t>
      </w:r>
      <w:r>
        <w:rPr>
          <w:rFonts w:hint="eastAsia" w:ascii="仿宋_GB2312" w:hAnsi="仿宋_GB2312" w:eastAsia="仿宋_GB2312" w:cs="仿宋_GB2312"/>
          <w:color w:val="auto"/>
          <w:sz w:val="34"/>
          <w:szCs w:val="34"/>
          <w:lang w:val="en-US" w:eastAsia="zh-CN"/>
        </w:rPr>
        <w:t>358</w:t>
      </w:r>
      <w:r>
        <w:rPr>
          <w:rFonts w:hint="eastAsia" w:ascii="仿宋_GB2312" w:hAnsi="仿宋_GB2312" w:eastAsia="仿宋_GB2312" w:cs="仿宋_GB2312"/>
          <w:color w:val="auto"/>
          <w:sz w:val="34"/>
          <w:szCs w:val="34"/>
        </w:rPr>
        <w:t>公顷</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其中</w:t>
      </w:r>
      <w:r>
        <w:rPr>
          <w:rFonts w:hint="eastAsia" w:ascii="仿宋_GB2312" w:hAnsi="仿宋_GB2312" w:eastAsia="仿宋_GB2312" w:cs="仿宋_GB2312"/>
          <w:color w:val="auto"/>
          <w:sz w:val="34"/>
          <w:szCs w:val="34"/>
        </w:rPr>
        <w:t>水稻播种面积6</w:t>
      </w:r>
      <w:r>
        <w:rPr>
          <w:rFonts w:hint="eastAsia" w:ascii="仿宋_GB2312" w:hAnsi="仿宋_GB2312" w:eastAsia="仿宋_GB2312" w:cs="仿宋_GB2312"/>
          <w:color w:val="auto"/>
          <w:sz w:val="34"/>
          <w:szCs w:val="34"/>
          <w:lang w:val="en-US" w:eastAsia="zh-CN"/>
        </w:rPr>
        <w:t>343</w:t>
      </w:r>
      <w:r>
        <w:rPr>
          <w:rFonts w:hint="eastAsia" w:ascii="仿宋_GB2312" w:hAnsi="仿宋_GB2312" w:eastAsia="仿宋_GB2312" w:cs="仿宋_GB2312"/>
          <w:color w:val="auto"/>
          <w:sz w:val="34"/>
          <w:szCs w:val="34"/>
        </w:rPr>
        <w:t>公顷。在非粮食作物中，蔬菜播种面积</w:t>
      </w:r>
      <w:r>
        <w:rPr>
          <w:rFonts w:hint="eastAsia" w:ascii="仿宋_GB2312" w:hAnsi="仿宋_GB2312" w:eastAsia="仿宋_GB2312" w:cs="仿宋_GB2312"/>
          <w:color w:val="auto"/>
          <w:sz w:val="34"/>
          <w:szCs w:val="34"/>
          <w:lang w:val="en-US" w:eastAsia="zh-CN"/>
        </w:rPr>
        <w:t>37.4</w:t>
      </w:r>
      <w:r>
        <w:rPr>
          <w:rFonts w:hint="eastAsia" w:ascii="仿宋_GB2312" w:hAnsi="仿宋_GB2312" w:eastAsia="仿宋_GB2312" w:cs="仿宋_GB2312"/>
          <w:color w:val="auto"/>
          <w:sz w:val="34"/>
          <w:szCs w:val="34"/>
        </w:rPr>
        <w:t>公顷。</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全年粮食作物产量</w:t>
      </w:r>
      <w:r>
        <w:rPr>
          <w:rFonts w:hint="eastAsia" w:ascii="仿宋_GB2312" w:hAnsi="仿宋_GB2312" w:eastAsia="仿宋_GB2312" w:cs="仿宋_GB2312"/>
          <w:color w:val="auto"/>
          <w:sz w:val="34"/>
          <w:szCs w:val="34"/>
          <w:lang w:val="en-US" w:eastAsia="zh-CN"/>
        </w:rPr>
        <w:t>59042</w:t>
      </w:r>
      <w:r>
        <w:rPr>
          <w:rFonts w:hint="eastAsia" w:ascii="仿宋_GB2312" w:hAnsi="仿宋_GB2312" w:eastAsia="仿宋_GB2312" w:cs="仿宋_GB2312"/>
          <w:color w:val="auto"/>
          <w:sz w:val="34"/>
          <w:szCs w:val="34"/>
        </w:rPr>
        <w:t>吨，其中水稻产量</w:t>
      </w:r>
      <w:r>
        <w:rPr>
          <w:rFonts w:hint="eastAsia" w:ascii="仿宋_GB2312" w:hAnsi="仿宋_GB2312" w:eastAsia="仿宋_GB2312" w:cs="仿宋_GB2312"/>
          <w:color w:val="auto"/>
          <w:sz w:val="34"/>
          <w:szCs w:val="34"/>
          <w:lang w:val="en-US" w:eastAsia="zh-CN"/>
        </w:rPr>
        <w:t>59005</w:t>
      </w:r>
      <w:r>
        <w:rPr>
          <w:rFonts w:hint="eastAsia" w:ascii="仿宋_GB2312" w:hAnsi="仿宋_GB2312" w:eastAsia="仿宋_GB2312" w:cs="仿宋_GB2312"/>
          <w:color w:val="auto"/>
          <w:sz w:val="34"/>
          <w:szCs w:val="34"/>
        </w:rPr>
        <w:t>吨。全年蔬菜产量</w:t>
      </w:r>
      <w:r>
        <w:rPr>
          <w:rFonts w:hint="eastAsia" w:ascii="仿宋_GB2312" w:hAnsi="仿宋_GB2312" w:eastAsia="仿宋_GB2312" w:cs="仿宋_GB2312"/>
          <w:color w:val="auto"/>
          <w:sz w:val="34"/>
          <w:szCs w:val="34"/>
          <w:lang w:val="en-US" w:eastAsia="zh-CN"/>
        </w:rPr>
        <w:t>2278</w:t>
      </w:r>
      <w:r>
        <w:rPr>
          <w:rFonts w:hint="eastAsia" w:ascii="仿宋_GB2312" w:hAnsi="仿宋_GB2312" w:eastAsia="仿宋_GB2312" w:cs="仿宋_GB2312"/>
          <w:color w:val="auto"/>
          <w:sz w:val="34"/>
          <w:szCs w:val="34"/>
        </w:rPr>
        <w:t>吨，水果产量</w:t>
      </w:r>
      <w:r>
        <w:rPr>
          <w:rFonts w:hint="eastAsia" w:ascii="仿宋_GB2312" w:hAnsi="仿宋_GB2312" w:eastAsia="仿宋_GB2312" w:cs="仿宋_GB2312"/>
          <w:color w:val="auto"/>
          <w:sz w:val="34"/>
          <w:szCs w:val="34"/>
          <w:lang w:val="en-US" w:eastAsia="zh-CN"/>
        </w:rPr>
        <w:t>13.9</w:t>
      </w:r>
      <w:r>
        <w:rPr>
          <w:rFonts w:hint="eastAsia" w:ascii="仿宋_GB2312" w:hAnsi="仿宋_GB2312" w:eastAsia="仿宋_GB2312" w:cs="仿宋_GB2312"/>
          <w:color w:val="auto"/>
          <w:sz w:val="34"/>
          <w:szCs w:val="34"/>
        </w:rPr>
        <w:t>吨。全年肉类总产量</w:t>
      </w:r>
      <w:r>
        <w:rPr>
          <w:rFonts w:hint="eastAsia" w:ascii="仿宋_GB2312" w:hAnsi="仿宋_GB2312" w:eastAsia="仿宋_GB2312" w:cs="仿宋_GB2312"/>
          <w:color w:val="auto"/>
          <w:sz w:val="34"/>
          <w:szCs w:val="34"/>
          <w:lang w:val="en-US" w:eastAsia="zh-CN"/>
        </w:rPr>
        <w:t>2420</w:t>
      </w:r>
      <w:r>
        <w:rPr>
          <w:rFonts w:hint="eastAsia" w:ascii="仿宋_GB2312" w:hAnsi="仿宋_GB2312" w:eastAsia="仿宋_GB2312" w:cs="仿宋_GB2312"/>
          <w:color w:val="auto"/>
          <w:sz w:val="34"/>
          <w:szCs w:val="34"/>
        </w:rPr>
        <w:t>吨，其中猪肉产量</w:t>
      </w:r>
      <w:r>
        <w:rPr>
          <w:rFonts w:hint="eastAsia" w:ascii="仿宋_GB2312" w:hAnsi="仿宋_GB2312" w:eastAsia="仿宋_GB2312" w:cs="仿宋_GB2312"/>
          <w:color w:val="auto"/>
          <w:sz w:val="34"/>
          <w:szCs w:val="34"/>
          <w:lang w:val="en-US" w:eastAsia="zh-CN"/>
        </w:rPr>
        <w:t>902</w:t>
      </w:r>
      <w:r>
        <w:rPr>
          <w:rFonts w:hint="eastAsia" w:ascii="仿宋_GB2312" w:hAnsi="仿宋_GB2312" w:eastAsia="仿宋_GB2312" w:cs="仿宋_GB2312"/>
          <w:color w:val="auto"/>
          <w:sz w:val="34"/>
          <w:szCs w:val="34"/>
        </w:rPr>
        <w:t>吨，禽肉产量</w:t>
      </w:r>
      <w:r>
        <w:rPr>
          <w:rFonts w:hint="eastAsia" w:ascii="仿宋_GB2312" w:hAnsi="仿宋_GB2312" w:eastAsia="仿宋_GB2312" w:cs="仿宋_GB2312"/>
          <w:color w:val="auto"/>
          <w:sz w:val="34"/>
          <w:szCs w:val="34"/>
          <w:lang w:val="en-US" w:eastAsia="zh-CN"/>
        </w:rPr>
        <w:t>1458</w:t>
      </w:r>
      <w:r>
        <w:rPr>
          <w:rFonts w:hint="eastAsia" w:ascii="仿宋_GB2312" w:hAnsi="仿宋_GB2312" w:eastAsia="仿宋_GB2312" w:cs="仿宋_GB2312"/>
          <w:color w:val="auto"/>
          <w:sz w:val="34"/>
          <w:szCs w:val="34"/>
        </w:rPr>
        <w:t>吨。全年禽蛋产量</w:t>
      </w:r>
      <w:r>
        <w:rPr>
          <w:rFonts w:hint="eastAsia" w:ascii="仿宋_GB2312" w:hAnsi="仿宋_GB2312" w:eastAsia="仿宋_GB2312" w:cs="仿宋_GB2312"/>
          <w:color w:val="auto"/>
          <w:sz w:val="34"/>
          <w:szCs w:val="34"/>
          <w:lang w:val="en-US" w:eastAsia="zh-CN"/>
        </w:rPr>
        <w:t>827</w:t>
      </w:r>
      <w:r>
        <w:rPr>
          <w:rFonts w:hint="eastAsia" w:ascii="仿宋_GB2312" w:hAnsi="仿宋_GB2312" w:eastAsia="仿宋_GB2312" w:cs="仿宋_GB2312"/>
          <w:color w:val="auto"/>
          <w:sz w:val="34"/>
          <w:szCs w:val="34"/>
        </w:rPr>
        <w:t>吨。生猪出栏</w:t>
      </w:r>
      <w:r>
        <w:rPr>
          <w:rFonts w:hint="eastAsia" w:ascii="仿宋_GB2312" w:hAnsi="仿宋_GB2312" w:eastAsia="仿宋_GB2312" w:cs="仿宋_GB2312"/>
          <w:color w:val="auto"/>
          <w:sz w:val="34"/>
          <w:szCs w:val="34"/>
          <w:lang w:val="en-US" w:eastAsia="zh-CN"/>
        </w:rPr>
        <w:t>10887</w:t>
      </w:r>
      <w:r>
        <w:rPr>
          <w:rFonts w:hint="eastAsia" w:ascii="仿宋_GB2312" w:hAnsi="仿宋_GB2312" w:eastAsia="仿宋_GB2312" w:cs="仿宋_GB2312"/>
          <w:color w:val="auto"/>
          <w:sz w:val="34"/>
          <w:szCs w:val="34"/>
        </w:rPr>
        <w:t>头，年末存栏</w:t>
      </w:r>
      <w:r>
        <w:rPr>
          <w:rFonts w:hint="eastAsia" w:ascii="仿宋_GB2312" w:hAnsi="仿宋_GB2312" w:eastAsia="仿宋_GB2312" w:cs="仿宋_GB2312"/>
          <w:color w:val="auto"/>
          <w:sz w:val="34"/>
          <w:szCs w:val="34"/>
          <w:lang w:val="en-US" w:eastAsia="zh-CN"/>
        </w:rPr>
        <w:t>9141</w:t>
      </w:r>
      <w:r>
        <w:rPr>
          <w:rFonts w:hint="eastAsia" w:ascii="仿宋_GB2312" w:hAnsi="仿宋_GB2312" w:eastAsia="仿宋_GB2312" w:cs="仿宋_GB2312"/>
          <w:color w:val="auto"/>
          <w:sz w:val="34"/>
          <w:szCs w:val="34"/>
        </w:rPr>
        <w:t>头。全年水产品产量21</w:t>
      </w:r>
      <w:r>
        <w:rPr>
          <w:rFonts w:hint="eastAsia" w:ascii="仿宋_GB2312" w:hAnsi="仿宋_GB2312" w:eastAsia="仿宋_GB2312" w:cs="仿宋_GB2312"/>
          <w:color w:val="auto"/>
          <w:sz w:val="34"/>
          <w:szCs w:val="34"/>
          <w:lang w:val="en-US" w:eastAsia="zh-CN"/>
        </w:rPr>
        <w:t>70</w:t>
      </w:r>
      <w:r>
        <w:rPr>
          <w:rFonts w:hint="eastAsia" w:ascii="仿宋_GB2312" w:hAnsi="仿宋_GB2312" w:eastAsia="仿宋_GB2312" w:cs="仿宋_GB2312"/>
          <w:color w:val="auto"/>
          <w:sz w:val="34"/>
          <w:szCs w:val="34"/>
        </w:rPr>
        <w:t>吨。农业机械总动力4.9万千瓦特。</w:t>
      </w:r>
    </w:p>
    <w:p>
      <w:pPr>
        <w:widowControl/>
        <w:ind w:firstLine="680" w:firstLineChars="200"/>
        <w:jc w:val="left"/>
        <w:rPr>
          <w:rFonts w:ascii="仿宋_GB2312" w:hAnsi="仿宋_GB2312" w:eastAsia="仿宋_GB2312" w:cs="仿宋_GB2312"/>
          <w:color w:val="auto"/>
          <w:sz w:val="34"/>
          <w:szCs w:val="34"/>
        </w:rPr>
      </w:pPr>
      <w:r>
        <w:rPr>
          <w:rFonts w:hint="eastAsia" w:ascii="黑体" w:hAnsi="黑体" w:eastAsia="黑体" w:cs="黑体"/>
          <w:color w:val="auto"/>
          <w:sz w:val="34"/>
          <w:szCs w:val="34"/>
        </w:rPr>
        <w:t>三、工业和建筑业</w:t>
      </w:r>
    </w:p>
    <w:p>
      <w:pPr>
        <w:spacing w:line="360" w:lineRule="auto"/>
        <w:ind w:firstLine="645"/>
        <w:rPr>
          <w:rFonts w:hint="eastAsia" w:ascii="仿宋_GB2312" w:hAnsi="仿宋" w:eastAsia="仿宋_GB2312" w:cs="宋体"/>
          <w:color w:val="auto"/>
          <w:kern w:val="0"/>
          <w:sz w:val="34"/>
          <w:szCs w:val="34"/>
        </w:rPr>
      </w:pPr>
      <w:r>
        <w:rPr>
          <w:rFonts w:hint="eastAsia" w:ascii="仿宋_GB2312" w:hAnsi="仿宋" w:eastAsia="仿宋_GB2312"/>
          <w:color w:val="auto"/>
          <w:sz w:val="34"/>
          <w:szCs w:val="34"/>
        </w:rPr>
        <w:t>全区规模以上</w:t>
      </w:r>
      <w:r>
        <w:rPr>
          <w:rFonts w:hint="eastAsia" w:ascii="仿宋_GB2312" w:hAnsi="仿宋" w:eastAsia="仿宋_GB2312"/>
          <w:color w:val="auto"/>
          <w:sz w:val="34"/>
          <w:szCs w:val="34"/>
          <w:vertAlign w:val="superscript"/>
        </w:rPr>
        <w:t>[3]</w:t>
      </w:r>
      <w:r>
        <w:rPr>
          <w:rFonts w:hint="eastAsia" w:ascii="仿宋_GB2312" w:hAnsi="仿宋" w:eastAsia="仿宋_GB2312" w:cs="宋体"/>
          <w:color w:val="auto"/>
          <w:kern w:val="0"/>
          <w:sz w:val="34"/>
          <w:szCs w:val="34"/>
        </w:rPr>
        <w:t>工业增加值按可比价格计算比上年</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3.6%。</w:t>
      </w:r>
    </w:p>
    <w:p>
      <w:pPr>
        <w:spacing w:line="360" w:lineRule="auto"/>
        <w:ind w:firstLine="645"/>
        <w:rPr>
          <w:rFonts w:hint="eastAsia" w:ascii="仿宋_GB2312" w:hAnsi="仿宋" w:eastAsia="仿宋_GB2312" w:cs="宋体"/>
          <w:color w:val="auto"/>
          <w:kern w:val="0"/>
          <w:sz w:val="34"/>
          <w:szCs w:val="34"/>
        </w:rPr>
      </w:pPr>
      <w:r>
        <w:rPr>
          <w:rFonts w:hint="eastAsia" w:ascii="仿宋_GB2312" w:hAnsi="仿宋" w:eastAsia="仿宋_GB2312" w:cs="宋体"/>
          <w:color w:val="auto"/>
          <w:kern w:val="0"/>
          <w:sz w:val="34"/>
          <w:szCs w:val="34"/>
          <w:lang w:val="en-US" w:eastAsia="zh-CN"/>
        </w:rPr>
        <w:t>分</w:t>
      </w:r>
      <w:r>
        <w:rPr>
          <w:rFonts w:hint="eastAsia" w:ascii="仿宋_GB2312" w:hAnsi="仿宋" w:eastAsia="仿宋_GB2312" w:cs="宋体"/>
          <w:color w:val="auto"/>
          <w:kern w:val="0"/>
          <w:sz w:val="34"/>
          <w:szCs w:val="34"/>
        </w:rPr>
        <w:t>集群看</w:t>
      </w:r>
      <w:r>
        <w:rPr>
          <w:rFonts w:hint="eastAsia" w:ascii="仿宋_GB2312" w:hAnsi="仿宋" w:eastAsia="仿宋_GB2312" w:cs="宋体"/>
          <w:color w:val="auto"/>
          <w:kern w:val="0"/>
          <w:sz w:val="34"/>
          <w:szCs w:val="34"/>
          <w:lang w:eastAsia="zh-CN"/>
        </w:rPr>
        <w:t>，</w:t>
      </w:r>
      <w:r>
        <w:rPr>
          <w:rFonts w:hint="eastAsia" w:ascii="仿宋_GB2312" w:hAnsi="仿宋" w:eastAsia="仿宋_GB2312" w:cs="宋体"/>
          <w:color w:val="auto"/>
          <w:kern w:val="0"/>
          <w:sz w:val="34"/>
          <w:szCs w:val="34"/>
        </w:rPr>
        <w:t>石油装备制造产业集群增加值同比增长18.0%，石油化工产业集群增加值同比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11.3%。</w:t>
      </w:r>
    </w:p>
    <w:p>
      <w:pPr>
        <w:spacing w:line="360" w:lineRule="auto"/>
        <w:ind w:firstLine="645"/>
        <w:rPr>
          <w:rFonts w:hint="eastAsia" w:ascii="仿宋_GB2312" w:hAnsi="仿宋" w:eastAsia="仿宋_GB2312" w:cs="宋体"/>
          <w:color w:val="auto"/>
          <w:kern w:val="0"/>
          <w:sz w:val="34"/>
          <w:szCs w:val="34"/>
          <w:lang w:eastAsia="zh-CN"/>
        </w:rPr>
      </w:pPr>
      <w:r>
        <w:rPr>
          <w:rFonts w:hint="eastAsia" w:ascii="仿宋_GB2312" w:hAnsi="仿宋" w:eastAsia="仿宋_GB2312" w:cs="宋体"/>
          <w:color w:val="auto"/>
          <w:kern w:val="0"/>
          <w:sz w:val="34"/>
          <w:szCs w:val="34"/>
          <w:lang w:val="en-US" w:eastAsia="zh-CN"/>
        </w:rPr>
        <w:t>分</w:t>
      </w:r>
      <w:r>
        <w:rPr>
          <w:rFonts w:hint="eastAsia" w:ascii="仿宋_GB2312" w:hAnsi="仿宋" w:eastAsia="仿宋_GB2312" w:cs="宋体"/>
          <w:color w:val="auto"/>
          <w:kern w:val="0"/>
          <w:sz w:val="34"/>
          <w:szCs w:val="34"/>
        </w:rPr>
        <w:t>区域看</w:t>
      </w:r>
      <w:r>
        <w:rPr>
          <w:rFonts w:hint="eastAsia" w:ascii="仿宋_GB2312" w:hAnsi="仿宋" w:eastAsia="仿宋_GB2312" w:cs="宋体"/>
          <w:color w:val="auto"/>
          <w:kern w:val="0"/>
          <w:sz w:val="34"/>
          <w:szCs w:val="34"/>
          <w:lang w:eastAsia="zh-CN"/>
        </w:rPr>
        <w:t>，</w:t>
      </w:r>
      <w:r>
        <w:rPr>
          <w:rFonts w:hint="eastAsia" w:ascii="仿宋_GB2312" w:hAnsi="仿宋" w:eastAsia="仿宋_GB2312" w:cs="宋体"/>
          <w:color w:val="auto"/>
          <w:kern w:val="0"/>
          <w:sz w:val="34"/>
          <w:szCs w:val="34"/>
        </w:rPr>
        <w:t>区本级规模以上工业增加值同比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7.7%，</w:t>
      </w:r>
      <w:r>
        <w:rPr>
          <w:rFonts w:hint="eastAsia" w:ascii="仿宋_GB2312" w:hAnsi="仿宋" w:eastAsia="仿宋_GB2312" w:cs="宋体"/>
          <w:color w:val="auto"/>
          <w:kern w:val="0"/>
          <w:sz w:val="34"/>
          <w:szCs w:val="34"/>
          <w:lang w:val="en-US" w:eastAsia="zh-CN"/>
        </w:rPr>
        <w:t>高新区</w:t>
      </w:r>
      <w:r>
        <w:rPr>
          <w:rFonts w:hint="eastAsia" w:ascii="仿宋_GB2312" w:hAnsi="仿宋" w:eastAsia="仿宋_GB2312" w:cs="宋体"/>
          <w:color w:val="auto"/>
          <w:kern w:val="0"/>
          <w:sz w:val="34"/>
          <w:szCs w:val="34"/>
        </w:rPr>
        <w:t>规模以上工业增加值同比增长1.0%</w:t>
      </w:r>
      <w:r>
        <w:rPr>
          <w:rFonts w:hint="eastAsia" w:ascii="仿宋_GB2312" w:hAnsi="仿宋" w:eastAsia="仿宋_GB2312" w:cs="宋体"/>
          <w:color w:val="auto"/>
          <w:kern w:val="0"/>
          <w:sz w:val="34"/>
          <w:szCs w:val="34"/>
          <w:lang w:eastAsia="zh-CN"/>
        </w:rPr>
        <w:t>。</w:t>
      </w:r>
    </w:p>
    <w:p>
      <w:pPr>
        <w:spacing w:line="360" w:lineRule="auto"/>
        <w:ind w:firstLine="645"/>
        <w:rPr>
          <w:rFonts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t>分门类看，采矿业增加值同比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7.7%，制造业增加值增加值同比增长1.9%，电力</w:t>
      </w:r>
      <w:r>
        <w:rPr>
          <w:rFonts w:hint="eastAsia" w:ascii="Calibri" w:hAnsi="Calibri" w:eastAsia="仿宋_GB2312" w:cs="宋体"/>
          <w:color w:val="auto"/>
          <w:kern w:val="0"/>
          <w:sz w:val="34"/>
          <w:szCs w:val="34"/>
        </w:rPr>
        <w:t>、</w:t>
      </w:r>
      <w:r>
        <w:rPr>
          <w:rFonts w:hint="eastAsia" w:ascii="仿宋_GB2312" w:hAnsi="仿宋" w:eastAsia="仿宋_GB2312" w:cs="宋体"/>
          <w:color w:val="auto"/>
          <w:kern w:val="0"/>
          <w:sz w:val="34"/>
          <w:szCs w:val="34"/>
        </w:rPr>
        <w:t>热力、燃气及水电生产和供应业增加值同比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1.</w:t>
      </w:r>
      <w:r>
        <w:rPr>
          <w:rFonts w:hint="eastAsia" w:ascii="仿宋_GB2312" w:hAnsi="仿宋" w:eastAsia="仿宋_GB2312" w:cs="宋体"/>
          <w:color w:val="auto"/>
          <w:kern w:val="0"/>
          <w:sz w:val="34"/>
          <w:szCs w:val="34"/>
          <w:lang w:val="en-US" w:eastAsia="zh-CN"/>
        </w:rPr>
        <w:t>5</w:t>
      </w:r>
      <w:r>
        <w:rPr>
          <w:rFonts w:hint="eastAsia" w:ascii="仿宋_GB2312" w:hAnsi="仿宋" w:eastAsia="仿宋_GB2312" w:cs="宋体"/>
          <w:color w:val="auto"/>
          <w:kern w:val="0"/>
          <w:sz w:val="34"/>
          <w:szCs w:val="34"/>
        </w:rPr>
        <w:t>%。</w:t>
      </w:r>
    </w:p>
    <w:p>
      <w:pPr>
        <w:spacing w:line="360" w:lineRule="auto"/>
        <w:ind w:firstLine="645"/>
        <w:jc w:val="left"/>
        <w:rPr>
          <w:rFonts w:hint="eastAsia"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t>分行业看，开采专业及辅助性活动增加值比上年</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7.7%，占规模以上工业增加值比重为51.5%；石油加工、炼焦和核燃料加工业</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13.5%，占规模以上工业增加值比重为14.2%；电力、热力生产和供应业</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2.3%，占规模以上工业增加值比重为9.3%；电气机械和器材制造业增长64.1%，占规模以上工业增加值比重为8.0%；专用设备制造业</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9.3%，占规模以上工业增加值比重为4.7%。</w:t>
      </w:r>
    </w:p>
    <w:p>
      <w:pPr>
        <w:spacing w:line="360" w:lineRule="auto"/>
        <w:jc w:val="left"/>
        <w:rPr>
          <w:rFonts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drawing>
          <wp:inline distT="0" distB="0" distL="0" distR="0">
            <wp:extent cx="5285740" cy="3647440"/>
            <wp:effectExtent l="4445" t="4445" r="5715"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80" w:firstLineChars="200"/>
        <w:rPr>
          <w:rFonts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t>全年规模以上工业企业主要产品产量中，原油加工量184.1万吨，比上年减少12.8%；沥青和改性沥青防水卷材84.2万平方米，同比增长12.7%；工业自动调节仪表与控制系统893台，同比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63.1%；塑料制品2.2万吨，同比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1.1%；化学试剂0.6万吨，同比增长32.6%；电力电缆4951千米，同比</w:t>
      </w:r>
      <w:r>
        <w:rPr>
          <w:rFonts w:hint="eastAsia" w:ascii="仿宋_GB2312" w:hAnsi="仿宋" w:eastAsia="仿宋_GB2312" w:cs="宋体"/>
          <w:color w:val="auto"/>
          <w:kern w:val="0"/>
          <w:sz w:val="34"/>
          <w:szCs w:val="34"/>
          <w:lang w:val="en-US" w:eastAsia="zh-CN"/>
        </w:rPr>
        <w:t>下降</w:t>
      </w:r>
      <w:r>
        <w:rPr>
          <w:rFonts w:hint="eastAsia" w:ascii="仿宋_GB2312" w:hAnsi="仿宋" w:eastAsia="仿宋_GB2312" w:cs="宋体"/>
          <w:color w:val="auto"/>
          <w:kern w:val="0"/>
          <w:sz w:val="34"/>
          <w:szCs w:val="34"/>
        </w:rPr>
        <w:t>32.1%；涂料0.8万吨，同比增长15.0%。</w:t>
      </w:r>
    </w:p>
    <w:p>
      <w:pPr>
        <w:rPr>
          <w:rFonts w:hint="eastAsia"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t xml:space="preserve">    全年规模以上工业企业实现营业务收入283.8亿元，比上年下降20.7%；利税总额17.5亿元，与上年持平；利润总额11.1 亿元，比上年下降9.6%。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120" w:firstLine="680" w:firstLineChars="200"/>
        <w:jc w:val="both"/>
        <w:textAlignment w:val="auto"/>
        <w:rPr>
          <w:rFonts w:hint="eastAsia" w:ascii="仿宋_GB2312" w:hAnsi="仿宋" w:eastAsia="仿宋_GB2312" w:cs="宋体"/>
          <w:color w:val="auto"/>
          <w:kern w:val="0"/>
          <w:sz w:val="34"/>
          <w:szCs w:val="34"/>
          <w:lang w:val="en-US" w:eastAsia="zh-CN" w:bidi="ar-SA"/>
        </w:rPr>
      </w:pPr>
      <w:r>
        <w:rPr>
          <w:rFonts w:hint="eastAsia" w:ascii="仿宋_GB2312" w:hAnsi="仿宋" w:eastAsia="仿宋_GB2312" w:cs="宋体"/>
          <w:color w:val="auto"/>
          <w:kern w:val="0"/>
          <w:sz w:val="34"/>
          <w:szCs w:val="34"/>
          <w:lang w:val="en-US" w:eastAsia="zh-CN" w:bidi="ar-SA"/>
        </w:rPr>
        <w:t>全年具有建筑业资质等级的总承包和专业承包建筑企业共签订工程合同额135.4亿元，比上年下降1.9%。其中，本年新签订工程合同额103亿元，下降12.6%。全年房屋建筑施工面积37.7万平方米，比上年下降40.6%。</w:t>
      </w:r>
    </w:p>
    <w:p>
      <w:pPr>
        <w:rPr>
          <w:rFonts w:ascii="仿宋_GB2312" w:hAnsi="仿宋" w:eastAsia="仿宋_GB2312" w:cs="宋体"/>
          <w:color w:val="auto"/>
          <w:kern w:val="0"/>
          <w:sz w:val="34"/>
          <w:szCs w:val="34"/>
        </w:rPr>
      </w:pPr>
      <w:r>
        <w:rPr>
          <w:rFonts w:hint="eastAsia" w:ascii="仿宋_GB2312" w:hAnsi="仿宋" w:eastAsia="仿宋_GB2312" w:cs="宋体"/>
          <w:color w:val="auto"/>
          <w:kern w:val="0"/>
          <w:sz w:val="34"/>
          <w:szCs w:val="34"/>
        </w:rPr>
        <w:t xml:space="preserve">    </w:t>
      </w:r>
      <w:r>
        <w:rPr>
          <w:rFonts w:hint="eastAsia" w:ascii="黑体" w:hAnsi="黑体" w:eastAsia="黑体" w:cs="黑体"/>
          <w:color w:val="auto"/>
          <w:kern w:val="0"/>
          <w:sz w:val="34"/>
          <w:szCs w:val="34"/>
        </w:rPr>
        <w:t>四、固定资产投资和房地产业</w:t>
      </w:r>
    </w:p>
    <w:p>
      <w:pPr>
        <w:spacing w:line="360" w:lineRule="auto"/>
        <w:ind w:firstLine="666" w:firstLineChars="196"/>
        <w:rPr>
          <w:rFonts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全年固定资产投资（不含农户）比上年增长</w:t>
      </w:r>
      <w:r>
        <w:rPr>
          <w:rFonts w:hint="eastAsia" w:ascii="仿宋_GB2312" w:hAnsi="仿宋_GB2312" w:eastAsia="仿宋_GB2312" w:cs="仿宋_GB2312"/>
          <w:color w:val="auto"/>
          <w:kern w:val="0"/>
          <w:sz w:val="34"/>
          <w:szCs w:val="34"/>
          <w:lang w:val="en-US" w:eastAsia="zh-CN"/>
        </w:rPr>
        <w:t>8.0</w:t>
      </w:r>
      <w:r>
        <w:rPr>
          <w:rFonts w:hint="eastAsia" w:ascii="仿宋_GB2312" w:hAnsi="仿宋_GB2312" w:eastAsia="仿宋_GB2312" w:cs="仿宋_GB2312"/>
          <w:color w:val="auto"/>
          <w:kern w:val="0"/>
          <w:sz w:val="34"/>
          <w:szCs w:val="34"/>
        </w:rPr>
        <w:t>%。其中，区本级投资增长</w:t>
      </w:r>
      <w:r>
        <w:rPr>
          <w:rFonts w:hint="eastAsia" w:ascii="仿宋_GB2312" w:hAnsi="仿宋_GB2312" w:eastAsia="仿宋_GB2312" w:cs="仿宋_GB2312"/>
          <w:color w:val="auto"/>
          <w:kern w:val="0"/>
          <w:sz w:val="34"/>
          <w:szCs w:val="34"/>
          <w:lang w:val="en-US" w:eastAsia="zh-CN"/>
        </w:rPr>
        <w:t>8.2</w:t>
      </w:r>
      <w:r>
        <w:rPr>
          <w:rFonts w:hint="eastAsia" w:ascii="仿宋_GB2312" w:hAnsi="仿宋_GB2312" w:eastAsia="仿宋_GB2312" w:cs="仿宋_GB2312"/>
          <w:color w:val="auto"/>
          <w:kern w:val="0"/>
          <w:sz w:val="34"/>
          <w:szCs w:val="34"/>
        </w:rPr>
        <w:t>%，园区投资</w:t>
      </w:r>
      <w:r>
        <w:rPr>
          <w:rFonts w:hint="eastAsia" w:ascii="仿宋_GB2312" w:hAnsi="仿宋_GB2312" w:eastAsia="仿宋_GB2312" w:cs="仿宋_GB2312"/>
          <w:color w:val="auto"/>
          <w:kern w:val="0"/>
          <w:sz w:val="34"/>
          <w:szCs w:val="34"/>
          <w:lang w:val="en-US" w:eastAsia="zh-CN"/>
        </w:rPr>
        <w:t>增长5.9</w:t>
      </w:r>
      <w:r>
        <w:rPr>
          <w:rFonts w:hint="eastAsia" w:ascii="仿宋_GB2312" w:hAnsi="仿宋_GB2312" w:eastAsia="仿宋_GB2312" w:cs="仿宋_GB2312"/>
          <w:color w:val="auto"/>
          <w:kern w:val="0"/>
          <w:sz w:val="34"/>
          <w:szCs w:val="34"/>
        </w:rPr>
        <w:t>%。</w:t>
      </w:r>
    </w:p>
    <w:p>
      <w:pPr>
        <w:spacing w:line="360" w:lineRule="auto"/>
        <w:ind w:firstLine="666" w:firstLineChars="196"/>
        <w:rPr>
          <w:rFonts w:ascii="仿宋_GB2312" w:hAnsi="仿宋_GB2312" w:eastAsia="仿宋_GB2312" w:cs="仿宋_GB2312"/>
          <w:color w:val="auto"/>
          <w:sz w:val="34"/>
          <w:szCs w:val="34"/>
        </w:rPr>
      </w:pPr>
      <w:r>
        <w:rPr>
          <w:rFonts w:hint="eastAsia" w:ascii="仿宋_GB2312" w:hAnsi="仿宋_GB2312" w:eastAsia="仿宋_GB2312" w:cs="仿宋_GB2312"/>
          <w:color w:val="auto"/>
          <w:kern w:val="0"/>
          <w:sz w:val="34"/>
          <w:szCs w:val="34"/>
        </w:rPr>
        <w:t>分投资渠道看，全年建设项目投资</w:t>
      </w:r>
      <w:r>
        <w:rPr>
          <w:rFonts w:hint="eastAsia" w:ascii="仿宋_GB2312" w:hAnsi="仿宋_GB2312" w:eastAsia="仿宋_GB2312" w:cs="仿宋_GB2312"/>
          <w:color w:val="auto"/>
          <w:kern w:val="0"/>
          <w:sz w:val="34"/>
          <w:szCs w:val="34"/>
          <w:lang w:val="en-US" w:eastAsia="zh-CN"/>
        </w:rPr>
        <w:t>同比下降2.7</w:t>
      </w:r>
      <w:r>
        <w:rPr>
          <w:rFonts w:hint="eastAsia" w:ascii="仿宋_GB2312" w:hAnsi="仿宋_GB2312" w:eastAsia="仿宋_GB2312" w:cs="仿宋_GB2312"/>
          <w:color w:val="auto"/>
          <w:kern w:val="0"/>
          <w:sz w:val="34"/>
          <w:szCs w:val="34"/>
        </w:rPr>
        <w:t>%，房地产开发投资</w:t>
      </w:r>
      <w:r>
        <w:rPr>
          <w:rFonts w:hint="eastAsia" w:ascii="仿宋_GB2312" w:hAnsi="仿宋_GB2312" w:eastAsia="仿宋_GB2312" w:cs="仿宋_GB2312"/>
          <w:color w:val="auto"/>
          <w:kern w:val="0"/>
          <w:sz w:val="34"/>
          <w:szCs w:val="34"/>
          <w:lang w:val="en-US" w:eastAsia="zh-CN"/>
        </w:rPr>
        <w:t>增长51.8</w:t>
      </w:r>
      <w:r>
        <w:rPr>
          <w:rFonts w:hint="eastAsia" w:ascii="仿宋_GB2312" w:hAnsi="仿宋_GB2312" w:eastAsia="仿宋_GB2312" w:cs="仿宋_GB2312"/>
          <w:color w:val="auto"/>
          <w:kern w:val="0"/>
          <w:sz w:val="34"/>
          <w:szCs w:val="34"/>
        </w:rPr>
        <w:t>%。</w:t>
      </w:r>
    </w:p>
    <w:p>
      <w:pPr>
        <w:spacing w:line="360" w:lineRule="auto"/>
        <w:ind w:firstLine="666" w:firstLineChars="196"/>
        <w:rPr>
          <w:rFonts w:hint="eastAsia"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分产业看，全年第二产业投资</w:t>
      </w:r>
      <w:r>
        <w:rPr>
          <w:rFonts w:hint="eastAsia" w:ascii="仿宋_GB2312" w:hAnsi="仿宋_GB2312" w:eastAsia="仿宋_GB2312" w:cs="仿宋_GB2312"/>
          <w:color w:val="auto"/>
          <w:kern w:val="0"/>
          <w:sz w:val="34"/>
          <w:szCs w:val="34"/>
          <w:lang w:val="en-US" w:eastAsia="zh-CN"/>
        </w:rPr>
        <w:t>同比下降8.4</w:t>
      </w:r>
      <w:r>
        <w:rPr>
          <w:rFonts w:hint="eastAsia" w:ascii="仿宋_GB2312" w:hAnsi="仿宋_GB2312" w:eastAsia="仿宋_GB2312" w:cs="仿宋_GB2312"/>
          <w:color w:val="auto"/>
          <w:kern w:val="0"/>
          <w:sz w:val="34"/>
          <w:szCs w:val="34"/>
        </w:rPr>
        <w:t>%，第三产业投资</w:t>
      </w:r>
      <w:r>
        <w:rPr>
          <w:rFonts w:hint="eastAsia" w:ascii="仿宋_GB2312" w:hAnsi="仿宋_GB2312" w:eastAsia="仿宋_GB2312" w:cs="仿宋_GB2312"/>
          <w:color w:val="auto"/>
          <w:kern w:val="0"/>
          <w:sz w:val="34"/>
          <w:szCs w:val="34"/>
          <w:lang w:val="en-US" w:eastAsia="zh-CN"/>
        </w:rPr>
        <w:t>增长60.6</w:t>
      </w:r>
      <w:r>
        <w:rPr>
          <w:rFonts w:hint="eastAsia" w:ascii="仿宋_GB2312" w:hAnsi="仿宋_GB2312" w:eastAsia="仿宋_GB2312" w:cs="仿宋_GB2312"/>
          <w:color w:val="auto"/>
          <w:kern w:val="0"/>
          <w:sz w:val="34"/>
          <w:szCs w:val="34"/>
        </w:rPr>
        <w:t>%。</w:t>
      </w:r>
    </w:p>
    <w:p>
      <w:pPr>
        <w:spacing w:line="360" w:lineRule="auto"/>
        <w:ind w:firstLine="666" w:firstLineChars="196"/>
        <w:rPr>
          <w:rFonts w:hint="eastAsia" w:ascii="仿宋_GB2312" w:hAnsi="仿宋_GB2312" w:eastAsia="仿宋_GB2312" w:cs="仿宋_GB2312"/>
          <w:color w:val="auto"/>
          <w:kern w:val="0"/>
          <w:sz w:val="34"/>
          <w:szCs w:val="34"/>
          <w:lang w:eastAsia="zh-CN"/>
        </w:rPr>
      </w:pPr>
      <w:r>
        <w:rPr>
          <w:rFonts w:hint="eastAsia" w:ascii="仿宋_GB2312" w:hAnsi="仿宋_GB2312" w:eastAsia="仿宋_GB2312" w:cs="仿宋_GB2312"/>
          <w:color w:val="auto"/>
          <w:kern w:val="0"/>
          <w:sz w:val="34"/>
          <w:szCs w:val="34"/>
          <w:lang w:val="en-US" w:eastAsia="zh-CN"/>
        </w:rPr>
        <w:t>分经济类型看，</w:t>
      </w:r>
      <w:r>
        <w:rPr>
          <w:rFonts w:hint="eastAsia" w:ascii="仿宋_GB2312" w:hAnsi="仿宋_GB2312" w:eastAsia="仿宋_GB2312" w:cs="仿宋_GB2312"/>
          <w:color w:val="auto"/>
          <w:kern w:val="0"/>
          <w:sz w:val="34"/>
          <w:szCs w:val="34"/>
        </w:rPr>
        <w:t>全年民间投资比上年增长152.6%；国有及国有控股企业投资下降10.8%</w:t>
      </w:r>
      <w:r>
        <w:rPr>
          <w:rFonts w:hint="eastAsia" w:ascii="仿宋_GB2312" w:hAnsi="仿宋_GB2312" w:eastAsia="仿宋_GB2312" w:cs="仿宋_GB2312"/>
          <w:color w:val="auto"/>
          <w:kern w:val="0"/>
          <w:sz w:val="34"/>
          <w:szCs w:val="34"/>
          <w:lang w:eastAsia="zh-CN"/>
        </w:rPr>
        <w:t>。</w:t>
      </w:r>
    </w:p>
    <w:p>
      <w:pPr>
        <w:spacing w:line="360" w:lineRule="auto"/>
        <w:ind w:firstLine="666" w:firstLineChars="196"/>
        <w:rPr>
          <w:rFonts w:hint="eastAsia" w:cs="仿宋_GB2312" w:asciiTheme="minorEastAsia" w:hAnsiTheme="minorEastAsia" w:eastAsiaTheme="minorEastAsia"/>
          <w:b/>
          <w:color w:val="auto"/>
          <w:sz w:val="28"/>
          <w:szCs w:val="28"/>
        </w:rPr>
      </w:pPr>
      <w:r>
        <w:rPr>
          <w:rFonts w:hint="eastAsia" w:ascii="仿宋_GB2312" w:hAnsi="仿宋_GB2312" w:eastAsia="仿宋_GB2312" w:cs="仿宋_GB2312"/>
          <w:color w:val="auto"/>
          <w:kern w:val="0"/>
          <w:sz w:val="34"/>
          <w:szCs w:val="34"/>
        </w:rPr>
        <w:t>全年商品房销售面积71.3万平方米，比上年增长30.2%，其中住宅销售面积66.2万平方米，增长33.7%</w:t>
      </w:r>
      <w:r>
        <w:rPr>
          <w:rFonts w:hint="eastAsia" w:ascii="仿宋_GB2312" w:hAnsi="仿宋_GB2312" w:eastAsia="仿宋_GB2312" w:cs="仿宋_GB2312"/>
          <w:color w:val="auto"/>
          <w:kern w:val="0"/>
          <w:sz w:val="34"/>
          <w:szCs w:val="34"/>
          <w:lang w:eastAsia="zh-CN"/>
        </w:rPr>
        <w:t>。</w:t>
      </w:r>
      <w:r>
        <w:rPr>
          <w:rFonts w:hint="eastAsia" w:ascii="仿宋_GB2312" w:hAnsi="仿宋_GB2312" w:eastAsia="仿宋_GB2312" w:cs="仿宋_GB2312"/>
          <w:color w:val="auto"/>
          <w:kern w:val="0"/>
          <w:sz w:val="34"/>
          <w:szCs w:val="34"/>
        </w:rPr>
        <w:t>商品房销售额37.3亿元，比上年增长46.8%，其中住宅销售额32.8亿元，增长49.3%。年末商品房待售面积 20.4万平方米，比上年末增长0.3%。</w:t>
      </w:r>
    </w:p>
    <w:p>
      <w:pPr>
        <w:spacing w:line="360" w:lineRule="auto"/>
        <w:jc w:val="center"/>
        <w:rPr>
          <w:rFonts w:cs="仿宋_GB2312" w:asciiTheme="minorEastAsia" w:hAnsiTheme="minorEastAsia" w:eastAsiaTheme="minorEastAsia"/>
          <w:b/>
          <w:color w:val="auto"/>
          <w:sz w:val="28"/>
          <w:szCs w:val="28"/>
        </w:rPr>
      </w:pPr>
      <w:r>
        <w:rPr>
          <w:rFonts w:hint="eastAsia" w:cs="仿宋_GB2312" w:asciiTheme="minorEastAsia" w:hAnsiTheme="minorEastAsia" w:eastAsiaTheme="minorEastAsia"/>
          <w:b/>
          <w:color w:val="auto"/>
          <w:sz w:val="28"/>
          <w:szCs w:val="28"/>
        </w:rPr>
        <w:t>（图二）201</w:t>
      </w:r>
      <w:r>
        <w:rPr>
          <w:rFonts w:hint="eastAsia" w:cs="仿宋_GB2312" w:asciiTheme="minorEastAsia" w:hAnsiTheme="minorEastAsia" w:eastAsiaTheme="minorEastAsia"/>
          <w:b/>
          <w:color w:val="auto"/>
          <w:sz w:val="28"/>
          <w:szCs w:val="28"/>
          <w:lang w:val="en-US" w:eastAsia="zh-CN"/>
        </w:rPr>
        <w:t>6</w:t>
      </w:r>
      <w:r>
        <w:rPr>
          <w:rFonts w:hint="eastAsia" w:cs="仿宋_GB2312" w:asciiTheme="minorEastAsia" w:hAnsiTheme="minorEastAsia" w:eastAsiaTheme="minorEastAsia"/>
          <w:b/>
          <w:color w:val="auto"/>
          <w:sz w:val="28"/>
          <w:szCs w:val="28"/>
        </w:rPr>
        <w:t>-20</w:t>
      </w:r>
      <w:r>
        <w:rPr>
          <w:rFonts w:hint="eastAsia" w:cs="仿宋_GB2312" w:asciiTheme="minorEastAsia" w:hAnsiTheme="minorEastAsia" w:eastAsiaTheme="minorEastAsia"/>
          <w:b/>
          <w:color w:val="auto"/>
          <w:sz w:val="28"/>
          <w:szCs w:val="28"/>
          <w:lang w:val="en-US" w:eastAsia="zh-CN"/>
        </w:rPr>
        <w:t>20</w:t>
      </w:r>
      <w:r>
        <w:rPr>
          <w:rFonts w:hint="eastAsia" w:cs="仿宋_GB2312" w:asciiTheme="minorEastAsia" w:hAnsiTheme="minorEastAsia" w:eastAsiaTheme="minorEastAsia"/>
          <w:b/>
          <w:color w:val="auto"/>
          <w:sz w:val="28"/>
          <w:szCs w:val="28"/>
        </w:rPr>
        <w:t>年三次产业投资占固定资产投资比重</w:t>
      </w:r>
    </w:p>
    <w:p>
      <w:pPr>
        <w:jc w:val="center"/>
        <w:rPr>
          <w:rFonts w:ascii="宋体" w:hAnsi="宋体"/>
          <w:color w:val="auto"/>
          <w:sz w:val="24"/>
          <w:szCs w:val="24"/>
        </w:rPr>
      </w:pPr>
    </w:p>
    <w:p>
      <w:pPr>
        <w:rPr>
          <w:rFonts w:ascii="宋体" w:hAnsi="宋体"/>
          <w:color w:val="auto"/>
          <w:sz w:val="28"/>
          <w:szCs w:val="28"/>
        </w:rPr>
      </w:pPr>
      <w:r>
        <w:rPr>
          <w:rFonts w:ascii="宋体" w:hAnsi="宋体"/>
          <w:color w:val="auto"/>
          <w:sz w:val="28"/>
          <w:szCs w:val="28"/>
        </w:rPr>
        <w:drawing>
          <wp:inline distT="0" distB="0" distL="0" distR="0">
            <wp:extent cx="5398770" cy="370522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627" w:firstLineChars="196"/>
        <w:rPr>
          <w:rFonts w:ascii="黑体" w:hAnsi="黑体" w:eastAsia="黑体" w:cs="黑体"/>
          <w:bCs/>
          <w:color w:val="auto"/>
          <w:sz w:val="32"/>
          <w:szCs w:val="32"/>
        </w:rPr>
      </w:pPr>
      <w:r>
        <w:rPr>
          <w:rFonts w:hint="eastAsia" w:ascii="黑体" w:hAnsi="黑体" w:eastAsia="黑体" w:cs="黑体"/>
          <w:bCs/>
          <w:color w:val="auto"/>
          <w:sz w:val="32"/>
          <w:szCs w:val="32"/>
        </w:rPr>
        <w:t>五、贸易</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全年社会消费品零售总额</w:t>
      </w:r>
      <w:r>
        <w:rPr>
          <w:rFonts w:hint="eastAsia" w:ascii="仿宋_GB2312" w:hAnsi="仿宋_GB2312" w:eastAsia="仿宋_GB2312" w:cs="仿宋_GB2312"/>
          <w:color w:val="auto"/>
          <w:sz w:val="34"/>
          <w:szCs w:val="34"/>
          <w:lang w:val="en-US" w:eastAsia="zh-CN"/>
        </w:rPr>
        <w:t>190.9</w:t>
      </w:r>
      <w:r>
        <w:rPr>
          <w:rFonts w:hint="eastAsia" w:ascii="仿宋_GB2312" w:hAnsi="仿宋_GB2312" w:eastAsia="仿宋_GB2312" w:cs="仿宋_GB2312"/>
          <w:color w:val="auto"/>
          <w:sz w:val="34"/>
          <w:szCs w:val="34"/>
        </w:rPr>
        <w:t>亿元，比上年增长</w:t>
      </w:r>
      <w:r>
        <w:rPr>
          <w:rFonts w:hint="eastAsia" w:ascii="仿宋_GB2312" w:hAnsi="仿宋_GB2312" w:eastAsia="仿宋_GB2312" w:cs="仿宋_GB2312"/>
          <w:color w:val="auto"/>
          <w:sz w:val="34"/>
          <w:szCs w:val="34"/>
          <w:lang w:val="en-US" w:eastAsia="zh-CN"/>
        </w:rPr>
        <w:t>0</w:t>
      </w:r>
      <w:r>
        <w:rPr>
          <w:rFonts w:hint="eastAsia" w:ascii="仿宋_GB2312" w:hAnsi="仿宋_GB2312" w:eastAsia="仿宋_GB2312" w:cs="仿宋_GB2312"/>
          <w:color w:val="auto"/>
          <w:sz w:val="34"/>
          <w:szCs w:val="34"/>
        </w:rPr>
        <w:t>.2%。</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分</w:t>
      </w:r>
      <w:r>
        <w:rPr>
          <w:rFonts w:hint="eastAsia" w:ascii="仿宋_GB2312" w:hAnsi="仿宋_GB2312" w:eastAsia="仿宋_GB2312" w:cs="仿宋_GB2312"/>
          <w:color w:val="auto"/>
          <w:sz w:val="34"/>
          <w:szCs w:val="34"/>
          <w:lang w:val="en-US" w:eastAsia="zh-CN"/>
        </w:rPr>
        <w:t>经营地</w:t>
      </w:r>
      <w:r>
        <w:rPr>
          <w:rFonts w:hint="eastAsia" w:ascii="仿宋_GB2312" w:hAnsi="仿宋_GB2312" w:eastAsia="仿宋_GB2312" w:cs="仿宋_GB2312"/>
          <w:color w:val="auto"/>
          <w:sz w:val="34"/>
          <w:szCs w:val="34"/>
        </w:rPr>
        <w:t>看，城镇零售额</w:t>
      </w:r>
      <w:r>
        <w:rPr>
          <w:rFonts w:hint="eastAsia" w:ascii="仿宋_GB2312" w:hAnsi="仿宋_GB2312" w:eastAsia="仿宋_GB2312" w:cs="仿宋_GB2312"/>
          <w:color w:val="auto"/>
          <w:sz w:val="34"/>
          <w:szCs w:val="34"/>
          <w:lang w:val="en-US" w:eastAsia="zh-CN"/>
        </w:rPr>
        <w:t>181.8</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0.2</w:t>
      </w:r>
      <w:r>
        <w:rPr>
          <w:rFonts w:hint="eastAsia" w:ascii="仿宋_GB2312" w:hAnsi="仿宋_GB2312" w:eastAsia="仿宋_GB2312" w:cs="仿宋_GB2312"/>
          <w:color w:val="auto"/>
          <w:sz w:val="34"/>
          <w:szCs w:val="34"/>
        </w:rPr>
        <w:t>%；乡村零售额</w:t>
      </w:r>
      <w:r>
        <w:rPr>
          <w:rFonts w:hint="eastAsia" w:ascii="仿宋_GB2312" w:hAnsi="仿宋_GB2312" w:eastAsia="仿宋_GB2312" w:cs="仿宋_GB2312"/>
          <w:color w:val="auto"/>
          <w:sz w:val="34"/>
          <w:szCs w:val="34"/>
          <w:lang w:val="en-US" w:eastAsia="zh-CN"/>
        </w:rPr>
        <w:t>9.1</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1.1</w:t>
      </w:r>
      <w:r>
        <w:rPr>
          <w:rFonts w:hint="eastAsia" w:ascii="仿宋_GB2312" w:hAnsi="仿宋_GB2312" w:eastAsia="仿宋_GB2312" w:cs="仿宋_GB2312"/>
          <w:color w:val="auto"/>
          <w:sz w:val="34"/>
          <w:szCs w:val="34"/>
        </w:rPr>
        <w:t>%。</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lang w:val="en-US" w:eastAsia="zh-CN"/>
        </w:rPr>
        <w:t>分消费类型</w:t>
      </w:r>
      <w:r>
        <w:rPr>
          <w:rFonts w:hint="eastAsia" w:ascii="仿宋_GB2312" w:hAnsi="仿宋_GB2312" w:eastAsia="仿宋_GB2312" w:cs="仿宋_GB2312"/>
          <w:color w:val="auto"/>
          <w:sz w:val="34"/>
          <w:szCs w:val="34"/>
        </w:rPr>
        <w:t>看,商品零售额</w:t>
      </w:r>
      <w:r>
        <w:rPr>
          <w:rFonts w:hint="eastAsia" w:ascii="仿宋_GB2312" w:hAnsi="仿宋_GB2312" w:eastAsia="仿宋_GB2312" w:cs="仿宋_GB2312"/>
          <w:color w:val="auto"/>
          <w:sz w:val="34"/>
          <w:szCs w:val="34"/>
          <w:lang w:val="en-US" w:eastAsia="zh-CN"/>
        </w:rPr>
        <w:t>173.6</w:t>
      </w:r>
      <w:r>
        <w:rPr>
          <w:rFonts w:hint="eastAsia" w:ascii="仿宋_GB2312" w:hAnsi="仿宋_GB2312" w:eastAsia="仿宋_GB2312" w:cs="仿宋_GB2312"/>
          <w:color w:val="auto"/>
          <w:sz w:val="34"/>
          <w:szCs w:val="34"/>
        </w:rPr>
        <w:t>亿元，</w:t>
      </w:r>
      <w:r>
        <w:rPr>
          <w:rFonts w:hint="eastAsia" w:ascii="仿宋_GB2312" w:hAnsi="仿宋_GB2312" w:eastAsia="仿宋_GB2312" w:cs="仿宋_GB2312"/>
          <w:color w:val="auto"/>
          <w:sz w:val="34"/>
          <w:szCs w:val="34"/>
          <w:lang w:eastAsia="zh-CN"/>
        </w:rPr>
        <w:t>下降</w:t>
      </w:r>
      <w:r>
        <w:rPr>
          <w:rFonts w:hint="eastAsia" w:ascii="仿宋_GB2312" w:hAnsi="仿宋_GB2312" w:eastAsia="仿宋_GB2312" w:cs="仿宋_GB2312"/>
          <w:color w:val="auto"/>
          <w:sz w:val="34"/>
          <w:szCs w:val="34"/>
          <w:lang w:val="en-US" w:eastAsia="zh-CN"/>
        </w:rPr>
        <w:t>0.3</w:t>
      </w:r>
      <w:r>
        <w:rPr>
          <w:rFonts w:hint="eastAsia" w:ascii="仿宋_GB2312" w:hAnsi="仿宋_GB2312" w:eastAsia="仿宋_GB2312" w:cs="仿宋_GB2312"/>
          <w:color w:val="auto"/>
          <w:sz w:val="34"/>
          <w:szCs w:val="34"/>
        </w:rPr>
        <w:t>%；餐饮收入额</w:t>
      </w:r>
      <w:r>
        <w:rPr>
          <w:rFonts w:hint="eastAsia" w:ascii="仿宋_GB2312" w:hAnsi="仿宋_GB2312" w:eastAsia="仿宋_GB2312" w:cs="仿宋_GB2312"/>
          <w:color w:val="auto"/>
          <w:sz w:val="34"/>
          <w:szCs w:val="34"/>
          <w:lang w:val="en-US" w:eastAsia="zh-CN"/>
        </w:rPr>
        <w:t>17.3</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6.1</w:t>
      </w:r>
      <w:r>
        <w:rPr>
          <w:rFonts w:hint="eastAsia" w:ascii="仿宋_GB2312" w:hAnsi="仿宋_GB2312" w:eastAsia="仿宋_GB2312" w:cs="仿宋_GB2312"/>
          <w:color w:val="auto"/>
          <w:sz w:val="34"/>
          <w:szCs w:val="34"/>
        </w:rPr>
        <w:t>%。</w:t>
      </w:r>
    </w:p>
    <w:p>
      <w:pPr>
        <w:spacing w:line="360" w:lineRule="auto"/>
        <w:ind w:firstLine="666" w:firstLineChars="196"/>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在限额以上批发零售业商品零售类值中，全年粮油、食品类零售额增长</w:t>
      </w:r>
      <w:r>
        <w:rPr>
          <w:rFonts w:hint="eastAsia" w:ascii="仿宋_GB2312" w:hAnsi="仿宋_GB2312" w:eastAsia="仿宋_GB2312" w:cs="仿宋_GB2312"/>
          <w:color w:val="auto"/>
          <w:sz w:val="34"/>
          <w:szCs w:val="34"/>
          <w:lang w:val="en-US" w:eastAsia="zh-CN"/>
        </w:rPr>
        <w:t>27.3</w:t>
      </w:r>
      <w:r>
        <w:rPr>
          <w:rFonts w:hint="eastAsia" w:ascii="仿宋_GB2312" w:hAnsi="仿宋_GB2312" w:eastAsia="仿宋_GB2312" w:cs="仿宋_GB2312"/>
          <w:color w:val="auto"/>
          <w:sz w:val="34"/>
          <w:szCs w:val="34"/>
        </w:rPr>
        <w:t>%；烟酒类零售额下降</w:t>
      </w:r>
      <w:r>
        <w:rPr>
          <w:rFonts w:hint="eastAsia" w:ascii="仿宋_GB2312" w:hAnsi="仿宋_GB2312" w:eastAsia="仿宋_GB2312" w:cs="仿宋_GB2312"/>
          <w:color w:val="auto"/>
          <w:sz w:val="34"/>
          <w:szCs w:val="34"/>
          <w:lang w:val="en-US" w:eastAsia="zh-CN"/>
        </w:rPr>
        <w:t>4.6</w:t>
      </w:r>
      <w:r>
        <w:rPr>
          <w:rFonts w:hint="eastAsia" w:ascii="仿宋_GB2312" w:hAnsi="仿宋_GB2312" w:eastAsia="仿宋_GB2312" w:cs="仿宋_GB2312"/>
          <w:color w:val="auto"/>
          <w:sz w:val="34"/>
          <w:szCs w:val="34"/>
        </w:rPr>
        <w:t>%；化妆品类零售额下降</w:t>
      </w:r>
      <w:r>
        <w:rPr>
          <w:rFonts w:hint="eastAsia" w:ascii="仿宋_GB2312" w:hAnsi="仿宋_GB2312" w:eastAsia="仿宋_GB2312" w:cs="仿宋_GB2312"/>
          <w:color w:val="auto"/>
          <w:sz w:val="34"/>
          <w:szCs w:val="34"/>
          <w:lang w:val="en-US" w:eastAsia="zh-CN"/>
        </w:rPr>
        <w:t>79.5</w:t>
      </w:r>
      <w:r>
        <w:rPr>
          <w:rFonts w:hint="eastAsia" w:ascii="仿宋_GB2312" w:hAnsi="仿宋_GB2312" w:eastAsia="仿宋_GB2312" w:cs="仿宋_GB2312"/>
          <w:color w:val="auto"/>
          <w:sz w:val="34"/>
          <w:szCs w:val="34"/>
        </w:rPr>
        <w:t>%；饮料类零售额下降</w:t>
      </w:r>
      <w:r>
        <w:rPr>
          <w:rFonts w:hint="eastAsia" w:ascii="仿宋_GB2312" w:hAnsi="仿宋_GB2312" w:eastAsia="仿宋_GB2312" w:cs="仿宋_GB2312"/>
          <w:color w:val="auto"/>
          <w:sz w:val="34"/>
          <w:szCs w:val="34"/>
          <w:lang w:val="en-US" w:eastAsia="zh-CN"/>
        </w:rPr>
        <w:t>3.6</w:t>
      </w:r>
      <w:r>
        <w:rPr>
          <w:rFonts w:hint="eastAsia" w:ascii="仿宋_GB2312" w:hAnsi="仿宋_GB2312" w:eastAsia="仿宋_GB2312" w:cs="仿宋_GB2312"/>
          <w:color w:val="auto"/>
          <w:sz w:val="34"/>
          <w:szCs w:val="34"/>
        </w:rPr>
        <w:t>%；金银珠宝类零售额下降</w:t>
      </w:r>
      <w:r>
        <w:rPr>
          <w:rFonts w:hint="eastAsia" w:ascii="仿宋_GB2312" w:hAnsi="仿宋_GB2312" w:eastAsia="仿宋_GB2312" w:cs="仿宋_GB2312"/>
          <w:color w:val="auto"/>
          <w:sz w:val="34"/>
          <w:szCs w:val="34"/>
          <w:lang w:val="en-US" w:eastAsia="zh-CN"/>
        </w:rPr>
        <w:t>43.2</w:t>
      </w:r>
      <w:r>
        <w:rPr>
          <w:rFonts w:hint="eastAsia" w:ascii="仿宋_GB2312" w:hAnsi="仿宋_GB2312" w:eastAsia="仿宋_GB2312" w:cs="仿宋_GB2312"/>
          <w:color w:val="auto"/>
          <w:sz w:val="34"/>
          <w:szCs w:val="34"/>
        </w:rPr>
        <w:t>%；家用电器和音像器材类零售额下降</w:t>
      </w:r>
      <w:r>
        <w:rPr>
          <w:rFonts w:hint="eastAsia" w:ascii="仿宋_GB2312" w:hAnsi="仿宋_GB2312" w:eastAsia="仿宋_GB2312" w:cs="仿宋_GB2312"/>
          <w:color w:val="auto"/>
          <w:sz w:val="34"/>
          <w:szCs w:val="34"/>
          <w:lang w:val="en-US" w:eastAsia="zh-CN"/>
        </w:rPr>
        <w:t>16.2</w:t>
      </w:r>
      <w:r>
        <w:rPr>
          <w:rFonts w:hint="eastAsia" w:ascii="仿宋_GB2312" w:hAnsi="仿宋_GB2312" w:eastAsia="仿宋_GB2312" w:cs="仿宋_GB2312"/>
          <w:color w:val="auto"/>
          <w:sz w:val="34"/>
          <w:szCs w:val="34"/>
        </w:rPr>
        <w:t>%；日用品类零售额下降</w:t>
      </w:r>
      <w:r>
        <w:rPr>
          <w:rFonts w:hint="eastAsia" w:ascii="仿宋_GB2312" w:hAnsi="仿宋_GB2312" w:eastAsia="仿宋_GB2312" w:cs="仿宋_GB2312"/>
          <w:color w:val="auto"/>
          <w:sz w:val="34"/>
          <w:szCs w:val="34"/>
          <w:lang w:val="en-US" w:eastAsia="zh-CN"/>
        </w:rPr>
        <w:t>21.3</w:t>
      </w:r>
      <w:r>
        <w:rPr>
          <w:rFonts w:hint="eastAsia" w:ascii="仿宋_GB2312" w:hAnsi="仿宋_GB2312" w:eastAsia="仿宋_GB2312" w:cs="仿宋_GB2312"/>
          <w:color w:val="auto"/>
          <w:sz w:val="34"/>
          <w:szCs w:val="34"/>
        </w:rPr>
        <w:t>%；中西药品类零售额下降</w:t>
      </w:r>
      <w:r>
        <w:rPr>
          <w:rFonts w:hint="eastAsia" w:ascii="仿宋_GB2312" w:hAnsi="仿宋_GB2312" w:eastAsia="仿宋_GB2312" w:cs="仿宋_GB2312"/>
          <w:color w:val="auto"/>
          <w:sz w:val="34"/>
          <w:szCs w:val="34"/>
          <w:lang w:val="en-US" w:eastAsia="zh-CN"/>
        </w:rPr>
        <w:t>0.3</w:t>
      </w:r>
      <w:r>
        <w:rPr>
          <w:rFonts w:hint="eastAsia" w:ascii="仿宋_GB2312" w:hAnsi="仿宋_GB2312" w:eastAsia="仿宋_GB2312" w:cs="仿宋_GB2312"/>
          <w:color w:val="auto"/>
          <w:sz w:val="34"/>
          <w:szCs w:val="34"/>
        </w:rPr>
        <w:t>%；汽车类零售额增长</w:t>
      </w:r>
      <w:r>
        <w:rPr>
          <w:rFonts w:hint="eastAsia" w:ascii="仿宋_GB2312" w:hAnsi="仿宋_GB2312" w:eastAsia="仿宋_GB2312" w:cs="仿宋_GB2312"/>
          <w:color w:val="auto"/>
          <w:sz w:val="34"/>
          <w:szCs w:val="34"/>
          <w:lang w:val="en-US" w:eastAsia="zh-CN"/>
        </w:rPr>
        <w:t>8.5</w:t>
      </w:r>
      <w:r>
        <w:rPr>
          <w:rFonts w:hint="eastAsia" w:ascii="仿宋_GB2312" w:hAnsi="仿宋_GB2312" w:eastAsia="仿宋_GB2312" w:cs="仿宋_GB2312"/>
          <w:color w:val="auto"/>
          <w:sz w:val="34"/>
          <w:szCs w:val="34"/>
        </w:rPr>
        <w:t>%；文化办公用品类零售额下降</w:t>
      </w:r>
      <w:r>
        <w:rPr>
          <w:rFonts w:hint="eastAsia" w:ascii="仿宋_GB2312" w:hAnsi="仿宋_GB2312" w:eastAsia="仿宋_GB2312" w:cs="仿宋_GB2312"/>
          <w:color w:val="auto"/>
          <w:sz w:val="34"/>
          <w:szCs w:val="34"/>
          <w:lang w:val="en-US" w:eastAsia="zh-CN"/>
        </w:rPr>
        <w:t>44.0</w:t>
      </w:r>
      <w:r>
        <w:rPr>
          <w:rFonts w:hint="eastAsia" w:ascii="仿宋_GB2312" w:hAnsi="仿宋_GB2312" w:eastAsia="仿宋_GB2312" w:cs="仿宋_GB2312"/>
          <w:color w:val="auto"/>
          <w:sz w:val="34"/>
          <w:szCs w:val="34"/>
        </w:rPr>
        <w:t>%；石油及制品类下降</w:t>
      </w:r>
      <w:r>
        <w:rPr>
          <w:rFonts w:hint="eastAsia" w:ascii="仿宋_GB2312" w:hAnsi="仿宋_GB2312" w:eastAsia="仿宋_GB2312" w:cs="仿宋_GB2312"/>
          <w:color w:val="auto"/>
          <w:sz w:val="34"/>
          <w:szCs w:val="34"/>
          <w:lang w:val="en-US" w:eastAsia="zh-CN"/>
        </w:rPr>
        <w:t>23</w:t>
      </w:r>
      <w:r>
        <w:rPr>
          <w:rFonts w:hint="eastAsia" w:ascii="仿宋_GB2312" w:hAnsi="仿宋_GB2312" w:eastAsia="仿宋_GB2312" w:cs="仿宋_GB2312"/>
          <w:color w:val="auto"/>
          <w:sz w:val="34"/>
          <w:szCs w:val="34"/>
        </w:rPr>
        <w:t>.8%。</w:t>
      </w:r>
    </w:p>
    <w:p>
      <w:pPr>
        <w:rPr>
          <w:rFonts w:ascii="仿宋_GB2312" w:hAnsi="仿宋_GB2312" w:eastAsia="仿宋_GB2312" w:cs="仿宋_GB2312"/>
          <w:color w:val="auto"/>
        </w:rPr>
      </w:pPr>
    </w:p>
    <w:p>
      <w:pPr>
        <w:spacing w:line="360" w:lineRule="auto"/>
        <w:jc w:val="center"/>
        <w:rPr>
          <w:rFonts w:cs="仿宋_GB2312" w:asciiTheme="minorEastAsia" w:hAnsiTheme="minorEastAsia" w:eastAsiaTheme="minorEastAsia"/>
          <w:b/>
          <w:color w:val="auto"/>
          <w:sz w:val="28"/>
          <w:szCs w:val="28"/>
        </w:rPr>
      </w:pPr>
      <w:r>
        <w:rPr>
          <w:rFonts w:hint="eastAsia" w:cs="仿宋_GB2312" w:asciiTheme="minorEastAsia" w:hAnsiTheme="minorEastAsia" w:eastAsiaTheme="minorEastAsia"/>
          <w:b/>
          <w:color w:val="auto"/>
          <w:sz w:val="28"/>
          <w:szCs w:val="28"/>
        </w:rPr>
        <w:t>（图三）201</w:t>
      </w:r>
      <w:r>
        <w:rPr>
          <w:rFonts w:hint="eastAsia" w:cs="仿宋_GB2312" w:asciiTheme="minorEastAsia" w:hAnsiTheme="minorEastAsia" w:eastAsiaTheme="minorEastAsia"/>
          <w:b/>
          <w:color w:val="auto"/>
          <w:sz w:val="28"/>
          <w:szCs w:val="28"/>
          <w:lang w:val="en-US" w:eastAsia="zh-CN"/>
        </w:rPr>
        <w:t>6</w:t>
      </w:r>
      <w:r>
        <w:rPr>
          <w:rFonts w:hint="eastAsia" w:cs="仿宋_GB2312" w:asciiTheme="minorEastAsia" w:hAnsiTheme="minorEastAsia" w:eastAsiaTheme="minorEastAsia"/>
          <w:b/>
          <w:color w:val="auto"/>
          <w:sz w:val="28"/>
          <w:szCs w:val="28"/>
        </w:rPr>
        <w:t>-20</w:t>
      </w:r>
      <w:r>
        <w:rPr>
          <w:rFonts w:hint="eastAsia" w:cs="仿宋_GB2312" w:asciiTheme="minorEastAsia" w:hAnsiTheme="minorEastAsia" w:eastAsiaTheme="minorEastAsia"/>
          <w:b/>
          <w:color w:val="auto"/>
          <w:sz w:val="28"/>
          <w:szCs w:val="28"/>
          <w:lang w:val="en-US" w:eastAsia="zh-CN"/>
        </w:rPr>
        <w:t>20</w:t>
      </w:r>
      <w:r>
        <w:rPr>
          <w:rFonts w:hint="eastAsia" w:cs="仿宋_GB2312" w:asciiTheme="minorEastAsia" w:hAnsiTheme="minorEastAsia" w:eastAsiaTheme="minorEastAsia"/>
          <w:b/>
          <w:color w:val="auto"/>
          <w:sz w:val="28"/>
          <w:szCs w:val="28"/>
        </w:rPr>
        <w:t>年社会消费品零售总额及其增长速度</w:t>
      </w:r>
    </w:p>
    <w:p>
      <w:pPr>
        <w:spacing w:line="360" w:lineRule="auto"/>
        <w:jc w:val="center"/>
        <w:rPr>
          <w:rFonts w:ascii="宋体" w:hAnsi="宋体"/>
          <w:b/>
          <w:color w:val="auto"/>
          <w:sz w:val="24"/>
          <w:szCs w:val="24"/>
        </w:rPr>
      </w:pPr>
      <w:r>
        <w:rPr>
          <w:rFonts w:ascii="宋体" w:hAnsi="宋体"/>
          <w:b/>
          <w:color w:val="auto"/>
          <w:sz w:val="24"/>
          <w:szCs w:val="24"/>
        </w:rPr>
        <w:drawing>
          <wp:inline distT="0" distB="0" distL="0" distR="0">
            <wp:extent cx="5274310" cy="3687445"/>
            <wp:effectExtent l="0" t="0" r="2540" b="8255"/>
            <wp:docPr id="6"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100" w:beforeAutospacing="1" w:line="360" w:lineRule="auto"/>
        <w:ind w:firstLine="680" w:firstLineChars="20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全年实现进出口总额</w:t>
      </w:r>
      <w:r>
        <w:rPr>
          <w:rFonts w:hint="eastAsia" w:ascii="仿宋_GB2312" w:hAnsi="仿宋_GB2312" w:eastAsia="仿宋_GB2312" w:cs="仿宋_GB2312"/>
          <w:color w:val="auto"/>
          <w:sz w:val="34"/>
          <w:szCs w:val="34"/>
          <w:lang w:val="en-US" w:eastAsia="zh-CN"/>
        </w:rPr>
        <w:t>2</w:t>
      </w:r>
      <w:r>
        <w:rPr>
          <w:rFonts w:hint="eastAsia" w:ascii="仿宋_GB2312" w:hAnsi="仿宋_GB2312" w:eastAsia="仿宋_GB2312" w:cs="仿宋_GB2312"/>
          <w:color w:val="auto"/>
          <w:sz w:val="34"/>
          <w:szCs w:val="34"/>
        </w:rPr>
        <w:t>亿元,其中出口总额</w:t>
      </w:r>
      <w:r>
        <w:rPr>
          <w:rFonts w:hint="eastAsia" w:ascii="仿宋_GB2312" w:hAnsi="仿宋_GB2312" w:eastAsia="仿宋_GB2312" w:cs="仿宋_GB2312"/>
          <w:color w:val="auto"/>
          <w:sz w:val="34"/>
          <w:szCs w:val="34"/>
          <w:lang w:val="en-US" w:eastAsia="zh-CN"/>
        </w:rPr>
        <w:t>1.95</w:t>
      </w:r>
      <w:r>
        <w:rPr>
          <w:rFonts w:hint="eastAsia" w:ascii="仿宋_GB2312" w:hAnsi="仿宋_GB2312" w:eastAsia="仿宋_GB2312" w:cs="仿宋_GB2312"/>
          <w:color w:val="auto"/>
          <w:sz w:val="34"/>
          <w:szCs w:val="34"/>
        </w:rPr>
        <w:t>亿元，进口总额</w:t>
      </w:r>
      <w:r>
        <w:rPr>
          <w:rFonts w:hint="eastAsia" w:ascii="仿宋_GB2312" w:hAnsi="仿宋_GB2312" w:eastAsia="仿宋_GB2312" w:cs="仿宋_GB2312"/>
          <w:color w:val="auto"/>
          <w:sz w:val="34"/>
          <w:szCs w:val="34"/>
          <w:lang w:val="en-US" w:eastAsia="zh-CN"/>
        </w:rPr>
        <w:t>0.05亿元</w:t>
      </w:r>
      <w:r>
        <w:rPr>
          <w:rFonts w:hint="eastAsia" w:ascii="仿宋_GB2312" w:hAnsi="仿宋_GB2312" w:eastAsia="仿宋_GB2312" w:cs="仿宋_GB2312"/>
          <w:color w:val="auto"/>
          <w:sz w:val="34"/>
          <w:szCs w:val="34"/>
        </w:rPr>
        <w:t>。</w:t>
      </w:r>
    </w:p>
    <w:p>
      <w:pPr>
        <w:spacing w:line="360" w:lineRule="auto"/>
        <w:ind w:firstLine="482"/>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 xml:space="preserve"> 全年实际利用外资</w:t>
      </w:r>
      <w:r>
        <w:rPr>
          <w:rFonts w:hint="eastAsia" w:ascii="仿宋_GB2312" w:hAnsi="仿宋_GB2312" w:eastAsia="仿宋_GB2312" w:cs="仿宋_GB2312"/>
          <w:color w:val="auto"/>
          <w:sz w:val="34"/>
          <w:szCs w:val="34"/>
          <w:lang w:val="en-US" w:eastAsia="zh-CN"/>
        </w:rPr>
        <w:t>4046</w:t>
      </w:r>
      <w:r>
        <w:rPr>
          <w:rFonts w:hint="eastAsia" w:ascii="仿宋_GB2312" w:hAnsi="仿宋_GB2312" w:eastAsia="仿宋_GB2312" w:cs="仿宋_GB2312"/>
          <w:color w:val="auto"/>
          <w:sz w:val="34"/>
          <w:szCs w:val="34"/>
        </w:rPr>
        <w:t>万美元，</w:t>
      </w:r>
      <w:r>
        <w:rPr>
          <w:rFonts w:hint="eastAsia" w:ascii="仿宋_GB2312" w:hAnsi="仿宋_GB2312" w:eastAsia="仿宋_GB2312" w:cs="仿宋_GB2312"/>
          <w:color w:val="auto"/>
          <w:sz w:val="34"/>
          <w:szCs w:val="34"/>
          <w:lang w:val="en-US" w:eastAsia="zh-CN"/>
        </w:rPr>
        <w:t>是上年的13.9倍</w:t>
      </w:r>
      <w:r>
        <w:rPr>
          <w:rFonts w:hint="eastAsia" w:ascii="仿宋_GB2312" w:hAnsi="仿宋_GB2312" w:eastAsia="仿宋_GB2312" w:cs="仿宋_GB2312"/>
          <w:color w:val="auto"/>
          <w:sz w:val="34"/>
          <w:szCs w:val="34"/>
        </w:rPr>
        <w:t>;实际到位内资</w:t>
      </w:r>
      <w:r>
        <w:rPr>
          <w:rFonts w:hint="eastAsia" w:ascii="仿宋_GB2312" w:hAnsi="仿宋_GB2312" w:eastAsia="仿宋_GB2312" w:cs="仿宋_GB2312"/>
          <w:color w:val="auto"/>
          <w:sz w:val="34"/>
          <w:szCs w:val="34"/>
          <w:lang w:val="en-US" w:eastAsia="zh-CN"/>
        </w:rPr>
        <w:t>90.1</w:t>
      </w:r>
      <w:r>
        <w:rPr>
          <w:rFonts w:hint="eastAsia" w:ascii="仿宋_GB2312" w:hAnsi="仿宋_GB2312" w:eastAsia="仿宋_GB2312" w:cs="仿宋_GB2312"/>
          <w:color w:val="auto"/>
          <w:sz w:val="34"/>
          <w:szCs w:val="34"/>
        </w:rPr>
        <w:t>亿元,比上年增长</w:t>
      </w:r>
      <w:r>
        <w:rPr>
          <w:rFonts w:hint="eastAsia" w:ascii="仿宋_GB2312" w:hAnsi="仿宋_GB2312" w:eastAsia="仿宋_GB2312" w:cs="仿宋_GB2312"/>
          <w:color w:val="auto"/>
          <w:sz w:val="34"/>
          <w:szCs w:val="34"/>
          <w:lang w:val="en-US" w:eastAsia="zh-CN"/>
        </w:rPr>
        <w:t>28.7</w:t>
      </w:r>
      <w:r>
        <w:rPr>
          <w:rFonts w:hint="eastAsia" w:ascii="仿宋_GB2312" w:hAnsi="仿宋_GB2312" w:eastAsia="仿宋_GB2312" w:cs="仿宋_GB2312"/>
          <w:color w:val="auto"/>
          <w:sz w:val="34"/>
          <w:szCs w:val="34"/>
        </w:rPr>
        <w:t>%。</w:t>
      </w:r>
    </w:p>
    <w:p>
      <w:pPr>
        <w:spacing w:line="360" w:lineRule="auto"/>
        <w:rPr>
          <w:rFonts w:ascii="仿宋" w:hAnsi="仿宋" w:eastAsia="仿宋"/>
          <w:b/>
          <w:color w:val="auto"/>
          <w:sz w:val="32"/>
          <w:szCs w:val="32"/>
        </w:rPr>
      </w:pPr>
      <w:r>
        <w:rPr>
          <w:rFonts w:hint="eastAsia" w:ascii="仿宋" w:hAnsi="仿宋" w:eastAsia="仿宋"/>
          <w:color w:val="auto"/>
          <w:sz w:val="32"/>
          <w:szCs w:val="32"/>
        </w:rPr>
        <w:t xml:space="preserve">    </w:t>
      </w:r>
      <w:r>
        <w:rPr>
          <w:rFonts w:hint="eastAsia" w:ascii="黑体" w:hAnsi="黑体" w:eastAsia="黑体" w:cs="黑体"/>
          <w:bCs/>
          <w:color w:val="auto"/>
          <w:sz w:val="32"/>
          <w:szCs w:val="32"/>
        </w:rPr>
        <w:t>六、财政税收和金融</w:t>
      </w:r>
    </w:p>
    <w:p>
      <w:pPr>
        <w:spacing w:line="360" w:lineRule="auto"/>
        <w:ind w:firstLine="680" w:firstLineChars="200"/>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rPr>
        <w:t>全年税收收入完成</w:t>
      </w:r>
      <w:r>
        <w:rPr>
          <w:rFonts w:hint="eastAsia" w:ascii="仿宋_GB2312" w:hAnsi="仿宋_GB2312" w:eastAsia="仿宋_GB2312" w:cs="仿宋_GB2312"/>
          <w:color w:val="auto"/>
          <w:sz w:val="34"/>
          <w:szCs w:val="34"/>
          <w:lang w:val="en-US" w:eastAsia="zh-CN"/>
        </w:rPr>
        <w:t>36.7</w:t>
      </w:r>
      <w:r>
        <w:rPr>
          <w:rFonts w:hint="eastAsia" w:ascii="仿宋_GB2312" w:hAnsi="仿宋_GB2312" w:eastAsia="仿宋_GB2312" w:cs="仿宋_GB2312"/>
          <w:color w:val="auto"/>
          <w:sz w:val="34"/>
          <w:szCs w:val="34"/>
        </w:rPr>
        <w:t>亿元，比上年</w:t>
      </w:r>
      <w:r>
        <w:rPr>
          <w:rFonts w:hint="eastAsia" w:ascii="仿宋_GB2312" w:hAnsi="仿宋_GB2312" w:eastAsia="仿宋_GB2312" w:cs="仿宋_GB2312"/>
          <w:color w:val="auto"/>
          <w:sz w:val="34"/>
          <w:szCs w:val="34"/>
          <w:lang w:val="en-US" w:eastAsia="zh-CN"/>
        </w:rPr>
        <w:t>下降6.7</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val="en-US" w:eastAsia="zh-CN"/>
        </w:rPr>
        <w:t>其中，区本级实现22.9亿元，比上年增长13.1%；高新区实现13.8亿元，比上年下降27.7%。</w:t>
      </w:r>
    </w:p>
    <w:p>
      <w:pPr>
        <w:spacing w:line="360" w:lineRule="auto"/>
        <w:ind w:firstLine="680" w:firstLineChars="200"/>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rPr>
        <w:t>一般公共预算收入实现</w:t>
      </w:r>
      <w:r>
        <w:rPr>
          <w:rFonts w:hint="eastAsia" w:ascii="仿宋_GB2312" w:hAnsi="仿宋_GB2312" w:eastAsia="仿宋_GB2312" w:cs="仿宋_GB2312"/>
          <w:color w:val="auto"/>
          <w:sz w:val="34"/>
          <w:szCs w:val="34"/>
          <w:lang w:val="en-US" w:eastAsia="zh-CN"/>
        </w:rPr>
        <w:t>19.9</w:t>
      </w:r>
      <w:r>
        <w:rPr>
          <w:rFonts w:hint="eastAsia" w:ascii="仿宋_GB2312" w:hAnsi="仿宋_GB2312" w:eastAsia="仿宋_GB2312" w:cs="仿宋_GB2312"/>
          <w:color w:val="auto"/>
          <w:sz w:val="34"/>
          <w:szCs w:val="34"/>
        </w:rPr>
        <w:t>亿元,比上年</w:t>
      </w:r>
      <w:r>
        <w:rPr>
          <w:rFonts w:hint="eastAsia" w:ascii="仿宋_GB2312" w:hAnsi="仿宋_GB2312" w:eastAsia="仿宋_GB2312" w:cs="仿宋_GB2312"/>
          <w:color w:val="auto"/>
          <w:sz w:val="34"/>
          <w:szCs w:val="34"/>
          <w:lang w:val="en-US" w:eastAsia="zh-CN"/>
        </w:rPr>
        <w:t>下降2.4</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val="en-US" w:eastAsia="zh-CN"/>
        </w:rPr>
        <w:t>其中，区本级实现14亿元，比上年增长10.7%；高新区实现5.9亿元，比上年下降24.0%。</w:t>
      </w:r>
    </w:p>
    <w:p>
      <w:pPr>
        <w:spacing w:line="360" w:lineRule="auto"/>
        <w:ind w:firstLine="680" w:firstLineChars="200"/>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lang w:val="en-US" w:eastAsia="zh-CN"/>
        </w:rPr>
        <w:t>一般公共预算收入中</w:t>
      </w:r>
      <w:r>
        <w:rPr>
          <w:rFonts w:hint="eastAsia" w:ascii="仿宋_GB2312" w:hAnsi="仿宋_GB2312" w:eastAsia="仿宋_GB2312" w:cs="仿宋_GB2312"/>
          <w:color w:val="auto"/>
          <w:sz w:val="34"/>
          <w:szCs w:val="34"/>
        </w:rPr>
        <w:t>财政口径税收收入实现</w:t>
      </w:r>
      <w:r>
        <w:rPr>
          <w:rFonts w:hint="eastAsia" w:ascii="仿宋_GB2312" w:hAnsi="仿宋_GB2312" w:eastAsia="仿宋_GB2312" w:cs="仿宋_GB2312"/>
          <w:color w:val="auto"/>
          <w:sz w:val="34"/>
          <w:szCs w:val="34"/>
          <w:lang w:val="en-US" w:eastAsia="zh-CN"/>
        </w:rPr>
        <w:t>18.3</w:t>
      </w:r>
      <w:r>
        <w:rPr>
          <w:rFonts w:hint="eastAsia" w:ascii="仿宋_GB2312" w:hAnsi="仿宋_GB2312" w:eastAsia="仿宋_GB2312" w:cs="仿宋_GB2312"/>
          <w:color w:val="auto"/>
          <w:sz w:val="34"/>
          <w:szCs w:val="34"/>
        </w:rPr>
        <w:t>亿元(不含教育费附加)，</w:t>
      </w:r>
      <w:r>
        <w:rPr>
          <w:rFonts w:hint="eastAsia" w:ascii="仿宋_GB2312" w:hAnsi="仿宋_GB2312" w:eastAsia="仿宋_GB2312" w:cs="仿宋_GB2312"/>
          <w:color w:val="auto"/>
          <w:sz w:val="34"/>
          <w:szCs w:val="34"/>
          <w:lang w:val="en-US" w:eastAsia="zh-CN"/>
        </w:rPr>
        <w:t>下降3.4</w:t>
      </w:r>
      <w:r>
        <w:rPr>
          <w:rFonts w:hint="eastAsia" w:ascii="仿宋_GB2312" w:hAnsi="仿宋_GB2312" w:eastAsia="仿宋_GB2312" w:cs="仿宋_GB2312"/>
          <w:color w:val="auto"/>
          <w:sz w:val="34"/>
          <w:szCs w:val="34"/>
        </w:rPr>
        <w:t>%，占比为</w:t>
      </w:r>
      <w:r>
        <w:rPr>
          <w:rFonts w:hint="eastAsia" w:ascii="仿宋_GB2312" w:hAnsi="仿宋_GB2312" w:eastAsia="仿宋_GB2312" w:cs="仿宋_GB2312"/>
          <w:color w:val="auto"/>
          <w:sz w:val="34"/>
          <w:szCs w:val="34"/>
          <w:lang w:val="en-US" w:eastAsia="zh-CN"/>
        </w:rPr>
        <w:t>91.8</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其中，区本级实现12.7亿元，比上年增长12.4%。</w:t>
      </w:r>
    </w:p>
    <w:p>
      <w:pPr>
        <w:spacing w:line="360" w:lineRule="auto"/>
        <w:ind w:firstLine="680" w:firstLineChars="200"/>
        <w:rPr>
          <w:rFonts w:hint="default"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rPr>
        <w:t>政府非税收入完成</w:t>
      </w:r>
      <w:r>
        <w:rPr>
          <w:rFonts w:hint="eastAsia" w:ascii="仿宋_GB2312" w:hAnsi="仿宋_GB2312" w:eastAsia="仿宋_GB2312" w:cs="仿宋_GB2312"/>
          <w:color w:val="auto"/>
          <w:sz w:val="34"/>
          <w:szCs w:val="34"/>
          <w:lang w:val="en-US" w:eastAsia="zh-CN"/>
        </w:rPr>
        <w:t>1.6</w:t>
      </w:r>
      <w:r>
        <w:rPr>
          <w:rFonts w:hint="eastAsia" w:ascii="仿宋_GB2312" w:hAnsi="仿宋_GB2312" w:eastAsia="仿宋_GB2312" w:cs="仿宋_GB2312"/>
          <w:color w:val="auto"/>
          <w:sz w:val="34"/>
          <w:szCs w:val="34"/>
        </w:rPr>
        <w:t>亿元，增长</w:t>
      </w:r>
      <w:r>
        <w:rPr>
          <w:rFonts w:hint="eastAsia" w:ascii="仿宋_GB2312" w:hAnsi="仿宋_GB2312" w:eastAsia="仿宋_GB2312" w:cs="仿宋_GB2312"/>
          <w:color w:val="auto"/>
          <w:sz w:val="34"/>
          <w:szCs w:val="34"/>
          <w:lang w:val="en-US" w:eastAsia="zh-CN"/>
        </w:rPr>
        <w:t>10.4</w:t>
      </w:r>
      <w:r>
        <w:rPr>
          <w:rFonts w:hint="eastAsia" w:ascii="仿宋_GB2312" w:hAnsi="仿宋_GB2312" w:eastAsia="仿宋_GB2312" w:cs="仿宋_GB2312"/>
          <w:color w:val="auto"/>
          <w:sz w:val="34"/>
          <w:szCs w:val="34"/>
        </w:rPr>
        <w:t>%，占比为</w:t>
      </w:r>
      <w:r>
        <w:rPr>
          <w:rFonts w:hint="eastAsia" w:ascii="仿宋_GB2312" w:hAnsi="仿宋_GB2312" w:eastAsia="仿宋_GB2312" w:cs="仿宋_GB2312"/>
          <w:color w:val="auto"/>
          <w:sz w:val="34"/>
          <w:szCs w:val="34"/>
          <w:lang w:val="en-US" w:eastAsia="zh-CN"/>
        </w:rPr>
        <w:t>8.2</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其中，区本级实现1.3亿元，比上年下降3.7%。</w:t>
      </w:r>
    </w:p>
    <w:p>
      <w:pPr>
        <w:widowControl/>
        <w:spacing w:line="360" w:lineRule="auto"/>
        <w:ind w:firstLine="680" w:firstLineChars="200"/>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rPr>
        <w:t>全年</w:t>
      </w:r>
      <w:r>
        <w:rPr>
          <w:rFonts w:hint="eastAsia" w:ascii="仿宋_GB2312" w:hAnsi="仿宋_GB2312" w:eastAsia="仿宋_GB2312" w:cs="仿宋_GB2312"/>
          <w:color w:val="auto"/>
          <w:sz w:val="34"/>
          <w:szCs w:val="34"/>
          <w:lang w:val="en-US" w:eastAsia="zh-CN"/>
        </w:rPr>
        <w:t>一般</w:t>
      </w:r>
      <w:r>
        <w:rPr>
          <w:rFonts w:hint="eastAsia" w:ascii="仿宋_GB2312" w:hAnsi="仿宋_GB2312" w:eastAsia="仿宋_GB2312" w:cs="仿宋_GB2312"/>
          <w:color w:val="auto"/>
          <w:sz w:val="34"/>
          <w:szCs w:val="34"/>
        </w:rPr>
        <w:t>预算支出</w:t>
      </w:r>
      <w:r>
        <w:rPr>
          <w:rFonts w:hint="eastAsia" w:ascii="仿宋_GB2312" w:hAnsi="仿宋_GB2312" w:eastAsia="仿宋_GB2312" w:cs="仿宋_GB2312"/>
          <w:color w:val="auto"/>
          <w:sz w:val="34"/>
          <w:szCs w:val="34"/>
          <w:lang w:val="en-US" w:eastAsia="zh-CN"/>
        </w:rPr>
        <w:t>22.4</w:t>
      </w:r>
      <w:r>
        <w:rPr>
          <w:rFonts w:hint="eastAsia" w:ascii="仿宋_GB2312" w:hAnsi="仿宋_GB2312" w:eastAsia="仿宋_GB2312" w:cs="仿宋_GB2312"/>
          <w:color w:val="auto"/>
          <w:sz w:val="34"/>
          <w:szCs w:val="34"/>
        </w:rPr>
        <w:t>亿元，比上年下降</w:t>
      </w:r>
      <w:r>
        <w:rPr>
          <w:rFonts w:hint="eastAsia" w:ascii="仿宋_GB2312" w:hAnsi="仿宋_GB2312" w:eastAsia="仿宋_GB2312" w:cs="仿宋_GB2312"/>
          <w:color w:val="auto"/>
          <w:sz w:val="34"/>
          <w:szCs w:val="34"/>
          <w:lang w:val="en-US" w:eastAsia="zh-CN"/>
        </w:rPr>
        <w:t>9.6</w:t>
      </w:r>
      <w:r>
        <w:rPr>
          <w:rFonts w:hint="eastAsia"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val="en-US" w:eastAsia="zh-CN"/>
        </w:rPr>
        <w:t>其中，区本级支出18.9亿元，比上年下降6.2%；高新区支出3.5亿元，比上年下降24.3%。</w:t>
      </w:r>
    </w:p>
    <w:p>
      <w:pPr>
        <w:widowControl/>
        <w:spacing w:line="360" w:lineRule="auto"/>
        <w:ind w:firstLine="680" w:firstLineChars="200"/>
        <w:rPr>
          <w:rFonts w:hint="eastAsia" w:cs="仿宋_GB2312" w:asciiTheme="minorEastAsia" w:hAnsiTheme="minorEastAsia" w:eastAsiaTheme="minorEastAsia"/>
          <w:b/>
          <w:color w:val="auto"/>
          <w:sz w:val="28"/>
          <w:szCs w:val="28"/>
        </w:rPr>
      </w:pPr>
      <w:r>
        <w:rPr>
          <w:rFonts w:hint="eastAsia" w:ascii="仿宋_GB2312" w:hAnsi="仿宋_GB2312" w:eastAsia="仿宋_GB2312" w:cs="仿宋_GB2312"/>
          <w:color w:val="auto"/>
          <w:kern w:val="0"/>
          <w:sz w:val="34"/>
          <w:szCs w:val="34"/>
          <w:lang w:val="en-US" w:eastAsia="zh-CN"/>
        </w:rPr>
        <w:t>全年一般预算支出中，</w:t>
      </w:r>
      <w:r>
        <w:rPr>
          <w:rFonts w:hint="eastAsia" w:ascii="仿宋_GB2312" w:hAnsi="仿宋_GB2312" w:eastAsia="仿宋_GB2312" w:cs="仿宋_GB2312"/>
          <w:color w:val="auto"/>
          <w:kern w:val="0"/>
          <w:sz w:val="34"/>
          <w:szCs w:val="34"/>
        </w:rPr>
        <w:t>城乡社区事务支出</w:t>
      </w:r>
      <w:r>
        <w:rPr>
          <w:rFonts w:hint="eastAsia" w:ascii="仿宋_GB2312" w:hAnsi="仿宋_GB2312" w:eastAsia="仿宋_GB2312" w:cs="仿宋_GB2312"/>
          <w:color w:val="auto"/>
          <w:kern w:val="0"/>
          <w:sz w:val="34"/>
          <w:szCs w:val="34"/>
          <w:lang w:val="en-US" w:eastAsia="zh-CN"/>
        </w:rPr>
        <w:t>8</w:t>
      </w:r>
      <w:r>
        <w:rPr>
          <w:rFonts w:hint="eastAsia" w:ascii="仿宋_GB2312" w:hAnsi="仿宋_GB2312" w:eastAsia="仿宋_GB2312" w:cs="仿宋_GB2312"/>
          <w:color w:val="auto"/>
          <w:kern w:val="0"/>
          <w:sz w:val="34"/>
          <w:szCs w:val="34"/>
        </w:rPr>
        <w:t>亿元，增长</w:t>
      </w:r>
      <w:r>
        <w:rPr>
          <w:rFonts w:hint="eastAsia" w:ascii="仿宋_GB2312" w:hAnsi="仿宋_GB2312" w:eastAsia="仿宋_GB2312" w:cs="仿宋_GB2312"/>
          <w:color w:val="auto"/>
          <w:kern w:val="0"/>
          <w:sz w:val="34"/>
          <w:szCs w:val="34"/>
          <w:lang w:val="en-US" w:eastAsia="zh-CN"/>
        </w:rPr>
        <w:t>68.4</w:t>
      </w:r>
      <w:r>
        <w:rPr>
          <w:rFonts w:hint="eastAsia" w:ascii="仿宋_GB2312" w:hAnsi="仿宋_GB2312" w:eastAsia="仿宋_GB2312" w:cs="仿宋_GB2312"/>
          <w:color w:val="auto"/>
          <w:kern w:val="0"/>
          <w:sz w:val="34"/>
          <w:szCs w:val="34"/>
        </w:rPr>
        <w:t>%；教育支出</w:t>
      </w:r>
      <w:r>
        <w:rPr>
          <w:rFonts w:hint="eastAsia" w:ascii="仿宋_GB2312" w:hAnsi="仿宋_GB2312" w:eastAsia="仿宋_GB2312" w:cs="仿宋_GB2312"/>
          <w:color w:val="auto"/>
          <w:kern w:val="0"/>
          <w:sz w:val="34"/>
          <w:szCs w:val="34"/>
          <w:lang w:val="en-US" w:eastAsia="zh-CN"/>
        </w:rPr>
        <w:t>4.8</w:t>
      </w:r>
      <w:r>
        <w:rPr>
          <w:rFonts w:hint="eastAsia" w:ascii="仿宋_GB2312" w:hAnsi="仿宋_GB2312" w:eastAsia="仿宋_GB2312" w:cs="仿宋_GB2312"/>
          <w:color w:val="auto"/>
          <w:kern w:val="0"/>
          <w:sz w:val="34"/>
          <w:szCs w:val="34"/>
        </w:rPr>
        <w:t>亿元，</w:t>
      </w:r>
      <w:r>
        <w:rPr>
          <w:rFonts w:hint="eastAsia" w:ascii="仿宋_GB2312" w:hAnsi="仿宋_GB2312" w:eastAsia="仿宋_GB2312" w:cs="仿宋_GB2312"/>
          <w:color w:val="auto"/>
          <w:kern w:val="0"/>
          <w:sz w:val="34"/>
          <w:szCs w:val="34"/>
          <w:lang w:val="en-US" w:eastAsia="zh-CN"/>
        </w:rPr>
        <w:t>下降12.9</w:t>
      </w:r>
      <w:r>
        <w:rPr>
          <w:rFonts w:hint="eastAsia" w:ascii="仿宋_GB2312" w:hAnsi="仿宋_GB2312" w:eastAsia="仿宋_GB2312" w:cs="仿宋_GB2312"/>
          <w:color w:val="auto"/>
          <w:kern w:val="0"/>
          <w:sz w:val="34"/>
          <w:szCs w:val="34"/>
        </w:rPr>
        <w:t>%；一般公共服务支出</w:t>
      </w:r>
      <w:r>
        <w:rPr>
          <w:rFonts w:hint="eastAsia" w:ascii="仿宋_GB2312" w:hAnsi="仿宋_GB2312" w:eastAsia="仿宋_GB2312" w:cs="仿宋_GB2312"/>
          <w:color w:val="auto"/>
          <w:kern w:val="0"/>
          <w:sz w:val="34"/>
          <w:szCs w:val="34"/>
          <w:lang w:val="en-US" w:eastAsia="zh-CN"/>
        </w:rPr>
        <w:t>2.5</w:t>
      </w:r>
      <w:r>
        <w:rPr>
          <w:rFonts w:hint="eastAsia" w:ascii="仿宋_GB2312" w:hAnsi="仿宋_GB2312" w:eastAsia="仿宋_GB2312" w:cs="仿宋_GB2312"/>
          <w:color w:val="auto"/>
          <w:kern w:val="0"/>
          <w:sz w:val="34"/>
          <w:szCs w:val="34"/>
        </w:rPr>
        <w:t>亿元，下降</w:t>
      </w:r>
      <w:r>
        <w:rPr>
          <w:rFonts w:hint="eastAsia" w:ascii="仿宋_GB2312" w:hAnsi="仿宋_GB2312" w:eastAsia="仿宋_GB2312" w:cs="仿宋_GB2312"/>
          <w:color w:val="auto"/>
          <w:kern w:val="0"/>
          <w:sz w:val="34"/>
          <w:szCs w:val="34"/>
          <w:lang w:val="en-US" w:eastAsia="zh-CN"/>
        </w:rPr>
        <w:t>19.9</w:t>
      </w:r>
      <w:r>
        <w:rPr>
          <w:rFonts w:hint="eastAsia" w:ascii="仿宋_GB2312" w:hAnsi="仿宋_GB2312" w:eastAsia="仿宋_GB2312" w:cs="仿宋_GB2312"/>
          <w:color w:val="auto"/>
          <w:kern w:val="0"/>
          <w:sz w:val="34"/>
          <w:szCs w:val="34"/>
        </w:rPr>
        <w:t xml:space="preserve">%；社会保障和就业支出1.1亿元，下降69.7%；卫生健康支出1.1亿元，下降13.5%。 </w:t>
      </w:r>
    </w:p>
    <w:p>
      <w:pPr>
        <w:jc w:val="both"/>
        <w:rPr>
          <w:rFonts w:hint="eastAsia" w:cs="仿宋_GB2312" w:asciiTheme="minorEastAsia" w:hAnsiTheme="minorEastAsia" w:eastAsiaTheme="minorEastAsia"/>
          <w:b/>
          <w:color w:val="auto"/>
          <w:sz w:val="28"/>
          <w:szCs w:val="28"/>
        </w:rPr>
      </w:pPr>
    </w:p>
    <w:p>
      <w:pPr>
        <w:jc w:val="center"/>
        <w:rPr>
          <w:rFonts w:cs="仿宋_GB2312" w:asciiTheme="minorEastAsia" w:hAnsiTheme="minorEastAsia" w:eastAsiaTheme="minorEastAsia"/>
          <w:b/>
          <w:color w:val="auto"/>
          <w:sz w:val="28"/>
          <w:szCs w:val="28"/>
        </w:rPr>
      </w:pPr>
      <w:r>
        <w:rPr>
          <w:rFonts w:hint="eastAsia" w:cs="仿宋_GB2312" w:asciiTheme="minorEastAsia" w:hAnsiTheme="minorEastAsia" w:eastAsiaTheme="minorEastAsia"/>
          <w:b/>
          <w:color w:val="auto"/>
          <w:sz w:val="28"/>
          <w:szCs w:val="28"/>
        </w:rPr>
        <w:t>（图四）201</w:t>
      </w:r>
      <w:r>
        <w:rPr>
          <w:rFonts w:hint="eastAsia" w:cs="仿宋_GB2312" w:asciiTheme="minorEastAsia" w:hAnsiTheme="minorEastAsia" w:eastAsiaTheme="minorEastAsia"/>
          <w:b/>
          <w:color w:val="auto"/>
          <w:sz w:val="28"/>
          <w:szCs w:val="28"/>
          <w:lang w:val="en-US" w:eastAsia="zh-CN"/>
        </w:rPr>
        <w:t>6</w:t>
      </w:r>
      <w:r>
        <w:rPr>
          <w:rFonts w:hint="eastAsia" w:cs="仿宋_GB2312" w:asciiTheme="minorEastAsia" w:hAnsiTheme="minorEastAsia" w:eastAsiaTheme="minorEastAsia"/>
          <w:b/>
          <w:color w:val="auto"/>
          <w:sz w:val="28"/>
          <w:szCs w:val="28"/>
        </w:rPr>
        <w:t>-20</w:t>
      </w:r>
      <w:r>
        <w:rPr>
          <w:rFonts w:hint="eastAsia" w:cs="仿宋_GB2312" w:asciiTheme="minorEastAsia" w:hAnsiTheme="minorEastAsia" w:eastAsiaTheme="minorEastAsia"/>
          <w:b/>
          <w:color w:val="auto"/>
          <w:sz w:val="28"/>
          <w:szCs w:val="28"/>
          <w:lang w:val="en-US" w:eastAsia="zh-CN"/>
        </w:rPr>
        <w:t>20</w:t>
      </w:r>
      <w:r>
        <w:rPr>
          <w:rFonts w:hint="eastAsia" w:cs="仿宋_GB2312" w:asciiTheme="minorEastAsia" w:hAnsiTheme="minorEastAsia" w:eastAsiaTheme="minorEastAsia"/>
          <w:b/>
          <w:color w:val="auto"/>
          <w:sz w:val="28"/>
          <w:szCs w:val="28"/>
        </w:rPr>
        <w:t>年财税收支情况</w:t>
      </w:r>
    </w:p>
    <w:p>
      <w:pPr>
        <w:jc w:val="center"/>
        <w:rPr>
          <w:rFonts w:ascii="宋体" w:hAnsi="宋体"/>
          <w:b/>
          <w:color w:val="auto"/>
          <w:sz w:val="24"/>
          <w:szCs w:val="24"/>
        </w:rPr>
      </w:pP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234315</wp:posOffset>
                </wp:positionV>
                <wp:extent cx="666750" cy="276225"/>
                <wp:effectExtent l="0" t="0" r="0" b="0"/>
                <wp:wrapNone/>
                <wp:docPr id="1" name="文本框 7"/>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a:noFill/>
                        </a:ln>
                      </wps:spPr>
                      <wps:txbx>
                        <w:txbxContent>
                          <w:p>
                            <w:pPr>
                              <w:rPr>
                                <w:b/>
                              </w:rPr>
                            </w:pPr>
                          </w:p>
                        </w:txbxContent>
                      </wps:txbx>
                      <wps:bodyPr upright="1"/>
                    </wps:wsp>
                  </a:graphicData>
                </a:graphic>
              </wp:anchor>
            </w:drawing>
          </mc:Choice>
          <mc:Fallback>
            <w:pict>
              <v:shape id="文本框 7" o:spid="_x0000_s1026" o:spt="202" type="#_x0000_t202" style="position:absolute;left:0pt;margin-left:370.5pt;margin-top:18.45pt;height:21.75pt;width:52.5pt;z-index:251659264;mso-width-relative:page;mso-height-relative:page;" filled="f" stroked="f" coordsize="21600,21600" o:gfxdata="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YYEWNcAAAAJ&#10;AQAADwAAAAAAAAABACAAAAAiAAAAZHJzL2Rvd25yZXYueG1sUEsBAhQAFAAAAAgAh07iQMpTDFGr&#10;AQAATQMAAA4AAAAAAAAAAQAgAAAAJgEAAGRycy9lMm9Eb2MueG1sUEsFBgAAAAAGAAYAWQEAAEMF&#10;AAAAAA==&#10;">
                <v:fill on="f" focussize="0,0"/>
                <v:stroke on="f"/>
                <v:imagedata o:title=""/>
                <o:lock v:ext="edit" aspectratio="f"/>
                <v:textbox>
                  <w:txbxContent>
                    <w:p>
                      <w:pPr>
                        <w:rPr>
                          <w:b/>
                        </w:rPr>
                      </w:pPr>
                    </w:p>
                  </w:txbxContent>
                </v:textbox>
              </v:shape>
            </w:pict>
          </mc:Fallback>
        </mc:AlternateContent>
      </w:r>
      <w:r>
        <w:rPr>
          <w:rFonts w:asciiTheme="minorEastAsia" w:hAnsiTheme="minorEastAsia" w:eastAsiaTheme="minorEastAsia"/>
          <w:color w:val="auto"/>
          <w:sz w:val="24"/>
          <w:szCs w:val="24"/>
        </w:rPr>
        <w:drawing>
          <wp:inline distT="0" distB="0" distL="0" distR="0">
            <wp:extent cx="5505450" cy="4305300"/>
            <wp:effectExtent l="0" t="0" r="0" b="0"/>
            <wp:docPr id="7"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rPr>
          <w:rFonts w:asciiTheme="minorEastAsia" w:hAnsiTheme="minorEastAsia" w:eastAsiaTheme="minorEastAsia"/>
          <w:color w:val="auto"/>
          <w:sz w:val="24"/>
          <w:szCs w:val="24"/>
        </w:rPr>
      </w:pPr>
    </w:p>
    <w:p>
      <w:pPr>
        <w:ind w:firstLine="680" w:firstLineChars="20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年末金融业增加值</w:t>
      </w:r>
      <w:r>
        <w:rPr>
          <w:rFonts w:hint="eastAsia" w:ascii="仿宋_GB2312" w:hAnsi="仿宋_GB2312" w:eastAsia="仿宋_GB2312" w:cs="仿宋_GB2312"/>
          <w:bCs/>
          <w:color w:val="auto"/>
          <w:kern w:val="44"/>
          <w:sz w:val="34"/>
          <w:szCs w:val="34"/>
          <w:lang w:val="en-US" w:eastAsia="zh-CN"/>
        </w:rPr>
        <w:t>31.5</w:t>
      </w:r>
      <w:r>
        <w:rPr>
          <w:rFonts w:hint="eastAsia" w:ascii="仿宋_GB2312" w:hAnsi="仿宋_GB2312" w:eastAsia="仿宋_GB2312" w:cs="仿宋_GB2312"/>
          <w:bCs/>
          <w:color w:val="auto"/>
          <w:kern w:val="44"/>
          <w:sz w:val="34"/>
          <w:szCs w:val="34"/>
        </w:rPr>
        <w:t>亿元，</w:t>
      </w:r>
      <w:r>
        <w:rPr>
          <w:rFonts w:hint="eastAsia" w:ascii="仿宋_GB2312" w:hAnsi="仿宋_GB2312" w:eastAsia="仿宋_GB2312" w:cs="仿宋_GB2312"/>
          <w:bCs/>
          <w:color w:val="auto"/>
          <w:kern w:val="44"/>
          <w:sz w:val="34"/>
          <w:szCs w:val="34"/>
          <w:lang w:val="en-US" w:eastAsia="zh-CN"/>
        </w:rPr>
        <w:t>按可比价格计算，比上年增长5.0%，</w:t>
      </w:r>
      <w:r>
        <w:rPr>
          <w:rFonts w:hint="eastAsia" w:ascii="仿宋_GB2312" w:hAnsi="仿宋_GB2312" w:eastAsia="仿宋_GB2312" w:cs="仿宋_GB2312"/>
          <w:bCs/>
          <w:color w:val="auto"/>
          <w:kern w:val="44"/>
          <w:sz w:val="34"/>
          <w:szCs w:val="34"/>
        </w:rPr>
        <w:t>占GDP比重</w:t>
      </w:r>
      <w:r>
        <w:rPr>
          <w:rFonts w:hint="eastAsia" w:ascii="仿宋_GB2312" w:hAnsi="仿宋_GB2312" w:eastAsia="仿宋_GB2312" w:cs="仿宋_GB2312"/>
          <w:bCs/>
          <w:color w:val="auto"/>
          <w:kern w:val="44"/>
          <w:sz w:val="34"/>
          <w:szCs w:val="34"/>
          <w:lang w:val="en-US" w:eastAsia="zh-CN"/>
        </w:rPr>
        <w:t>8.8</w:t>
      </w:r>
      <w:r>
        <w:rPr>
          <w:rFonts w:hint="eastAsia" w:ascii="仿宋_GB2312" w:hAnsi="仿宋_GB2312" w:eastAsia="仿宋_GB2312" w:cs="仿宋_GB2312"/>
          <w:bCs/>
          <w:color w:val="auto"/>
          <w:kern w:val="44"/>
          <w:sz w:val="34"/>
          <w:szCs w:val="34"/>
        </w:rPr>
        <w:t>%</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金融业实现税收</w:t>
      </w:r>
      <w:r>
        <w:rPr>
          <w:rFonts w:hint="eastAsia" w:ascii="仿宋_GB2312" w:hAnsi="仿宋_GB2312" w:eastAsia="仿宋_GB2312" w:cs="仿宋_GB2312"/>
          <w:bCs/>
          <w:color w:val="auto"/>
          <w:sz w:val="34"/>
          <w:szCs w:val="34"/>
          <w:lang w:val="en-US" w:eastAsia="zh-CN"/>
        </w:rPr>
        <w:t>2.4</w:t>
      </w:r>
      <w:r>
        <w:rPr>
          <w:rFonts w:hint="eastAsia" w:ascii="仿宋_GB2312" w:hAnsi="仿宋_GB2312" w:eastAsia="仿宋_GB2312" w:cs="仿宋_GB2312"/>
          <w:bCs/>
          <w:color w:val="auto"/>
          <w:sz w:val="34"/>
          <w:szCs w:val="34"/>
        </w:rPr>
        <w:t>亿元，比上年增长</w:t>
      </w:r>
      <w:r>
        <w:rPr>
          <w:rFonts w:hint="eastAsia" w:ascii="仿宋_GB2312" w:hAnsi="仿宋_GB2312" w:eastAsia="仿宋_GB2312" w:cs="仿宋_GB2312"/>
          <w:bCs/>
          <w:color w:val="auto"/>
          <w:sz w:val="34"/>
          <w:szCs w:val="34"/>
          <w:lang w:val="en-US" w:eastAsia="zh-CN"/>
        </w:rPr>
        <w:t>94.2</w:t>
      </w:r>
      <w:r>
        <w:rPr>
          <w:rFonts w:hint="eastAsia" w:ascii="仿宋_GB2312" w:hAnsi="仿宋_GB2312" w:eastAsia="仿宋_GB2312" w:cs="仿宋_GB2312"/>
          <w:bCs/>
          <w:color w:val="auto"/>
          <w:sz w:val="34"/>
          <w:szCs w:val="34"/>
        </w:rPr>
        <w:t>%。</w:t>
      </w:r>
    </w:p>
    <w:p>
      <w:pPr>
        <w:numPr>
          <w:ilvl w:val="0"/>
          <w:numId w:val="1"/>
        </w:numPr>
        <w:spacing w:line="360" w:lineRule="auto"/>
        <w:ind w:firstLine="666" w:firstLineChars="196"/>
        <w:rPr>
          <w:rFonts w:hint="eastAsia" w:ascii="黑体" w:hAnsi="黑体" w:eastAsia="黑体" w:cs="黑体"/>
          <w:bCs/>
          <w:color w:val="auto"/>
          <w:sz w:val="34"/>
          <w:szCs w:val="34"/>
        </w:rPr>
      </w:pPr>
      <w:r>
        <w:rPr>
          <w:rFonts w:hint="eastAsia" w:ascii="黑体" w:hAnsi="黑体" w:eastAsia="黑体" w:cs="黑体"/>
          <w:bCs/>
          <w:color w:val="auto"/>
          <w:sz w:val="34"/>
          <w:szCs w:val="34"/>
        </w:rPr>
        <w:t>科技创新</w:t>
      </w:r>
    </w:p>
    <w:p>
      <w:pPr>
        <w:spacing w:line="360" w:lineRule="auto"/>
        <w:ind w:firstLine="666" w:firstLineChars="196"/>
        <w:rPr>
          <w:rFonts w:hint="eastAsia"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全年规模以上工业企业高新技术产品增加值按现价计算比上年下降</w:t>
      </w:r>
      <w:r>
        <w:rPr>
          <w:rFonts w:hint="eastAsia" w:ascii="仿宋_GB2312" w:hAnsi="仿宋_GB2312" w:eastAsia="仿宋_GB2312" w:cs="仿宋_GB2312"/>
          <w:color w:val="auto"/>
          <w:kern w:val="0"/>
          <w:sz w:val="34"/>
          <w:szCs w:val="34"/>
          <w:lang w:val="en-US" w:eastAsia="zh-CN"/>
        </w:rPr>
        <w:t>18.1</w:t>
      </w:r>
      <w:r>
        <w:rPr>
          <w:rFonts w:hint="eastAsia" w:ascii="仿宋_GB2312" w:hAnsi="仿宋_GB2312" w:eastAsia="仿宋_GB2312" w:cs="仿宋_GB2312"/>
          <w:color w:val="auto"/>
          <w:kern w:val="0"/>
          <w:sz w:val="34"/>
          <w:szCs w:val="34"/>
        </w:rPr>
        <w:t>%。</w:t>
      </w:r>
    </w:p>
    <w:p>
      <w:pPr>
        <w:spacing w:line="360" w:lineRule="auto"/>
        <w:ind w:firstLine="666" w:firstLineChars="196"/>
        <w:rPr>
          <w:rFonts w:hint="eastAsia" w:ascii="仿宋_GB2312" w:hAnsi="仿宋_GB2312" w:eastAsia="仿宋_GB2312" w:cs="仿宋_GB2312"/>
          <w:color w:val="auto"/>
          <w:kern w:val="0"/>
          <w:sz w:val="34"/>
          <w:szCs w:val="34"/>
          <w:lang w:val="en-US" w:eastAsia="zh-CN"/>
        </w:rPr>
      </w:pPr>
      <w:r>
        <w:rPr>
          <w:rFonts w:hint="eastAsia" w:ascii="仿宋_GB2312" w:hAnsi="仿宋_GB2312" w:eastAsia="仿宋_GB2312" w:cs="仿宋_GB2312"/>
          <w:color w:val="auto"/>
          <w:kern w:val="0"/>
          <w:sz w:val="34"/>
          <w:szCs w:val="34"/>
        </w:rPr>
        <w:t>全年有高新技术企业92家，比上年增加12家</w:t>
      </w:r>
      <w:r>
        <w:rPr>
          <w:rFonts w:hint="eastAsia" w:ascii="仿宋_GB2312" w:hAnsi="仿宋_GB2312" w:eastAsia="仿宋_GB2312" w:cs="仿宋_GB2312"/>
          <w:color w:val="auto"/>
          <w:kern w:val="0"/>
          <w:sz w:val="34"/>
          <w:szCs w:val="34"/>
          <w:lang w:eastAsia="zh-CN"/>
        </w:rPr>
        <w:t>。</w:t>
      </w:r>
      <w:r>
        <w:rPr>
          <w:rFonts w:hint="eastAsia" w:ascii="仿宋_GB2312" w:hAnsi="仿宋_GB2312" w:eastAsia="仿宋_GB2312" w:cs="仿宋_GB2312"/>
          <w:color w:val="auto"/>
          <w:kern w:val="0"/>
          <w:sz w:val="34"/>
          <w:szCs w:val="34"/>
          <w:lang w:val="en-US" w:eastAsia="zh-CN"/>
        </w:rPr>
        <w:t>其中，区本级16家，高新区76家。</w:t>
      </w:r>
    </w:p>
    <w:p>
      <w:pPr>
        <w:spacing w:line="360" w:lineRule="auto"/>
        <w:ind w:firstLine="666" w:firstLineChars="196"/>
        <w:rPr>
          <w:rFonts w:hint="eastAsia" w:ascii="仿宋_GB2312" w:hAnsi="仿宋_GB2312" w:eastAsia="仿宋_GB2312" w:cs="仿宋_GB2312"/>
          <w:color w:val="auto"/>
          <w:kern w:val="0"/>
          <w:sz w:val="34"/>
          <w:szCs w:val="34"/>
          <w:lang w:val="en-US" w:eastAsia="zh-CN"/>
        </w:rPr>
      </w:pPr>
      <w:r>
        <w:rPr>
          <w:rFonts w:hint="eastAsia" w:ascii="仿宋_GB2312" w:hAnsi="仿宋_GB2312" w:eastAsia="仿宋_GB2312" w:cs="仿宋_GB2312"/>
          <w:color w:val="auto"/>
          <w:kern w:val="0"/>
          <w:sz w:val="34"/>
          <w:szCs w:val="34"/>
          <w:lang w:val="en-US" w:eastAsia="zh-CN"/>
        </w:rPr>
        <w:t>全年有</w:t>
      </w:r>
      <w:r>
        <w:rPr>
          <w:rFonts w:hint="eastAsia" w:ascii="仿宋_GB2312" w:hAnsi="仿宋_GB2312" w:eastAsia="仿宋_GB2312" w:cs="仿宋_GB2312"/>
          <w:color w:val="auto"/>
          <w:kern w:val="0"/>
          <w:sz w:val="34"/>
          <w:szCs w:val="34"/>
        </w:rPr>
        <w:t>科技型中小企业99家，比上年增加19家。</w:t>
      </w:r>
      <w:r>
        <w:rPr>
          <w:rFonts w:hint="eastAsia" w:ascii="仿宋_GB2312" w:hAnsi="仿宋_GB2312" w:eastAsia="仿宋_GB2312" w:cs="仿宋_GB2312"/>
          <w:color w:val="auto"/>
          <w:kern w:val="0"/>
          <w:sz w:val="34"/>
          <w:szCs w:val="34"/>
          <w:lang w:val="en-US" w:eastAsia="zh-CN"/>
        </w:rPr>
        <w:t>其中，区本级18家，高新区81家。</w:t>
      </w:r>
    </w:p>
    <w:p>
      <w:pPr>
        <w:spacing w:line="360" w:lineRule="auto"/>
        <w:ind w:firstLine="666" w:firstLineChars="196"/>
        <w:rPr>
          <w:rFonts w:hint="eastAsia" w:ascii="仿宋_GB2312" w:hAnsi="仿宋_GB2312" w:eastAsia="仿宋_GB2312" w:cs="仿宋_GB2312"/>
          <w:color w:val="auto"/>
          <w:kern w:val="0"/>
          <w:sz w:val="34"/>
          <w:szCs w:val="34"/>
          <w:lang w:val="en-US" w:eastAsia="zh-CN"/>
        </w:rPr>
      </w:pPr>
      <w:r>
        <w:rPr>
          <w:rFonts w:hint="eastAsia" w:ascii="仿宋_GB2312" w:hAnsi="仿宋_GB2312" w:eastAsia="仿宋_GB2312" w:cs="仿宋_GB2312"/>
          <w:color w:val="auto"/>
          <w:kern w:val="0"/>
          <w:sz w:val="34"/>
          <w:szCs w:val="34"/>
          <w:lang w:val="en-US" w:eastAsia="zh-CN"/>
        </w:rPr>
        <w:t>全年有</w:t>
      </w:r>
      <w:r>
        <w:rPr>
          <w:rFonts w:hint="eastAsia" w:ascii="仿宋_GB2312" w:hAnsi="仿宋_GB2312" w:eastAsia="仿宋_GB2312" w:cs="仿宋_GB2312"/>
          <w:color w:val="auto"/>
          <w:kern w:val="0"/>
          <w:sz w:val="34"/>
          <w:szCs w:val="34"/>
        </w:rPr>
        <w:t>省级专业技术创新中心15个，比上年增加2</w:t>
      </w:r>
      <w:r>
        <w:rPr>
          <w:rFonts w:hint="eastAsia" w:ascii="仿宋_GB2312" w:hAnsi="仿宋_GB2312" w:eastAsia="仿宋_GB2312" w:cs="仿宋_GB2312"/>
          <w:color w:val="auto"/>
          <w:kern w:val="0"/>
          <w:sz w:val="34"/>
          <w:szCs w:val="34"/>
          <w:lang w:val="en-US" w:eastAsia="zh-CN"/>
        </w:rPr>
        <w:t>个。其中，区本级5个，高新区10个。</w:t>
      </w:r>
    </w:p>
    <w:p>
      <w:pPr>
        <w:spacing w:line="360" w:lineRule="auto"/>
        <w:ind w:firstLine="666" w:firstLineChars="196"/>
        <w:rPr>
          <w:rFonts w:hint="eastAsia" w:ascii="仿宋_GB2312" w:hAnsi="仿宋_GB2312" w:eastAsia="仿宋_GB2312" w:cs="仿宋_GB2312"/>
          <w:color w:val="auto"/>
          <w:kern w:val="0"/>
          <w:sz w:val="34"/>
          <w:szCs w:val="34"/>
          <w:lang w:val="en-US" w:eastAsia="zh-CN"/>
        </w:rPr>
      </w:pPr>
      <w:r>
        <w:rPr>
          <w:rFonts w:hint="eastAsia" w:ascii="仿宋_GB2312" w:hAnsi="仿宋_GB2312" w:eastAsia="仿宋_GB2312" w:cs="仿宋_GB2312"/>
          <w:color w:val="auto"/>
          <w:kern w:val="0"/>
          <w:sz w:val="34"/>
          <w:szCs w:val="34"/>
          <w:lang w:val="en-US" w:eastAsia="zh-CN"/>
        </w:rPr>
        <w:t>全年有</w:t>
      </w:r>
      <w:r>
        <w:rPr>
          <w:rFonts w:hint="eastAsia" w:ascii="仿宋_GB2312" w:hAnsi="仿宋_GB2312" w:eastAsia="仿宋_GB2312" w:cs="仿宋_GB2312"/>
          <w:color w:val="auto"/>
          <w:kern w:val="0"/>
          <w:sz w:val="34"/>
          <w:szCs w:val="34"/>
        </w:rPr>
        <w:t>市级企业工程技术研究中心47个</w:t>
      </w:r>
      <w:r>
        <w:rPr>
          <w:rFonts w:hint="eastAsia" w:ascii="仿宋_GB2312" w:hAnsi="仿宋_GB2312" w:eastAsia="仿宋_GB2312" w:cs="仿宋_GB2312"/>
          <w:color w:val="auto"/>
          <w:kern w:val="0"/>
          <w:sz w:val="34"/>
          <w:szCs w:val="34"/>
          <w:lang w:eastAsia="zh-CN"/>
        </w:rPr>
        <w:t>。</w:t>
      </w:r>
      <w:r>
        <w:rPr>
          <w:rFonts w:hint="eastAsia" w:ascii="仿宋_GB2312" w:hAnsi="仿宋_GB2312" w:eastAsia="仿宋_GB2312" w:cs="仿宋_GB2312"/>
          <w:color w:val="auto"/>
          <w:kern w:val="0"/>
          <w:sz w:val="34"/>
          <w:szCs w:val="34"/>
          <w:lang w:val="en-US" w:eastAsia="zh-CN"/>
        </w:rPr>
        <w:t>其中，区本级6个，高新区41个。</w:t>
      </w:r>
    </w:p>
    <w:p>
      <w:pPr>
        <w:spacing w:line="360" w:lineRule="auto"/>
        <w:ind w:firstLine="666" w:firstLineChars="196"/>
        <w:rPr>
          <w:rFonts w:hint="eastAsia" w:ascii="仿宋_GB2312" w:hAnsi="仿宋_GB2312" w:eastAsia="仿宋_GB2312" w:cs="仿宋_GB2312"/>
          <w:color w:val="auto"/>
          <w:kern w:val="0"/>
          <w:sz w:val="34"/>
          <w:szCs w:val="34"/>
          <w:lang w:eastAsia="zh-CN"/>
        </w:rPr>
      </w:pPr>
      <w:r>
        <w:rPr>
          <w:rFonts w:hint="eastAsia" w:ascii="仿宋_GB2312" w:hAnsi="仿宋_GB2312" w:eastAsia="仿宋_GB2312" w:cs="仿宋_GB2312"/>
          <w:color w:val="auto"/>
          <w:kern w:val="0"/>
          <w:sz w:val="34"/>
          <w:szCs w:val="34"/>
        </w:rPr>
        <w:t>全年获得省级科技进步奖2项</w:t>
      </w:r>
      <w:r>
        <w:rPr>
          <w:rFonts w:hint="eastAsia" w:ascii="仿宋_GB2312" w:hAnsi="仿宋_GB2312" w:eastAsia="仿宋_GB2312" w:cs="仿宋_GB2312"/>
          <w:color w:val="auto"/>
          <w:kern w:val="0"/>
          <w:sz w:val="34"/>
          <w:szCs w:val="34"/>
          <w:lang w:eastAsia="zh-CN"/>
        </w:rPr>
        <w:t>。</w:t>
      </w:r>
    </w:p>
    <w:p>
      <w:pPr>
        <w:spacing w:line="360" w:lineRule="auto"/>
        <w:ind w:firstLine="666" w:firstLineChars="196"/>
        <w:rPr>
          <w:rFonts w:ascii="黑体" w:hAnsi="黑体" w:eastAsia="黑体" w:cs="黑体"/>
          <w:bCs/>
          <w:color w:val="auto"/>
          <w:sz w:val="34"/>
          <w:szCs w:val="34"/>
        </w:rPr>
      </w:pPr>
      <w:r>
        <w:rPr>
          <w:rFonts w:hint="eastAsia" w:ascii="黑体" w:hAnsi="黑体" w:eastAsia="黑体" w:cs="黑体"/>
          <w:bCs/>
          <w:color w:val="auto"/>
          <w:sz w:val="34"/>
          <w:szCs w:val="34"/>
        </w:rPr>
        <w:t>八、教育和卫生</w:t>
      </w:r>
    </w:p>
    <w:p>
      <w:pPr>
        <w:spacing w:line="360" w:lineRule="auto"/>
        <w:ind w:firstLine="666" w:firstLineChars="196"/>
        <w:rPr>
          <w:rFonts w:hint="eastAsia" w:ascii="仿宋_GB2312" w:hAnsi="仿宋_GB2312" w:eastAsia="仿宋_GB2312" w:cs="仿宋_GB2312"/>
          <w:color w:val="auto"/>
          <w:kern w:val="0"/>
          <w:sz w:val="34"/>
          <w:szCs w:val="34"/>
          <w:highlight w:val="none"/>
        </w:rPr>
      </w:pPr>
      <w:r>
        <w:rPr>
          <w:rFonts w:hint="eastAsia" w:ascii="仿宋_GB2312" w:hAnsi="仿宋_GB2312" w:eastAsia="仿宋_GB2312" w:cs="仿宋_GB2312"/>
          <w:color w:val="auto"/>
          <w:kern w:val="0"/>
          <w:sz w:val="34"/>
          <w:szCs w:val="34"/>
          <w:highlight w:val="none"/>
        </w:rPr>
        <w:t>全年有幼儿园120所、小学15所、初中7所、九年一贯制学校10所、高中3所。全年教职工5981 人，其中，幼儿园教职员工2211人，小学教职工1488人，初中教职工1683人，高中教职工599人。</w:t>
      </w:r>
    </w:p>
    <w:p>
      <w:pPr>
        <w:spacing w:line="360" w:lineRule="auto"/>
        <w:ind w:firstLine="666" w:firstLineChars="196"/>
        <w:rPr>
          <w:rFonts w:hint="eastAsia"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全年幼儿园入园3838人，在园12926人，离园3419人。普通小学招生4994人，在校生25804人，毕业生4122人。初中招生3986人，在校生12480人，毕业生3934人。高中招生2158人，在校生5909人，毕业生1927人。全区中小学入学率为100%。全区升入高中学生2158人，初中升学率为54.</w:t>
      </w:r>
      <w:r>
        <w:rPr>
          <w:rFonts w:hint="eastAsia" w:ascii="仿宋_GB2312" w:hAnsi="仿宋_GB2312" w:eastAsia="仿宋_GB2312" w:cs="仿宋_GB2312"/>
          <w:color w:val="auto"/>
          <w:kern w:val="0"/>
          <w:sz w:val="34"/>
          <w:szCs w:val="34"/>
          <w:lang w:val="en-US" w:eastAsia="zh-CN"/>
        </w:rPr>
        <w:t>9</w:t>
      </w:r>
      <w:r>
        <w:rPr>
          <w:rFonts w:hint="eastAsia" w:ascii="仿宋_GB2312" w:hAnsi="仿宋_GB2312" w:eastAsia="仿宋_GB2312" w:cs="仿宋_GB2312"/>
          <w:color w:val="auto"/>
          <w:kern w:val="0"/>
          <w:sz w:val="34"/>
          <w:szCs w:val="34"/>
        </w:rPr>
        <w:t>%。</w:t>
      </w:r>
    </w:p>
    <w:p>
      <w:pPr>
        <w:spacing w:line="360" w:lineRule="auto"/>
        <w:ind w:firstLine="680" w:firstLineChars="200"/>
        <w:rPr>
          <w:rFonts w:hint="eastAsia" w:ascii="仿宋_GB2312" w:hAnsi="仿宋" w:eastAsia="仿宋_GB2312" w:cs="宋体"/>
          <w:color w:val="auto"/>
          <w:kern w:val="0"/>
          <w:sz w:val="34"/>
          <w:szCs w:val="34"/>
          <w:highlight w:val="none"/>
        </w:rPr>
      </w:pPr>
      <w:r>
        <w:rPr>
          <w:rFonts w:hint="eastAsia" w:ascii="仿宋_GB2312" w:hAnsi="仿宋" w:eastAsia="仿宋_GB2312" w:cs="宋体"/>
          <w:color w:val="auto"/>
          <w:kern w:val="0"/>
          <w:sz w:val="34"/>
          <w:szCs w:val="34"/>
          <w:highlight w:val="none"/>
        </w:rPr>
        <w:t>年末有各级各类医疗卫生机构共计461家（医疗机构460家，卫生健康中心1家）。其中，医院28家、门诊部21家、健康体检中心2家、护理站1家、急救站2家、社区卫生服务中心10家、社区卫生服务站37家、村卫生所29家、个体诊所325家、监区卫生所6家。卫生技术人员3147人，其中高级职称95人，中级职称1254人，初级职称1798人。</w:t>
      </w:r>
    </w:p>
    <w:p>
      <w:pPr>
        <w:spacing w:line="360" w:lineRule="auto"/>
        <w:ind w:firstLine="680" w:firstLineChars="200"/>
        <w:rPr>
          <w:rFonts w:hint="eastAsia" w:ascii="仿宋_GB2312" w:hAnsi="仿宋" w:eastAsia="仿宋_GB2312" w:cs="宋体"/>
          <w:color w:val="auto"/>
          <w:kern w:val="0"/>
          <w:sz w:val="34"/>
          <w:szCs w:val="34"/>
          <w:highlight w:val="none"/>
        </w:rPr>
      </w:pPr>
      <w:r>
        <w:rPr>
          <w:rFonts w:hint="eastAsia" w:ascii="仿宋_GB2312" w:hAnsi="仿宋" w:eastAsia="仿宋_GB2312" w:cs="宋体"/>
          <w:color w:val="auto"/>
          <w:kern w:val="0"/>
          <w:sz w:val="34"/>
          <w:szCs w:val="34"/>
          <w:highlight w:val="none"/>
          <w:lang w:val="en-US" w:eastAsia="zh-CN"/>
        </w:rPr>
        <w:t>年末有</w:t>
      </w:r>
      <w:r>
        <w:rPr>
          <w:rFonts w:hint="eastAsia" w:ascii="仿宋_GB2312" w:hAnsi="仿宋" w:eastAsia="仿宋_GB2312" w:cs="宋体"/>
          <w:color w:val="auto"/>
          <w:kern w:val="0"/>
          <w:sz w:val="34"/>
          <w:szCs w:val="34"/>
          <w:highlight w:val="none"/>
        </w:rPr>
        <w:t>10万元以上大型医疗设备124台件，50万元以上大型设备35台件，100万元以上大型设备10台件。</w:t>
      </w:r>
    </w:p>
    <w:p>
      <w:pPr>
        <w:spacing w:line="360" w:lineRule="auto"/>
        <w:ind w:firstLine="680" w:firstLineChars="200"/>
        <w:rPr>
          <w:rFonts w:ascii="黑体" w:hAnsi="黑体" w:eastAsia="黑体" w:cs="黑体"/>
          <w:bCs/>
          <w:color w:val="auto"/>
          <w:sz w:val="34"/>
          <w:szCs w:val="34"/>
        </w:rPr>
      </w:pPr>
      <w:r>
        <w:rPr>
          <w:rFonts w:hint="eastAsia" w:ascii="黑体" w:hAnsi="黑体" w:eastAsia="黑体" w:cs="黑体"/>
          <w:bCs/>
          <w:color w:val="auto"/>
          <w:sz w:val="34"/>
          <w:szCs w:val="34"/>
        </w:rPr>
        <w:t>九、文化和旅游</w:t>
      </w:r>
    </w:p>
    <w:p>
      <w:pPr>
        <w:widowControl/>
        <w:spacing w:line="360" w:lineRule="auto"/>
        <w:ind w:firstLine="680" w:firstLineChars="200"/>
        <w:jc w:val="left"/>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年末有国家文化产业示范基地1个，美术馆1个，文化馆1个，图书馆1个。非物质文化遗产省级</w:t>
      </w:r>
      <w:r>
        <w:rPr>
          <w:rFonts w:hint="eastAsia" w:ascii="仿宋_GB2312" w:hAnsi="仿宋_GB2312" w:eastAsia="仿宋_GB2312" w:cs="仿宋_GB2312"/>
          <w:bCs/>
          <w:color w:val="auto"/>
          <w:kern w:val="0"/>
          <w:sz w:val="34"/>
          <w:szCs w:val="34"/>
          <w:lang w:val="en-US" w:eastAsia="zh-CN"/>
        </w:rPr>
        <w:t>2</w:t>
      </w:r>
      <w:r>
        <w:rPr>
          <w:rFonts w:hint="eastAsia" w:ascii="仿宋_GB2312" w:hAnsi="仿宋_GB2312" w:eastAsia="仿宋_GB2312" w:cs="仿宋_GB2312"/>
          <w:bCs/>
          <w:color w:val="auto"/>
          <w:kern w:val="0"/>
          <w:sz w:val="34"/>
          <w:szCs w:val="34"/>
        </w:rPr>
        <w:t>项、市级6项、区级</w:t>
      </w:r>
      <w:r>
        <w:rPr>
          <w:rFonts w:hint="eastAsia" w:ascii="仿宋_GB2312" w:hAnsi="仿宋_GB2312" w:eastAsia="仿宋_GB2312" w:cs="仿宋_GB2312"/>
          <w:bCs/>
          <w:color w:val="auto"/>
          <w:kern w:val="0"/>
          <w:sz w:val="34"/>
          <w:szCs w:val="34"/>
          <w:lang w:val="en-US" w:eastAsia="zh-CN"/>
        </w:rPr>
        <w:t>9</w:t>
      </w:r>
      <w:r>
        <w:rPr>
          <w:rFonts w:hint="eastAsia" w:ascii="仿宋_GB2312" w:hAnsi="仿宋_GB2312" w:eastAsia="仿宋_GB2312" w:cs="仿宋_GB2312"/>
          <w:bCs/>
          <w:color w:val="auto"/>
          <w:kern w:val="0"/>
          <w:sz w:val="34"/>
          <w:szCs w:val="34"/>
        </w:rPr>
        <w:t>项。</w:t>
      </w:r>
    </w:p>
    <w:p>
      <w:pPr>
        <w:widowControl/>
        <w:spacing w:line="360" w:lineRule="auto"/>
        <w:ind w:firstLine="680" w:firstLineChars="200"/>
        <w:jc w:val="left"/>
        <w:rPr>
          <w:rFonts w:ascii="仿宋" w:hAnsi="仿宋" w:eastAsia="仿宋" w:cs="宋体"/>
          <w:color w:val="auto"/>
          <w:kern w:val="0"/>
          <w:sz w:val="34"/>
          <w:szCs w:val="34"/>
        </w:rPr>
      </w:pPr>
      <w:r>
        <w:rPr>
          <w:rFonts w:hint="eastAsia" w:ascii="仿宋_GB2312" w:hAnsi="仿宋_GB2312" w:eastAsia="仿宋_GB2312" w:cs="仿宋_GB2312"/>
          <w:color w:val="auto"/>
          <w:kern w:val="0"/>
          <w:sz w:val="34"/>
          <w:szCs w:val="34"/>
        </w:rPr>
        <w:t>全年接待国内外游客</w:t>
      </w:r>
      <w:r>
        <w:rPr>
          <w:rFonts w:hint="eastAsia" w:ascii="仿宋_GB2312" w:hAnsi="仿宋_GB2312" w:eastAsia="仿宋_GB2312" w:cs="仿宋_GB2312"/>
          <w:color w:val="auto"/>
          <w:kern w:val="0"/>
          <w:sz w:val="34"/>
          <w:szCs w:val="34"/>
          <w:lang w:val="en-US" w:eastAsia="zh-CN"/>
        </w:rPr>
        <w:t>1352.7</w:t>
      </w:r>
      <w:r>
        <w:rPr>
          <w:rFonts w:hint="eastAsia" w:ascii="仿宋_GB2312" w:hAnsi="仿宋_GB2312" w:eastAsia="仿宋_GB2312" w:cs="仿宋_GB2312"/>
          <w:color w:val="auto"/>
          <w:kern w:val="0"/>
          <w:sz w:val="34"/>
          <w:szCs w:val="34"/>
        </w:rPr>
        <w:t>万人次。其中，国内游客</w:t>
      </w:r>
      <w:r>
        <w:rPr>
          <w:rFonts w:hint="eastAsia" w:ascii="仿宋_GB2312" w:hAnsi="仿宋_GB2312" w:eastAsia="仿宋_GB2312" w:cs="仿宋_GB2312"/>
          <w:color w:val="auto"/>
          <w:kern w:val="0"/>
          <w:sz w:val="34"/>
          <w:szCs w:val="34"/>
          <w:lang w:val="en-US" w:eastAsia="zh-CN"/>
        </w:rPr>
        <w:t>1347.5</w:t>
      </w:r>
      <w:r>
        <w:rPr>
          <w:rFonts w:hint="eastAsia" w:ascii="仿宋_GB2312" w:hAnsi="仿宋_GB2312" w:eastAsia="仿宋_GB2312" w:cs="仿宋_GB2312"/>
          <w:color w:val="auto"/>
          <w:kern w:val="0"/>
          <w:sz w:val="34"/>
          <w:szCs w:val="34"/>
        </w:rPr>
        <w:t>万人次，入境游客</w:t>
      </w:r>
      <w:r>
        <w:rPr>
          <w:rFonts w:hint="eastAsia" w:ascii="仿宋_GB2312" w:hAnsi="仿宋_GB2312" w:eastAsia="仿宋_GB2312" w:cs="仿宋_GB2312"/>
          <w:color w:val="auto"/>
          <w:kern w:val="0"/>
          <w:sz w:val="34"/>
          <w:szCs w:val="34"/>
          <w:lang w:val="en-US" w:eastAsia="zh-CN"/>
        </w:rPr>
        <w:t>5.2</w:t>
      </w:r>
      <w:r>
        <w:rPr>
          <w:rFonts w:hint="eastAsia" w:ascii="仿宋_GB2312" w:hAnsi="仿宋_GB2312" w:eastAsia="仿宋_GB2312" w:cs="仿宋_GB2312"/>
          <w:color w:val="auto"/>
          <w:kern w:val="0"/>
          <w:sz w:val="34"/>
          <w:szCs w:val="34"/>
        </w:rPr>
        <w:t>万人次。全年旅游业总收入</w:t>
      </w:r>
      <w:r>
        <w:rPr>
          <w:rFonts w:hint="eastAsia" w:ascii="仿宋_GB2312" w:hAnsi="仿宋_GB2312" w:eastAsia="仿宋_GB2312" w:cs="仿宋_GB2312"/>
          <w:color w:val="auto"/>
          <w:kern w:val="0"/>
          <w:sz w:val="34"/>
          <w:szCs w:val="34"/>
          <w:lang w:val="en-US" w:eastAsia="zh-CN"/>
        </w:rPr>
        <w:t>128.5</w:t>
      </w:r>
      <w:r>
        <w:rPr>
          <w:rFonts w:hint="eastAsia" w:ascii="仿宋_GB2312" w:hAnsi="仿宋_GB2312" w:eastAsia="仿宋_GB2312" w:cs="仿宋_GB2312"/>
          <w:color w:val="auto"/>
          <w:kern w:val="0"/>
          <w:sz w:val="34"/>
          <w:szCs w:val="34"/>
        </w:rPr>
        <w:t>亿元，旅游项目投资3.1亿元。</w:t>
      </w:r>
    </w:p>
    <w:p>
      <w:pPr>
        <w:spacing w:line="360" w:lineRule="auto"/>
        <w:ind w:firstLine="666" w:firstLineChars="196"/>
        <w:rPr>
          <w:rFonts w:ascii="黑体" w:hAnsi="黑体" w:eastAsia="黑体" w:cs="黑体"/>
          <w:bCs/>
          <w:color w:val="auto"/>
          <w:sz w:val="34"/>
          <w:szCs w:val="34"/>
        </w:rPr>
      </w:pPr>
      <w:r>
        <w:rPr>
          <w:rFonts w:hint="eastAsia" w:ascii="黑体" w:hAnsi="黑体" w:eastAsia="黑体" w:cs="黑体"/>
          <w:bCs/>
          <w:color w:val="auto"/>
          <w:sz w:val="34"/>
          <w:szCs w:val="34"/>
        </w:rPr>
        <w:t>十、人口、人民生活和社会保障</w:t>
      </w:r>
    </w:p>
    <w:p>
      <w:pPr>
        <w:spacing w:line="360" w:lineRule="auto"/>
        <w:ind w:firstLine="680" w:firstLineChars="200"/>
        <w:rPr>
          <w:rFonts w:cs="仿宋_GB2312" w:asciiTheme="minorEastAsia" w:hAnsiTheme="minorEastAsia" w:eastAsiaTheme="minorEastAsia"/>
          <w:b/>
          <w:color w:val="auto"/>
          <w:sz w:val="28"/>
          <w:szCs w:val="28"/>
        </w:rPr>
      </w:pPr>
      <w:r>
        <w:rPr>
          <w:rFonts w:hint="eastAsia" w:ascii="仿宋_GB2312" w:hAnsi="仿宋_GB2312" w:eastAsia="仿宋_GB2312" w:cs="仿宋_GB2312"/>
          <w:color w:val="auto"/>
          <w:sz w:val="34"/>
          <w:szCs w:val="34"/>
        </w:rPr>
        <w:t>年末全区户籍人口</w:t>
      </w:r>
      <w:r>
        <w:rPr>
          <w:rFonts w:hint="eastAsia" w:ascii="仿宋_GB2312" w:hAnsi="仿宋_GB2312" w:eastAsia="仿宋_GB2312" w:cs="仿宋_GB2312"/>
          <w:color w:val="auto"/>
          <w:sz w:val="34"/>
          <w:szCs w:val="34"/>
          <w:lang w:val="en-US" w:eastAsia="zh-CN"/>
        </w:rPr>
        <w:t>441659</w:t>
      </w:r>
      <w:r>
        <w:rPr>
          <w:rFonts w:hint="eastAsia" w:ascii="仿宋_GB2312" w:hAnsi="仿宋_GB2312" w:eastAsia="仿宋_GB2312" w:cs="仿宋_GB2312"/>
          <w:color w:val="auto"/>
          <w:sz w:val="34"/>
          <w:szCs w:val="34"/>
        </w:rPr>
        <w:t>人（见下表）。其中，城镇人口42</w:t>
      </w:r>
      <w:r>
        <w:rPr>
          <w:rFonts w:hint="eastAsia" w:ascii="仿宋_GB2312" w:hAnsi="仿宋_GB2312" w:eastAsia="仿宋_GB2312" w:cs="仿宋_GB2312"/>
          <w:color w:val="auto"/>
          <w:sz w:val="34"/>
          <w:szCs w:val="34"/>
          <w:lang w:val="en-US" w:eastAsia="zh-CN"/>
        </w:rPr>
        <w:t>1133</w:t>
      </w:r>
      <w:r>
        <w:rPr>
          <w:rFonts w:hint="eastAsia" w:ascii="仿宋_GB2312" w:hAnsi="仿宋_GB2312" w:eastAsia="仿宋_GB2312" w:cs="仿宋_GB2312"/>
          <w:color w:val="auto"/>
          <w:sz w:val="34"/>
          <w:szCs w:val="34"/>
        </w:rPr>
        <w:t>人，乡村人口 20</w:t>
      </w:r>
      <w:r>
        <w:rPr>
          <w:rFonts w:hint="eastAsia" w:ascii="仿宋_GB2312" w:hAnsi="仿宋_GB2312" w:eastAsia="仿宋_GB2312" w:cs="仿宋_GB2312"/>
          <w:color w:val="auto"/>
          <w:sz w:val="34"/>
          <w:szCs w:val="34"/>
          <w:lang w:val="en-US" w:eastAsia="zh-CN"/>
        </w:rPr>
        <w:t>526</w:t>
      </w:r>
      <w:r>
        <w:rPr>
          <w:rFonts w:hint="eastAsia" w:ascii="仿宋_GB2312" w:hAnsi="仿宋_GB2312" w:eastAsia="仿宋_GB2312" w:cs="仿宋_GB2312"/>
          <w:color w:val="auto"/>
          <w:sz w:val="34"/>
          <w:szCs w:val="34"/>
        </w:rPr>
        <w:t>人。全年出生人口3</w:t>
      </w:r>
      <w:r>
        <w:rPr>
          <w:rFonts w:hint="eastAsia" w:ascii="仿宋_GB2312" w:hAnsi="仿宋_GB2312" w:eastAsia="仿宋_GB2312" w:cs="仿宋_GB2312"/>
          <w:color w:val="auto"/>
          <w:sz w:val="34"/>
          <w:szCs w:val="34"/>
          <w:lang w:val="en-US" w:eastAsia="zh-CN"/>
        </w:rPr>
        <w:t>302</w:t>
      </w:r>
      <w:r>
        <w:rPr>
          <w:rFonts w:hint="eastAsia" w:ascii="仿宋_GB2312" w:hAnsi="仿宋_GB2312" w:eastAsia="仿宋_GB2312" w:cs="仿宋_GB2312"/>
          <w:color w:val="auto"/>
          <w:sz w:val="34"/>
          <w:szCs w:val="34"/>
        </w:rPr>
        <w:t>人，出生率</w:t>
      </w:r>
      <w:r>
        <w:rPr>
          <w:rFonts w:hint="eastAsia" w:ascii="仿宋_GB2312" w:hAnsi="仿宋_GB2312" w:eastAsia="仿宋_GB2312" w:cs="仿宋_GB2312"/>
          <w:color w:val="auto"/>
          <w:sz w:val="34"/>
          <w:szCs w:val="34"/>
          <w:lang w:val="en-US" w:eastAsia="zh-CN"/>
        </w:rPr>
        <w:t>7.5</w:t>
      </w:r>
      <w:r>
        <w:rPr>
          <w:rFonts w:hint="eastAsia" w:ascii="仿宋_GB2312" w:hAnsi="仿宋_GB2312" w:eastAsia="仿宋_GB2312" w:cs="仿宋_GB2312"/>
          <w:color w:val="auto"/>
          <w:sz w:val="34"/>
          <w:szCs w:val="34"/>
        </w:rPr>
        <w:t>‰；死亡人口</w:t>
      </w:r>
      <w:r>
        <w:rPr>
          <w:rFonts w:hint="eastAsia" w:ascii="仿宋_GB2312" w:hAnsi="仿宋_GB2312" w:eastAsia="仿宋_GB2312" w:cs="仿宋_GB2312"/>
          <w:color w:val="auto"/>
          <w:sz w:val="34"/>
          <w:szCs w:val="34"/>
          <w:lang w:val="en-US" w:eastAsia="zh-CN"/>
        </w:rPr>
        <w:t>4764</w:t>
      </w:r>
      <w:r>
        <w:rPr>
          <w:rFonts w:hint="eastAsia" w:ascii="仿宋_GB2312" w:hAnsi="仿宋_GB2312" w:eastAsia="仿宋_GB2312" w:cs="仿宋_GB2312"/>
          <w:color w:val="auto"/>
          <w:sz w:val="34"/>
          <w:szCs w:val="34"/>
        </w:rPr>
        <w:t>人，死亡率</w:t>
      </w:r>
      <w:r>
        <w:rPr>
          <w:rFonts w:hint="eastAsia" w:ascii="仿宋_GB2312" w:hAnsi="仿宋_GB2312" w:eastAsia="仿宋_GB2312" w:cs="仿宋_GB2312"/>
          <w:color w:val="auto"/>
          <w:sz w:val="34"/>
          <w:szCs w:val="34"/>
          <w:lang w:val="en-US" w:eastAsia="zh-CN"/>
        </w:rPr>
        <w:t>10.8</w:t>
      </w:r>
      <w:r>
        <w:rPr>
          <w:rFonts w:hint="eastAsia" w:ascii="仿宋_GB2312" w:hAnsi="仿宋_GB2312" w:eastAsia="仿宋_GB2312" w:cs="仿宋_GB2312"/>
          <w:color w:val="auto"/>
          <w:sz w:val="34"/>
          <w:szCs w:val="34"/>
        </w:rPr>
        <w:t>‰，人口自然增长率</w:t>
      </w:r>
      <w:r>
        <w:rPr>
          <w:rFonts w:hint="eastAsia" w:ascii="仿宋_GB2312" w:hAnsi="仿宋_GB2312" w:eastAsia="仿宋_GB2312" w:cs="仿宋_GB2312"/>
          <w:color w:val="auto"/>
          <w:sz w:val="34"/>
          <w:szCs w:val="34"/>
          <w:lang w:val="en-US" w:eastAsia="zh-CN"/>
        </w:rPr>
        <w:t>-3.3</w:t>
      </w:r>
      <w:r>
        <w:rPr>
          <w:rFonts w:hint="eastAsia" w:ascii="仿宋_GB2312" w:hAnsi="仿宋_GB2312" w:eastAsia="仿宋_GB2312" w:cs="仿宋_GB2312"/>
          <w:color w:val="auto"/>
          <w:sz w:val="34"/>
          <w:szCs w:val="34"/>
        </w:rPr>
        <w:t>‰。</w:t>
      </w:r>
    </w:p>
    <w:p>
      <w:pPr>
        <w:jc w:val="center"/>
        <w:rPr>
          <w:rFonts w:hint="eastAsia" w:cs="仿宋_GB2312" w:asciiTheme="minorEastAsia" w:hAnsiTheme="minorEastAsia" w:eastAsiaTheme="minorEastAsia"/>
          <w:b/>
          <w:color w:val="auto"/>
          <w:sz w:val="28"/>
          <w:szCs w:val="28"/>
        </w:rPr>
      </w:pPr>
    </w:p>
    <w:p>
      <w:pPr>
        <w:jc w:val="center"/>
        <w:rPr>
          <w:rFonts w:hint="eastAsia" w:cs="仿宋_GB2312" w:asciiTheme="minorEastAsia" w:hAnsiTheme="minorEastAsia" w:eastAsiaTheme="minorEastAsia"/>
          <w:b/>
          <w:color w:val="auto"/>
          <w:sz w:val="28"/>
          <w:szCs w:val="28"/>
        </w:rPr>
      </w:pPr>
    </w:p>
    <w:p>
      <w:pPr>
        <w:jc w:val="center"/>
        <w:rPr>
          <w:rFonts w:hint="eastAsia" w:cs="仿宋_GB2312" w:asciiTheme="minorEastAsia" w:hAnsiTheme="minorEastAsia" w:eastAsiaTheme="minorEastAsia"/>
          <w:b/>
          <w:color w:val="auto"/>
          <w:sz w:val="28"/>
          <w:szCs w:val="28"/>
        </w:rPr>
      </w:pPr>
    </w:p>
    <w:p>
      <w:pPr>
        <w:jc w:val="center"/>
        <w:rPr>
          <w:rFonts w:hint="eastAsia" w:cs="仿宋_GB2312" w:asciiTheme="minorEastAsia" w:hAnsiTheme="minorEastAsia" w:eastAsiaTheme="minorEastAsia"/>
          <w:b/>
          <w:color w:val="auto"/>
          <w:sz w:val="28"/>
          <w:szCs w:val="28"/>
        </w:rPr>
      </w:pPr>
    </w:p>
    <w:p>
      <w:pPr>
        <w:jc w:val="both"/>
        <w:rPr>
          <w:rFonts w:hint="eastAsia" w:cs="仿宋_GB2312" w:asciiTheme="minorEastAsia" w:hAnsiTheme="minorEastAsia" w:eastAsiaTheme="minorEastAsia"/>
          <w:b/>
          <w:color w:val="auto"/>
          <w:sz w:val="28"/>
          <w:szCs w:val="28"/>
        </w:rPr>
      </w:pPr>
      <w:bookmarkStart w:id="0" w:name="_GoBack"/>
      <w:bookmarkEnd w:id="0"/>
    </w:p>
    <w:p>
      <w:pPr>
        <w:jc w:val="center"/>
        <w:rPr>
          <w:rFonts w:hint="eastAsia" w:cs="仿宋_GB2312" w:asciiTheme="minorEastAsia" w:hAnsiTheme="minorEastAsia" w:eastAsiaTheme="minorEastAsia"/>
          <w:b/>
          <w:color w:val="auto"/>
          <w:sz w:val="28"/>
          <w:szCs w:val="28"/>
        </w:rPr>
      </w:pPr>
    </w:p>
    <w:p>
      <w:pPr>
        <w:jc w:val="center"/>
        <w:rPr>
          <w:rFonts w:cs="仿宋_GB2312" w:asciiTheme="minorEastAsia" w:hAnsiTheme="minorEastAsia" w:eastAsiaTheme="minorEastAsia"/>
          <w:b/>
          <w:color w:val="auto"/>
          <w:sz w:val="28"/>
          <w:szCs w:val="28"/>
        </w:rPr>
      </w:pPr>
      <w:r>
        <w:rPr>
          <w:rFonts w:hint="eastAsia" w:cs="仿宋_GB2312" w:asciiTheme="minorEastAsia" w:hAnsiTheme="minorEastAsia" w:eastAsiaTheme="minorEastAsia"/>
          <w:b/>
          <w:color w:val="auto"/>
          <w:sz w:val="28"/>
          <w:szCs w:val="28"/>
        </w:rPr>
        <w:t>20</w:t>
      </w:r>
      <w:r>
        <w:rPr>
          <w:rFonts w:hint="eastAsia" w:cs="仿宋_GB2312" w:asciiTheme="minorEastAsia" w:hAnsiTheme="minorEastAsia" w:eastAsiaTheme="minorEastAsia"/>
          <w:b/>
          <w:color w:val="auto"/>
          <w:sz w:val="28"/>
          <w:szCs w:val="28"/>
          <w:lang w:val="en-US" w:eastAsia="zh-CN"/>
        </w:rPr>
        <w:t>20</w:t>
      </w:r>
      <w:r>
        <w:rPr>
          <w:rFonts w:hint="eastAsia" w:cs="仿宋_GB2312" w:asciiTheme="minorEastAsia" w:hAnsiTheme="minorEastAsia" w:eastAsiaTheme="minorEastAsia"/>
          <w:b/>
          <w:color w:val="auto"/>
          <w:sz w:val="28"/>
          <w:szCs w:val="28"/>
        </w:rPr>
        <w:t>年户籍人口数及构成</w:t>
      </w:r>
    </w:p>
    <w:p>
      <w:pPr>
        <w:ind w:firstLine="5880" w:firstLineChars="2450"/>
        <w:jc w:val="right"/>
        <w:rPr>
          <w:rFonts w:ascii="仿宋_GB2312" w:hAnsi="仿宋_GB2312" w:eastAsia="仿宋_GB2312" w:cs="仿宋_GB2312"/>
          <w:color w:val="auto"/>
          <w:sz w:val="24"/>
          <w:szCs w:val="24"/>
        </w:rPr>
      </w:pPr>
    </w:p>
    <w:tbl>
      <w:tblPr>
        <w:tblStyle w:val="10"/>
        <w:tblW w:w="8040" w:type="dxa"/>
        <w:tblInd w:w="93" w:type="dxa"/>
        <w:tblLayout w:type="autofit"/>
        <w:tblCellMar>
          <w:top w:w="0" w:type="dxa"/>
          <w:left w:w="108" w:type="dxa"/>
          <w:bottom w:w="0" w:type="dxa"/>
          <w:right w:w="108" w:type="dxa"/>
        </w:tblCellMar>
      </w:tblPr>
      <w:tblGrid>
        <w:gridCol w:w="2200"/>
        <w:gridCol w:w="2920"/>
        <w:gridCol w:w="2920"/>
      </w:tblGrid>
      <w:tr>
        <w:tblPrEx>
          <w:tblCellMar>
            <w:top w:w="0" w:type="dxa"/>
            <w:left w:w="108" w:type="dxa"/>
            <w:bottom w:w="0" w:type="dxa"/>
            <w:right w:w="108" w:type="dxa"/>
          </w:tblCellMar>
        </w:tblPrEx>
        <w:trPr>
          <w:trHeight w:val="570" w:hRule="atLeast"/>
        </w:trPr>
        <w:tc>
          <w:tcPr>
            <w:tcW w:w="2200"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920"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920" w:type="dxa"/>
            <w:tcBorders>
              <w:top w:val="nil"/>
              <w:left w:val="nil"/>
              <w:bottom w:val="nil"/>
              <w:right w:val="nil"/>
            </w:tcBorders>
            <w:shd w:val="clear" w:color="auto" w:fill="auto"/>
            <w:noWrap/>
            <w:vAlign w:val="center"/>
          </w:tcPr>
          <w:p>
            <w:pPr>
              <w:widowControl/>
              <w:jc w:val="right"/>
              <w:rPr>
                <w:rFonts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单位：万人</w:t>
            </w:r>
          </w:p>
        </w:tc>
      </w:tr>
      <w:tr>
        <w:tblPrEx>
          <w:tblCellMar>
            <w:top w:w="0" w:type="dxa"/>
            <w:left w:w="108" w:type="dxa"/>
            <w:bottom w:w="0" w:type="dxa"/>
            <w:right w:w="108" w:type="dxa"/>
          </w:tblCellMar>
        </w:tblPrEx>
        <w:trPr>
          <w:trHeight w:val="300" w:hRule="atLeast"/>
        </w:trPr>
        <w:tc>
          <w:tcPr>
            <w:tcW w:w="2200"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年末数</w:t>
            </w:r>
          </w:p>
        </w:tc>
        <w:tc>
          <w:tcPr>
            <w:tcW w:w="2920" w:type="dxa"/>
            <w:tcBorders>
              <w:top w:val="single" w:color="auto" w:sz="8" w:space="0"/>
              <w:left w:val="nil"/>
              <w:bottom w:val="single" w:color="auto" w:sz="8" w:space="0"/>
              <w:right w:val="nil"/>
            </w:tcBorders>
            <w:shd w:val="clear" w:color="auto" w:fill="auto"/>
            <w:vAlign w:val="center"/>
          </w:tcPr>
          <w:p>
            <w:pPr>
              <w:widowControl/>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比重（%）</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全区总人口</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44.2</w:t>
            </w:r>
          </w:p>
        </w:tc>
        <w:tc>
          <w:tcPr>
            <w:tcW w:w="2920" w:type="dxa"/>
            <w:tcBorders>
              <w:top w:val="nil"/>
              <w:left w:val="nil"/>
              <w:bottom w:val="nil"/>
              <w:right w:val="nil"/>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100</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城镇</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42.1</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95.</w:t>
            </w:r>
            <w:r>
              <w:rPr>
                <w:rFonts w:hint="eastAsia" w:ascii="仿宋_GB2312" w:hAnsi="仿宋_GB2312" w:eastAsia="仿宋_GB2312" w:cs="仿宋_GB2312"/>
                <w:color w:val="auto"/>
                <w:kern w:val="0"/>
                <w:sz w:val="24"/>
                <w:szCs w:val="24"/>
                <w:lang w:val="en-US" w:eastAsia="zh-CN"/>
              </w:rPr>
              <w:t>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乡村</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其中：男性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21.</w:t>
            </w:r>
            <w:r>
              <w:rPr>
                <w:rFonts w:hint="eastAsia" w:ascii="仿宋_GB2312" w:hAnsi="仿宋_GB2312" w:eastAsia="仿宋_GB2312" w:cs="仿宋_GB2312"/>
                <w:color w:val="auto"/>
                <w:kern w:val="0"/>
                <w:sz w:val="24"/>
                <w:szCs w:val="24"/>
                <w:lang w:val="en-US" w:eastAsia="zh-CN"/>
              </w:rPr>
              <w:t>8</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49.</w:t>
            </w:r>
            <w:r>
              <w:rPr>
                <w:rFonts w:hint="eastAsia" w:ascii="仿宋_GB2312" w:hAnsi="仿宋_GB2312" w:eastAsia="仿宋_GB2312" w:cs="仿宋_GB2312"/>
                <w:color w:val="auto"/>
                <w:kern w:val="0"/>
                <w:sz w:val="24"/>
                <w:szCs w:val="24"/>
                <w:lang w:val="en-US" w:eastAsia="zh-CN"/>
              </w:rPr>
              <w:t>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ind w:firstLine="720" w:firstLineChars="3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女性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22.</w:t>
            </w:r>
            <w:r>
              <w:rPr>
                <w:rFonts w:hint="eastAsia" w:ascii="仿宋_GB2312" w:hAnsi="仿宋_GB2312" w:eastAsia="仿宋_GB2312" w:cs="仿宋_GB2312"/>
                <w:color w:val="auto"/>
                <w:kern w:val="0"/>
                <w:sz w:val="24"/>
                <w:szCs w:val="24"/>
                <w:lang w:val="en-US" w:eastAsia="zh-CN"/>
              </w:rPr>
              <w:t>4</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50.</w:t>
            </w:r>
            <w:r>
              <w:rPr>
                <w:rFonts w:hint="eastAsia" w:ascii="仿宋_GB2312" w:hAnsi="仿宋_GB2312" w:eastAsia="仿宋_GB2312" w:cs="仿宋_GB2312"/>
                <w:color w:val="auto"/>
                <w:kern w:val="0"/>
                <w:sz w:val="24"/>
                <w:szCs w:val="24"/>
                <w:lang w:val="en-US" w:eastAsia="zh-CN"/>
              </w:rPr>
              <w:t>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其中：0-17岁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6.5</w:t>
            </w:r>
          </w:p>
        </w:tc>
        <w:tc>
          <w:tcPr>
            <w:tcW w:w="2920" w:type="dxa"/>
            <w:tcBorders>
              <w:top w:val="nil"/>
              <w:left w:val="nil"/>
              <w:bottom w:val="nil"/>
              <w:right w:val="nil"/>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14.7</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18-34岁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8.</w:t>
            </w:r>
            <w:r>
              <w:rPr>
                <w:rFonts w:hint="eastAsia" w:ascii="仿宋_GB2312" w:hAnsi="仿宋_GB2312" w:eastAsia="仿宋_GB2312" w:cs="仿宋_GB2312"/>
                <w:color w:val="auto"/>
                <w:kern w:val="0"/>
                <w:sz w:val="24"/>
                <w:szCs w:val="24"/>
                <w:lang w:val="en-US" w:eastAsia="zh-CN"/>
              </w:rPr>
              <w:t>1</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18.</w:t>
            </w:r>
            <w:r>
              <w:rPr>
                <w:rFonts w:hint="eastAsia" w:ascii="仿宋_GB2312" w:hAnsi="仿宋_GB2312" w:eastAsia="仿宋_GB2312" w:cs="仿宋_GB2312"/>
                <w:color w:val="auto"/>
                <w:kern w:val="0"/>
                <w:sz w:val="24"/>
                <w:szCs w:val="24"/>
                <w:lang w:val="en-US" w:eastAsia="zh-CN"/>
              </w:rPr>
              <w:t>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35-59岁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19.8</w:t>
            </w:r>
          </w:p>
        </w:tc>
        <w:tc>
          <w:tcPr>
            <w:tcW w:w="2920" w:type="dxa"/>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44.</w:t>
            </w:r>
            <w:r>
              <w:rPr>
                <w:rFonts w:hint="eastAsia" w:ascii="仿宋_GB2312" w:hAnsi="仿宋_GB2312" w:eastAsia="仿宋_GB2312" w:cs="仿宋_GB2312"/>
                <w:color w:val="auto"/>
                <w:kern w:val="0"/>
                <w:sz w:val="24"/>
                <w:szCs w:val="24"/>
                <w:lang w:val="en-US" w:eastAsia="zh-CN"/>
              </w:rPr>
              <w:t>8</w:t>
            </w:r>
          </w:p>
        </w:tc>
      </w:tr>
      <w:tr>
        <w:tblPrEx>
          <w:tblCellMar>
            <w:top w:w="0" w:type="dxa"/>
            <w:left w:w="108" w:type="dxa"/>
            <w:bottom w:w="0" w:type="dxa"/>
            <w:right w:w="108" w:type="dxa"/>
          </w:tblCellMar>
        </w:tblPrEx>
        <w:trPr>
          <w:trHeight w:val="360" w:hRule="atLeast"/>
        </w:trPr>
        <w:tc>
          <w:tcPr>
            <w:tcW w:w="2200" w:type="dxa"/>
            <w:tcBorders>
              <w:top w:val="nil"/>
              <w:left w:val="nil"/>
              <w:bottom w:val="single" w:color="auto" w:sz="8" w:space="0"/>
              <w:right w:val="nil"/>
            </w:tcBorders>
            <w:shd w:val="clear" w:color="auto" w:fill="auto"/>
            <w:vAlign w:val="center"/>
          </w:tcPr>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60岁及以上</w:t>
            </w:r>
          </w:p>
        </w:tc>
        <w:tc>
          <w:tcPr>
            <w:tcW w:w="29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9.</w:t>
            </w:r>
            <w:r>
              <w:rPr>
                <w:rFonts w:hint="eastAsia" w:ascii="仿宋_GB2312" w:hAnsi="仿宋_GB2312" w:eastAsia="仿宋_GB2312" w:cs="仿宋_GB2312"/>
                <w:color w:val="auto"/>
                <w:kern w:val="0"/>
                <w:sz w:val="24"/>
                <w:szCs w:val="24"/>
                <w:lang w:val="en-US" w:eastAsia="zh-CN"/>
              </w:rPr>
              <w:t>8</w:t>
            </w:r>
          </w:p>
        </w:tc>
        <w:tc>
          <w:tcPr>
            <w:tcW w:w="2920" w:type="dxa"/>
            <w:tcBorders>
              <w:top w:val="nil"/>
              <w:left w:val="nil"/>
              <w:bottom w:val="single" w:color="auto" w:sz="8" w:space="0"/>
              <w:right w:val="nil"/>
            </w:tcBorders>
            <w:shd w:val="clear" w:color="auto" w:fill="auto"/>
            <w:vAlign w:val="center"/>
          </w:tcPr>
          <w:p>
            <w:pPr>
              <w:widowControl/>
              <w:jc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2.1</w:t>
            </w:r>
          </w:p>
        </w:tc>
      </w:tr>
    </w:tbl>
    <w:p>
      <w:pPr>
        <w:spacing w:line="360" w:lineRule="auto"/>
        <w:ind w:firstLine="480" w:firstLineChars="200"/>
        <w:rPr>
          <w:rFonts w:ascii="仿宋_GB2312" w:hAnsi="仿宋_GB2312" w:eastAsia="仿宋_GB2312" w:cs="仿宋_GB2312"/>
          <w:color w:val="auto"/>
          <w:sz w:val="24"/>
          <w:szCs w:val="24"/>
        </w:rPr>
      </w:pPr>
    </w:p>
    <w:p>
      <w:pPr>
        <w:spacing w:line="360" w:lineRule="auto"/>
        <w:ind w:firstLine="601" w:firstLineChars="177"/>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全年</w:t>
      </w:r>
      <w:r>
        <w:rPr>
          <w:rFonts w:hint="eastAsia" w:ascii="仿宋_GB2312" w:hAnsi="仿宋_GB2312" w:eastAsia="仿宋_GB2312" w:cs="仿宋_GB2312"/>
          <w:color w:val="auto"/>
          <w:kern w:val="0"/>
          <w:sz w:val="34"/>
          <w:szCs w:val="34"/>
        </w:rPr>
        <w:t>城镇常住居民人均可支配收入</w:t>
      </w:r>
      <w:r>
        <w:rPr>
          <w:rFonts w:hint="eastAsia" w:ascii="仿宋_GB2312" w:hAnsi="仿宋_GB2312" w:eastAsia="仿宋_GB2312" w:cs="仿宋_GB2312"/>
          <w:color w:val="auto"/>
          <w:sz w:val="34"/>
          <w:szCs w:val="34"/>
          <w:lang w:val="en-US" w:eastAsia="zh-CN"/>
        </w:rPr>
        <w:t>52665</w:t>
      </w:r>
      <w:r>
        <w:rPr>
          <w:rFonts w:hint="eastAsia" w:ascii="仿宋_GB2312" w:hAnsi="仿宋_GB2312" w:eastAsia="仿宋_GB2312" w:cs="仿宋_GB2312"/>
          <w:color w:val="auto"/>
          <w:sz w:val="34"/>
          <w:szCs w:val="34"/>
        </w:rPr>
        <w:t>元，比上年增长</w:t>
      </w:r>
      <w:r>
        <w:rPr>
          <w:rFonts w:hint="eastAsia" w:ascii="仿宋_GB2312" w:hAnsi="仿宋_GB2312" w:eastAsia="仿宋_GB2312" w:cs="仿宋_GB2312"/>
          <w:color w:val="auto"/>
          <w:sz w:val="34"/>
          <w:szCs w:val="34"/>
          <w:lang w:val="en-US" w:eastAsia="zh-CN"/>
        </w:rPr>
        <w:t>2.8</w:t>
      </w:r>
      <w:r>
        <w:rPr>
          <w:rFonts w:hint="eastAsia" w:ascii="仿宋_GB2312" w:hAnsi="仿宋_GB2312" w:eastAsia="仿宋_GB2312" w:cs="仿宋_GB2312"/>
          <w:color w:val="auto"/>
          <w:sz w:val="34"/>
          <w:szCs w:val="34"/>
        </w:rPr>
        <w:t>%。</w:t>
      </w:r>
    </w:p>
    <w:p>
      <w:pPr>
        <w:spacing w:line="360" w:lineRule="auto"/>
        <w:ind w:firstLine="601" w:firstLineChars="177"/>
        <w:rPr>
          <w:rFonts w:hint="eastAsia" w:ascii="仿宋_GB2312" w:hAnsi="仿宋_GB2312" w:eastAsia="仿宋_GB2312" w:cs="仿宋_GB2312"/>
          <w:color w:val="auto"/>
          <w:sz w:val="34"/>
          <w:szCs w:val="34"/>
          <w:highlight w:val="yellow"/>
        </w:rPr>
      </w:pPr>
      <w:r>
        <w:rPr>
          <w:rFonts w:hint="eastAsia" w:ascii="仿宋_GB2312" w:hAnsi="仿宋_GB2312" w:eastAsia="仿宋_GB2312" w:cs="仿宋_GB2312"/>
          <w:color w:val="auto"/>
          <w:sz w:val="34"/>
          <w:szCs w:val="34"/>
          <w:highlight w:val="none"/>
        </w:rPr>
        <w:t>年末有低保对象</w:t>
      </w:r>
      <w:r>
        <w:rPr>
          <w:rFonts w:hint="eastAsia" w:ascii="仿宋_GB2312" w:hAnsi="仿宋_GB2312" w:eastAsia="仿宋_GB2312" w:cs="仿宋_GB2312"/>
          <w:color w:val="auto"/>
          <w:sz w:val="34"/>
          <w:szCs w:val="34"/>
          <w:highlight w:val="none"/>
          <w:lang w:val="en-US" w:eastAsia="zh-CN"/>
        </w:rPr>
        <w:t>821</w:t>
      </w:r>
      <w:r>
        <w:rPr>
          <w:rFonts w:hint="eastAsia" w:ascii="仿宋_GB2312" w:hAnsi="仿宋_GB2312" w:eastAsia="仿宋_GB2312" w:cs="仿宋_GB2312"/>
          <w:color w:val="auto"/>
          <w:sz w:val="34"/>
          <w:szCs w:val="34"/>
          <w:highlight w:val="none"/>
        </w:rPr>
        <w:t>户</w:t>
      </w:r>
      <w:r>
        <w:rPr>
          <w:rFonts w:hint="eastAsia" w:ascii="仿宋_GB2312" w:hAnsi="仿宋_GB2312" w:eastAsia="仿宋_GB2312" w:cs="仿宋_GB2312"/>
          <w:color w:val="auto"/>
          <w:sz w:val="34"/>
          <w:szCs w:val="34"/>
          <w:highlight w:val="none"/>
          <w:lang w:val="en-US" w:eastAsia="zh-CN"/>
        </w:rPr>
        <w:t>1265</w:t>
      </w:r>
      <w:r>
        <w:rPr>
          <w:rFonts w:hint="eastAsia" w:ascii="仿宋_GB2312" w:hAnsi="仿宋_GB2312" w:eastAsia="仿宋_GB2312" w:cs="仿宋_GB2312"/>
          <w:color w:val="auto"/>
          <w:sz w:val="34"/>
          <w:szCs w:val="34"/>
          <w:highlight w:val="none"/>
        </w:rPr>
        <w:t>人，其中低保户</w:t>
      </w:r>
      <w:r>
        <w:rPr>
          <w:rFonts w:hint="eastAsia" w:ascii="仿宋_GB2312" w:hAnsi="仿宋_GB2312" w:eastAsia="仿宋_GB2312" w:cs="仿宋_GB2312"/>
          <w:color w:val="auto"/>
          <w:sz w:val="34"/>
          <w:szCs w:val="34"/>
          <w:highlight w:val="none"/>
          <w:lang w:val="en-US" w:eastAsia="zh-CN"/>
        </w:rPr>
        <w:t>781</w:t>
      </w:r>
      <w:r>
        <w:rPr>
          <w:rFonts w:hint="eastAsia" w:ascii="仿宋_GB2312" w:hAnsi="仿宋_GB2312" w:eastAsia="仿宋_GB2312" w:cs="仿宋_GB2312"/>
          <w:color w:val="auto"/>
          <w:sz w:val="34"/>
          <w:szCs w:val="34"/>
          <w:highlight w:val="none"/>
        </w:rPr>
        <w:t>户1</w:t>
      </w:r>
      <w:r>
        <w:rPr>
          <w:rFonts w:hint="eastAsia" w:ascii="仿宋_GB2312" w:hAnsi="仿宋_GB2312" w:eastAsia="仿宋_GB2312" w:cs="仿宋_GB2312"/>
          <w:color w:val="auto"/>
          <w:sz w:val="34"/>
          <w:szCs w:val="34"/>
          <w:highlight w:val="none"/>
          <w:lang w:val="en-US" w:eastAsia="zh-CN"/>
        </w:rPr>
        <w:t>172</w:t>
      </w:r>
      <w:r>
        <w:rPr>
          <w:rFonts w:hint="eastAsia" w:ascii="仿宋_GB2312" w:hAnsi="仿宋_GB2312" w:eastAsia="仿宋_GB2312" w:cs="仿宋_GB2312"/>
          <w:color w:val="auto"/>
          <w:sz w:val="34"/>
          <w:szCs w:val="34"/>
          <w:highlight w:val="none"/>
        </w:rPr>
        <w:t>人，低保边缘户</w:t>
      </w:r>
      <w:r>
        <w:rPr>
          <w:rFonts w:hint="eastAsia" w:ascii="仿宋_GB2312" w:hAnsi="仿宋_GB2312" w:eastAsia="仿宋_GB2312" w:cs="仿宋_GB2312"/>
          <w:color w:val="auto"/>
          <w:sz w:val="34"/>
          <w:szCs w:val="34"/>
          <w:highlight w:val="none"/>
          <w:lang w:val="en-US" w:eastAsia="zh-CN"/>
        </w:rPr>
        <w:t>40</w:t>
      </w:r>
      <w:r>
        <w:rPr>
          <w:rFonts w:hint="eastAsia" w:ascii="仿宋_GB2312" w:hAnsi="仿宋_GB2312" w:eastAsia="仿宋_GB2312" w:cs="仿宋_GB2312"/>
          <w:color w:val="auto"/>
          <w:sz w:val="34"/>
          <w:szCs w:val="34"/>
          <w:highlight w:val="none"/>
        </w:rPr>
        <w:t>户</w:t>
      </w:r>
      <w:r>
        <w:rPr>
          <w:rFonts w:hint="eastAsia" w:ascii="仿宋_GB2312" w:hAnsi="仿宋_GB2312" w:eastAsia="仿宋_GB2312" w:cs="仿宋_GB2312"/>
          <w:color w:val="auto"/>
          <w:sz w:val="34"/>
          <w:szCs w:val="34"/>
          <w:highlight w:val="none"/>
          <w:lang w:val="en-US" w:eastAsia="zh-CN"/>
        </w:rPr>
        <w:t>93</w:t>
      </w:r>
      <w:r>
        <w:rPr>
          <w:rFonts w:hint="eastAsia" w:ascii="仿宋_GB2312" w:hAnsi="仿宋_GB2312" w:eastAsia="仿宋_GB2312" w:cs="仿宋_GB2312"/>
          <w:color w:val="auto"/>
          <w:sz w:val="34"/>
          <w:szCs w:val="34"/>
          <w:highlight w:val="none"/>
        </w:rPr>
        <w:t>人。城区低保月人均标准</w:t>
      </w:r>
      <w:r>
        <w:rPr>
          <w:rFonts w:hint="eastAsia" w:ascii="仿宋_GB2312" w:hAnsi="仿宋_GB2312" w:eastAsia="仿宋_GB2312" w:cs="仿宋_GB2312"/>
          <w:color w:val="auto"/>
          <w:sz w:val="34"/>
          <w:szCs w:val="34"/>
          <w:highlight w:val="none"/>
          <w:lang w:val="en-US" w:eastAsia="zh-CN"/>
        </w:rPr>
        <w:t>730</w:t>
      </w:r>
      <w:r>
        <w:rPr>
          <w:rFonts w:hint="eastAsia" w:ascii="仿宋_GB2312" w:hAnsi="仿宋_GB2312" w:eastAsia="仿宋_GB2312" w:cs="仿宋_GB2312"/>
          <w:color w:val="auto"/>
          <w:sz w:val="34"/>
          <w:szCs w:val="34"/>
          <w:highlight w:val="none"/>
        </w:rPr>
        <w:t>元/月，累计发放低保金</w:t>
      </w:r>
      <w:r>
        <w:rPr>
          <w:rFonts w:hint="eastAsia" w:ascii="仿宋_GB2312" w:hAnsi="仿宋_GB2312" w:eastAsia="仿宋_GB2312" w:cs="仿宋_GB2312"/>
          <w:color w:val="auto"/>
          <w:sz w:val="34"/>
          <w:szCs w:val="34"/>
          <w:highlight w:val="none"/>
          <w:lang w:val="en-US" w:eastAsia="zh-CN"/>
        </w:rPr>
        <w:t>1246.6</w:t>
      </w:r>
      <w:r>
        <w:rPr>
          <w:rFonts w:hint="eastAsia" w:ascii="仿宋_GB2312" w:hAnsi="仿宋_GB2312" w:eastAsia="仿宋_GB2312" w:cs="仿宋_GB2312"/>
          <w:color w:val="auto"/>
          <w:sz w:val="34"/>
          <w:szCs w:val="34"/>
          <w:highlight w:val="none"/>
        </w:rPr>
        <w:t>万元。</w:t>
      </w:r>
    </w:p>
    <w:p>
      <w:pPr>
        <w:spacing w:line="360" w:lineRule="auto"/>
        <w:ind w:firstLine="601" w:firstLineChars="177"/>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结婚登记</w:t>
      </w:r>
      <w:r>
        <w:rPr>
          <w:rFonts w:hint="eastAsia" w:ascii="仿宋_GB2312" w:hAnsi="仿宋_GB2312" w:eastAsia="仿宋_GB2312" w:cs="仿宋_GB2312"/>
          <w:color w:val="auto"/>
          <w:sz w:val="34"/>
          <w:szCs w:val="34"/>
          <w:lang w:val="en-US" w:eastAsia="zh-CN"/>
        </w:rPr>
        <w:t>2751</w:t>
      </w:r>
      <w:r>
        <w:rPr>
          <w:rFonts w:hint="eastAsia" w:ascii="仿宋_GB2312" w:hAnsi="仿宋_GB2312" w:eastAsia="仿宋_GB2312" w:cs="仿宋_GB2312"/>
          <w:color w:val="auto"/>
          <w:sz w:val="34"/>
          <w:szCs w:val="34"/>
        </w:rPr>
        <w:t>对，离婚登记</w:t>
      </w:r>
      <w:r>
        <w:rPr>
          <w:rFonts w:hint="eastAsia" w:ascii="仿宋_GB2312" w:hAnsi="仿宋_GB2312" w:eastAsia="仿宋_GB2312" w:cs="仿宋_GB2312"/>
          <w:color w:val="auto"/>
          <w:sz w:val="34"/>
          <w:szCs w:val="34"/>
          <w:lang w:val="en-US" w:eastAsia="zh-CN"/>
        </w:rPr>
        <w:t>1705</w:t>
      </w:r>
      <w:r>
        <w:rPr>
          <w:rFonts w:hint="eastAsia" w:ascii="仿宋_GB2312" w:hAnsi="仿宋_GB2312" w:eastAsia="仿宋_GB2312" w:cs="仿宋_GB2312"/>
          <w:color w:val="auto"/>
          <w:sz w:val="34"/>
          <w:szCs w:val="34"/>
        </w:rPr>
        <w:t>对，</w:t>
      </w:r>
      <w:r>
        <w:rPr>
          <w:rFonts w:hint="eastAsia" w:ascii="仿宋_GB2312" w:hAnsi="仿宋_GB2312" w:eastAsia="仿宋_GB2312" w:cs="仿宋_GB2312"/>
          <w:color w:val="auto"/>
          <w:sz w:val="34"/>
          <w:szCs w:val="34"/>
          <w:lang w:val="en-US" w:eastAsia="zh-CN"/>
        </w:rPr>
        <w:t>补领结婚证821</w:t>
      </w:r>
      <w:r>
        <w:rPr>
          <w:rFonts w:hint="eastAsia" w:ascii="仿宋_GB2312" w:hAnsi="仿宋_GB2312" w:eastAsia="仿宋_GB2312" w:cs="仿宋_GB2312"/>
          <w:color w:val="auto"/>
          <w:sz w:val="34"/>
          <w:szCs w:val="34"/>
        </w:rPr>
        <w:t>对，</w:t>
      </w:r>
      <w:r>
        <w:rPr>
          <w:rFonts w:hint="eastAsia" w:ascii="仿宋_GB2312" w:hAnsi="仿宋_GB2312" w:eastAsia="仿宋_GB2312" w:cs="仿宋_GB2312"/>
          <w:color w:val="auto"/>
          <w:sz w:val="34"/>
          <w:szCs w:val="34"/>
          <w:lang w:val="en-US" w:eastAsia="zh-CN"/>
        </w:rPr>
        <w:t>补领离婚证181</w:t>
      </w:r>
      <w:r>
        <w:rPr>
          <w:rFonts w:hint="eastAsia" w:ascii="仿宋_GB2312" w:hAnsi="仿宋_GB2312" w:eastAsia="仿宋_GB2312" w:cs="仿宋_GB2312"/>
          <w:color w:val="auto"/>
          <w:sz w:val="34"/>
          <w:szCs w:val="34"/>
        </w:rPr>
        <w:t>对</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档案查询</w:t>
      </w:r>
      <w:r>
        <w:rPr>
          <w:rFonts w:hint="eastAsia" w:ascii="仿宋_GB2312" w:hAnsi="仿宋_GB2312" w:eastAsia="仿宋_GB2312" w:cs="仿宋_GB2312"/>
          <w:color w:val="auto"/>
          <w:sz w:val="34"/>
          <w:szCs w:val="34"/>
          <w:lang w:val="en-US" w:eastAsia="zh-CN"/>
        </w:rPr>
        <w:t>2970</w:t>
      </w:r>
      <w:r>
        <w:rPr>
          <w:rFonts w:hint="eastAsia" w:ascii="仿宋_GB2312" w:hAnsi="仿宋_GB2312" w:eastAsia="仿宋_GB2312" w:cs="仿宋_GB2312"/>
          <w:color w:val="auto"/>
          <w:sz w:val="34"/>
          <w:szCs w:val="34"/>
        </w:rPr>
        <w:t>人次，登记合格率 100％。</w:t>
      </w:r>
    </w:p>
    <w:p>
      <w:pPr>
        <w:widowControl/>
        <w:ind w:firstLine="680" w:firstLineChars="200"/>
        <w:rPr>
          <w:rFonts w:hint="eastAsia" w:ascii="仿宋_GB2312" w:hAnsi="仿宋_GB2312" w:eastAsia="仿宋_GB2312" w:cs="仿宋_GB2312"/>
          <w:color w:val="auto"/>
          <w:kern w:val="0"/>
          <w:sz w:val="34"/>
          <w:szCs w:val="34"/>
          <w:highlight w:val="none"/>
          <w:lang w:val="en-US" w:eastAsia="zh-CN"/>
        </w:rPr>
      </w:pPr>
      <w:r>
        <w:rPr>
          <w:rFonts w:hint="eastAsia" w:ascii="仿宋_GB2312" w:hAnsi="仿宋_GB2312" w:eastAsia="仿宋_GB2312" w:cs="仿宋_GB2312"/>
          <w:color w:val="auto"/>
          <w:kern w:val="0"/>
          <w:sz w:val="34"/>
          <w:szCs w:val="34"/>
          <w:highlight w:val="none"/>
        </w:rPr>
        <w:t>全年城镇新增就业</w:t>
      </w:r>
      <w:r>
        <w:rPr>
          <w:rFonts w:hint="eastAsia" w:ascii="仿宋_GB2312" w:hAnsi="仿宋_GB2312" w:eastAsia="仿宋_GB2312" w:cs="仿宋_GB2312"/>
          <w:color w:val="auto"/>
          <w:kern w:val="0"/>
          <w:sz w:val="34"/>
          <w:szCs w:val="34"/>
          <w:highlight w:val="none"/>
          <w:lang w:val="en-US" w:eastAsia="zh-CN"/>
        </w:rPr>
        <w:t>10409</w:t>
      </w:r>
      <w:r>
        <w:rPr>
          <w:rFonts w:hint="eastAsia" w:ascii="仿宋_GB2312" w:hAnsi="仿宋_GB2312" w:eastAsia="仿宋_GB2312" w:cs="仿宋_GB2312"/>
          <w:color w:val="auto"/>
          <w:kern w:val="0"/>
          <w:sz w:val="34"/>
          <w:szCs w:val="34"/>
          <w:highlight w:val="none"/>
        </w:rPr>
        <w:t>人，城镇登记失业率为</w:t>
      </w:r>
      <w:r>
        <w:rPr>
          <w:rFonts w:hint="eastAsia" w:ascii="仿宋_GB2312" w:hAnsi="仿宋_GB2312" w:eastAsia="仿宋_GB2312" w:cs="仿宋_GB2312"/>
          <w:color w:val="auto"/>
          <w:kern w:val="0"/>
          <w:sz w:val="34"/>
          <w:szCs w:val="34"/>
          <w:highlight w:val="none"/>
          <w:lang w:val="en-US" w:eastAsia="zh-CN"/>
        </w:rPr>
        <w:t>2.5</w:t>
      </w:r>
      <w:r>
        <w:rPr>
          <w:rFonts w:hint="eastAsia" w:ascii="仿宋_GB2312" w:hAnsi="仿宋_GB2312" w:eastAsia="仿宋_GB2312" w:cs="仿宋_GB2312"/>
          <w:color w:val="auto"/>
          <w:kern w:val="0"/>
          <w:sz w:val="34"/>
          <w:szCs w:val="34"/>
          <w:highlight w:val="none"/>
        </w:rPr>
        <w:t>%</w:t>
      </w:r>
      <w:r>
        <w:rPr>
          <w:rFonts w:hint="eastAsia" w:ascii="仿宋_GB2312" w:hAnsi="仿宋_GB2312" w:eastAsia="仿宋_GB2312" w:cs="仿宋_GB2312"/>
          <w:color w:val="auto"/>
          <w:kern w:val="0"/>
          <w:sz w:val="34"/>
          <w:szCs w:val="34"/>
          <w:highlight w:val="none"/>
          <w:lang w:eastAsia="zh-CN"/>
        </w:rPr>
        <w:t>，</w:t>
      </w:r>
      <w:r>
        <w:rPr>
          <w:rFonts w:hint="eastAsia" w:ascii="仿宋_GB2312" w:hAnsi="仿宋_GB2312" w:eastAsia="仿宋_GB2312" w:cs="仿宋_GB2312"/>
          <w:color w:val="auto"/>
          <w:kern w:val="0"/>
          <w:sz w:val="34"/>
          <w:szCs w:val="34"/>
          <w:highlight w:val="none"/>
        </w:rPr>
        <w:t>零就业家庭始终保持动态为零。扶持创业带头人151人，带动就业</w:t>
      </w:r>
      <w:r>
        <w:rPr>
          <w:rFonts w:hint="eastAsia" w:ascii="仿宋_GB2312" w:hAnsi="仿宋_GB2312" w:eastAsia="仿宋_GB2312" w:cs="仿宋_GB2312"/>
          <w:color w:val="auto"/>
          <w:kern w:val="0"/>
          <w:sz w:val="34"/>
          <w:szCs w:val="34"/>
          <w:highlight w:val="none"/>
          <w:lang w:val="en-US" w:eastAsia="zh-CN"/>
        </w:rPr>
        <w:t>498</w:t>
      </w:r>
      <w:r>
        <w:rPr>
          <w:rFonts w:hint="eastAsia" w:ascii="仿宋_GB2312" w:hAnsi="仿宋_GB2312" w:eastAsia="仿宋_GB2312" w:cs="仿宋_GB2312"/>
          <w:color w:val="auto"/>
          <w:kern w:val="0"/>
          <w:sz w:val="34"/>
          <w:szCs w:val="34"/>
          <w:highlight w:val="none"/>
        </w:rPr>
        <w:t>人</w:t>
      </w:r>
      <w:r>
        <w:rPr>
          <w:rFonts w:hint="eastAsia" w:ascii="仿宋_GB2312" w:hAnsi="仿宋_GB2312" w:eastAsia="仿宋_GB2312" w:cs="仿宋_GB2312"/>
          <w:color w:val="auto"/>
          <w:kern w:val="0"/>
          <w:sz w:val="34"/>
          <w:szCs w:val="34"/>
          <w:highlight w:val="none"/>
          <w:lang w:eastAsia="zh-CN"/>
        </w:rPr>
        <w:t>。</w:t>
      </w:r>
      <w:r>
        <w:rPr>
          <w:rFonts w:hint="eastAsia" w:ascii="仿宋_GB2312" w:hAnsi="仿宋_GB2312" w:eastAsia="仿宋_GB2312" w:cs="仿宋_GB2312"/>
          <w:color w:val="auto"/>
          <w:kern w:val="0"/>
          <w:sz w:val="34"/>
          <w:szCs w:val="34"/>
          <w:highlight w:val="none"/>
        </w:rPr>
        <w:t>全民创业35</w:t>
      </w:r>
      <w:r>
        <w:rPr>
          <w:rFonts w:hint="eastAsia" w:ascii="仿宋_GB2312" w:hAnsi="仿宋_GB2312" w:eastAsia="仿宋_GB2312" w:cs="仿宋_GB2312"/>
          <w:color w:val="auto"/>
          <w:kern w:val="0"/>
          <w:sz w:val="34"/>
          <w:szCs w:val="34"/>
          <w:highlight w:val="none"/>
          <w:lang w:val="en-US" w:eastAsia="zh-CN"/>
        </w:rPr>
        <w:t>80</w:t>
      </w:r>
      <w:r>
        <w:rPr>
          <w:rFonts w:hint="eastAsia" w:ascii="仿宋_GB2312" w:hAnsi="仿宋_GB2312" w:eastAsia="仿宋_GB2312" w:cs="仿宋_GB2312"/>
          <w:color w:val="auto"/>
          <w:kern w:val="0"/>
          <w:sz w:val="34"/>
          <w:szCs w:val="34"/>
          <w:highlight w:val="none"/>
        </w:rPr>
        <w:t>人</w:t>
      </w:r>
      <w:r>
        <w:rPr>
          <w:rFonts w:hint="eastAsia" w:ascii="仿宋_GB2312" w:hAnsi="仿宋_GB2312" w:eastAsia="仿宋_GB2312" w:cs="仿宋_GB2312"/>
          <w:color w:val="auto"/>
          <w:kern w:val="0"/>
          <w:sz w:val="34"/>
          <w:szCs w:val="34"/>
          <w:highlight w:val="none"/>
          <w:lang w:eastAsia="zh-CN"/>
        </w:rPr>
        <w:t>，</w:t>
      </w:r>
      <w:r>
        <w:rPr>
          <w:rFonts w:hint="eastAsia" w:ascii="仿宋_GB2312" w:hAnsi="仿宋_GB2312" w:eastAsia="仿宋_GB2312" w:cs="仿宋_GB2312"/>
          <w:color w:val="auto"/>
          <w:kern w:val="0"/>
          <w:sz w:val="34"/>
          <w:szCs w:val="34"/>
          <w:highlight w:val="none"/>
        </w:rPr>
        <w:t>带动就业</w:t>
      </w:r>
      <w:r>
        <w:rPr>
          <w:rFonts w:hint="eastAsia" w:ascii="仿宋_GB2312" w:hAnsi="仿宋_GB2312" w:eastAsia="仿宋_GB2312" w:cs="仿宋_GB2312"/>
          <w:color w:val="auto"/>
          <w:kern w:val="0"/>
          <w:sz w:val="34"/>
          <w:szCs w:val="34"/>
          <w:highlight w:val="none"/>
          <w:lang w:val="en-US" w:eastAsia="zh-CN"/>
        </w:rPr>
        <w:t>7168</w:t>
      </w:r>
      <w:r>
        <w:rPr>
          <w:rFonts w:hint="eastAsia" w:ascii="仿宋_GB2312" w:hAnsi="仿宋_GB2312" w:eastAsia="仿宋_GB2312" w:cs="仿宋_GB2312"/>
          <w:color w:val="auto"/>
          <w:kern w:val="0"/>
          <w:sz w:val="34"/>
          <w:szCs w:val="34"/>
          <w:highlight w:val="none"/>
        </w:rPr>
        <w:t>人。</w:t>
      </w:r>
      <w:r>
        <w:rPr>
          <w:rFonts w:hint="eastAsia" w:ascii="仿宋_GB2312" w:hAnsi="仿宋_GB2312" w:eastAsia="仿宋_GB2312" w:cs="仿宋_GB2312"/>
          <w:color w:val="auto"/>
          <w:kern w:val="0"/>
          <w:sz w:val="34"/>
          <w:szCs w:val="34"/>
          <w:highlight w:val="none"/>
          <w:lang w:val="en-US" w:eastAsia="zh-CN"/>
        </w:rPr>
        <w:t>创业孵化基地入驻67户企业，带动就业373人。全年办理创业就业证7892本。</w:t>
      </w:r>
    </w:p>
    <w:p>
      <w:pPr>
        <w:widowControl/>
        <w:ind w:firstLine="680" w:firstLineChars="200"/>
        <w:rPr>
          <w:rFonts w:hint="default" w:ascii="仿宋" w:hAnsi="仿宋" w:eastAsia="仿宋_GB2312" w:cs="宋体"/>
          <w:color w:val="auto"/>
          <w:kern w:val="0"/>
          <w:sz w:val="34"/>
          <w:szCs w:val="34"/>
          <w:highlight w:val="none"/>
          <w:lang w:val="en-US" w:eastAsia="zh-CN"/>
        </w:rPr>
      </w:pPr>
      <w:r>
        <w:rPr>
          <w:rFonts w:hint="eastAsia" w:ascii="仿宋_GB2312" w:hAnsi="仿宋_GB2312" w:eastAsia="仿宋_GB2312" w:cs="仿宋_GB2312"/>
          <w:color w:val="auto"/>
          <w:kern w:val="0"/>
          <w:sz w:val="34"/>
          <w:szCs w:val="34"/>
          <w:highlight w:val="none"/>
          <w:lang w:val="en-US" w:eastAsia="zh-CN"/>
        </w:rPr>
        <w:t>全区机关事业单位养老保险参保单位100户，参保职工6130人。企业失业保险参保人数22204人。</w:t>
      </w:r>
    </w:p>
    <w:p>
      <w:pPr>
        <w:widowControl/>
        <w:spacing w:line="360" w:lineRule="auto"/>
        <w:ind w:firstLine="680" w:firstLineChars="200"/>
        <w:jc w:val="left"/>
        <w:rPr>
          <w:rFonts w:ascii="黑体" w:hAnsi="黑体" w:eastAsia="黑体" w:cs="黑体"/>
          <w:bCs/>
          <w:color w:val="auto"/>
          <w:kern w:val="0"/>
          <w:sz w:val="34"/>
          <w:szCs w:val="34"/>
        </w:rPr>
      </w:pPr>
      <w:r>
        <w:rPr>
          <w:rFonts w:hint="eastAsia" w:ascii="黑体" w:hAnsi="黑体" w:eastAsia="黑体" w:cs="黑体"/>
          <w:bCs/>
          <w:color w:val="auto"/>
          <w:kern w:val="0"/>
          <w:sz w:val="34"/>
          <w:szCs w:val="34"/>
        </w:rPr>
        <w:t>十一、能源、环境和安全生产</w:t>
      </w:r>
    </w:p>
    <w:p>
      <w:pPr>
        <w:widowControl/>
        <w:spacing w:line="360" w:lineRule="auto"/>
        <w:ind w:firstLine="680" w:firstLineChars="200"/>
        <w:jc w:val="left"/>
        <w:rPr>
          <w:rFonts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全年规模以上工业企业用电量</w:t>
      </w:r>
      <w:r>
        <w:rPr>
          <w:rFonts w:hint="eastAsia" w:ascii="仿宋_GB2312" w:hAnsi="仿宋_GB2312" w:eastAsia="仿宋_GB2312" w:cs="仿宋_GB2312"/>
          <w:color w:val="auto"/>
          <w:kern w:val="0"/>
          <w:sz w:val="34"/>
          <w:szCs w:val="34"/>
          <w:lang w:val="en-US" w:eastAsia="zh-CN"/>
        </w:rPr>
        <w:t>8.1</w:t>
      </w:r>
      <w:r>
        <w:rPr>
          <w:rFonts w:hint="eastAsia" w:ascii="仿宋_GB2312" w:hAnsi="仿宋_GB2312" w:eastAsia="仿宋_GB2312" w:cs="仿宋_GB2312"/>
          <w:color w:val="auto"/>
          <w:kern w:val="0"/>
          <w:sz w:val="34"/>
          <w:szCs w:val="34"/>
        </w:rPr>
        <w:t>亿千瓦时，比上年增长</w:t>
      </w:r>
      <w:r>
        <w:rPr>
          <w:rFonts w:hint="eastAsia" w:ascii="仿宋_GB2312" w:hAnsi="仿宋_GB2312" w:eastAsia="仿宋_GB2312" w:cs="仿宋_GB2312"/>
          <w:color w:val="auto"/>
          <w:kern w:val="0"/>
          <w:sz w:val="34"/>
          <w:szCs w:val="34"/>
          <w:lang w:val="en-US" w:eastAsia="zh-CN"/>
        </w:rPr>
        <w:t>9.1</w:t>
      </w:r>
      <w:r>
        <w:rPr>
          <w:rFonts w:hint="eastAsia" w:ascii="仿宋_GB2312" w:hAnsi="仿宋_GB2312" w:eastAsia="仿宋_GB2312" w:cs="仿宋_GB2312"/>
          <w:color w:val="auto"/>
          <w:kern w:val="0"/>
          <w:sz w:val="34"/>
          <w:szCs w:val="34"/>
        </w:rPr>
        <w:t>%。</w:t>
      </w:r>
    </w:p>
    <w:p>
      <w:pPr>
        <w:widowControl/>
        <w:spacing w:line="360" w:lineRule="auto"/>
        <w:ind w:firstLine="680" w:firstLineChars="200"/>
        <w:jc w:val="left"/>
        <w:rPr>
          <w:rFonts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rPr>
        <w:t>全年规模以上工业综合能源消费量</w:t>
      </w:r>
      <w:r>
        <w:rPr>
          <w:rFonts w:hint="eastAsia" w:ascii="仿宋_GB2312" w:hAnsi="仿宋_GB2312" w:eastAsia="仿宋_GB2312" w:cs="仿宋_GB2312"/>
          <w:color w:val="auto"/>
          <w:kern w:val="0"/>
          <w:sz w:val="34"/>
          <w:szCs w:val="34"/>
          <w:lang w:val="en-US" w:eastAsia="zh-CN"/>
        </w:rPr>
        <w:t>94.1</w:t>
      </w:r>
      <w:r>
        <w:rPr>
          <w:rFonts w:hint="eastAsia" w:ascii="仿宋_GB2312" w:hAnsi="仿宋_GB2312" w:eastAsia="仿宋_GB2312" w:cs="仿宋_GB2312"/>
          <w:color w:val="auto"/>
          <w:kern w:val="0"/>
          <w:sz w:val="34"/>
          <w:szCs w:val="34"/>
        </w:rPr>
        <w:t>万吨标准煤，比上年增长</w:t>
      </w:r>
      <w:r>
        <w:rPr>
          <w:rFonts w:hint="eastAsia" w:ascii="仿宋_GB2312" w:hAnsi="仿宋_GB2312" w:eastAsia="仿宋_GB2312" w:cs="仿宋_GB2312"/>
          <w:color w:val="auto"/>
          <w:kern w:val="0"/>
          <w:sz w:val="34"/>
          <w:szCs w:val="34"/>
          <w:lang w:val="en-US" w:eastAsia="zh-CN"/>
        </w:rPr>
        <w:t>8.4</w:t>
      </w:r>
      <w:r>
        <w:rPr>
          <w:rFonts w:hint="eastAsia" w:ascii="仿宋_GB2312" w:hAnsi="仿宋_GB2312" w:eastAsia="仿宋_GB2312" w:cs="仿宋_GB2312"/>
          <w:color w:val="auto"/>
          <w:kern w:val="0"/>
          <w:sz w:val="34"/>
          <w:szCs w:val="34"/>
        </w:rPr>
        <w:t>%。</w:t>
      </w:r>
    </w:p>
    <w:p>
      <w:pPr>
        <w:widowControl/>
        <w:spacing w:line="360" w:lineRule="auto"/>
        <w:ind w:firstLine="680" w:firstLineChars="200"/>
        <w:jc w:val="left"/>
        <w:rPr>
          <w:rFonts w:ascii="仿宋_GB2312" w:hAnsi="仿宋_GB2312" w:eastAsia="仿宋_GB2312" w:cs="仿宋_GB2312"/>
          <w:color w:val="auto"/>
          <w:kern w:val="0"/>
          <w:sz w:val="34"/>
          <w:szCs w:val="34"/>
        </w:rPr>
      </w:pPr>
      <w:r>
        <w:rPr>
          <w:rFonts w:hint="eastAsia" w:ascii="仿宋_GB2312" w:hAnsi="仿宋_GB2312" w:eastAsia="仿宋_GB2312" w:cs="仿宋_GB2312"/>
          <w:color w:val="auto"/>
          <w:kern w:val="0"/>
          <w:sz w:val="34"/>
          <w:szCs w:val="34"/>
          <w:highlight w:val="none"/>
        </w:rPr>
        <w:t>全年城市环境空气质量平均优良天数为30</w:t>
      </w:r>
      <w:r>
        <w:rPr>
          <w:rFonts w:hint="eastAsia" w:ascii="仿宋_GB2312" w:hAnsi="仿宋_GB2312" w:eastAsia="仿宋_GB2312" w:cs="仿宋_GB2312"/>
          <w:color w:val="auto"/>
          <w:kern w:val="0"/>
          <w:sz w:val="34"/>
          <w:szCs w:val="34"/>
          <w:highlight w:val="none"/>
          <w:lang w:val="en-US" w:eastAsia="zh-CN"/>
        </w:rPr>
        <w:t>9</w:t>
      </w:r>
      <w:r>
        <w:rPr>
          <w:rFonts w:hint="eastAsia" w:ascii="仿宋_GB2312" w:hAnsi="仿宋_GB2312" w:eastAsia="仿宋_GB2312" w:cs="仿宋_GB2312"/>
          <w:color w:val="auto"/>
          <w:kern w:val="0"/>
          <w:sz w:val="34"/>
          <w:szCs w:val="34"/>
          <w:highlight w:val="none"/>
        </w:rPr>
        <w:t>天，优良天数比例为8</w:t>
      </w:r>
      <w:r>
        <w:rPr>
          <w:rFonts w:hint="eastAsia" w:ascii="仿宋_GB2312" w:hAnsi="仿宋_GB2312" w:eastAsia="仿宋_GB2312" w:cs="仿宋_GB2312"/>
          <w:color w:val="auto"/>
          <w:kern w:val="0"/>
          <w:sz w:val="34"/>
          <w:szCs w:val="34"/>
          <w:highlight w:val="none"/>
          <w:lang w:val="en-US" w:eastAsia="zh-CN"/>
        </w:rPr>
        <w:t>4.4</w:t>
      </w:r>
      <w:r>
        <w:rPr>
          <w:rFonts w:hint="eastAsia" w:ascii="仿宋_GB2312" w:hAnsi="仿宋_GB2312" w:eastAsia="仿宋_GB2312" w:cs="仿宋_GB2312"/>
          <w:color w:val="auto"/>
          <w:kern w:val="0"/>
          <w:sz w:val="34"/>
          <w:szCs w:val="34"/>
          <w:highlight w:val="none"/>
        </w:rPr>
        <w:t>%。</w:t>
      </w:r>
      <w:r>
        <w:rPr>
          <w:rFonts w:hint="eastAsia" w:ascii="仿宋_GB2312" w:hAnsi="仿宋_GB2312" w:eastAsia="仿宋_GB2312" w:cs="仿宋_GB2312"/>
          <w:color w:val="auto"/>
          <w:kern w:val="0"/>
          <w:sz w:val="34"/>
          <w:szCs w:val="34"/>
        </w:rPr>
        <w:t>全年新增绿化面积</w:t>
      </w:r>
      <w:r>
        <w:rPr>
          <w:rFonts w:hint="eastAsia" w:ascii="仿宋_GB2312" w:hAnsi="仿宋_GB2312" w:eastAsia="仿宋_GB2312" w:cs="仿宋_GB2312"/>
          <w:color w:val="auto"/>
          <w:kern w:val="0"/>
          <w:sz w:val="34"/>
          <w:szCs w:val="34"/>
          <w:lang w:val="en-US" w:eastAsia="zh-CN"/>
        </w:rPr>
        <w:t>6.4</w:t>
      </w:r>
      <w:r>
        <w:rPr>
          <w:rFonts w:hint="eastAsia" w:ascii="仿宋_GB2312" w:hAnsi="仿宋_GB2312" w:eastAsia="仿宋_GB2312" w:cs="仿宋_GB2312"/>
          <w:color w:val="auto"/>
          <w:kern w:val="0"/>
          <w:sz w:val="34"/>
          <w:szCs w:val="34"/>
        </w:rPr>
        <w:t>公顷。</w:t>
      </w:r>
    </w:p>
    <w:p>
      <w:pPr>
        <w:widowControl/>
        <w:spacing w:line="360" w:lineRule="auto"/>
        <w:ind w:firstLine="680" w:firstLineChars="200"/>
        <w:jc w:val="left"/>
        <w:rPr>
          <w:rFonts w:ascii="仿宋_GB2312" w:hAnsi="仿宋_GB2312" w:eastAsia="仿宋_GB2312" w:cs="仿宋_GB2312"/>
          <w:color w:val="auto"/>
          <w:kern w:val="0"/>
          <w:sz w:val="34"/>
          <w:szCs w:val="34"/>
        </w:rPr>
      </w:pPr>
      <w:r>
        <w:rPr>
          <w:rFonts w:hint="eastAsia" w:ascii="仿宋_GB2312" w:hAnsi="仿宋_GB2312" w:eastAsia="仿宋_GB2312" w:cs="仿宋_GB2312"/>
          <w:color w:val="auto"/>
          <w:sz w:val="34"/>
          <w:szCs w:val="34"/>
        </w:rPr>
        <w:t>全年无生产安全事故。</w:t>
      </w:r>
    </w:p>
    <w:p>
      <w:pPr>
        <w:spacing w:line="360" w:lineRule="auto"/>
        <w:rPr>
          <w:rFonts w:ascii="仿宋_GB2312" w:hAnsi="仿宋_GB2312" w:eastAsia="仿宋_GB2312" w:cs="仿宋_GB2312"/>
          <w:color w:val="auto"/>
          <w:sz w:val="24"/>
          <w:szCs w:val="24"/>
        </w:rPr>
      </w:pPr>
    </w:p>
    <w:p>
      <w:pPr>
        <w:spacing w:line="360" w:lineRule="auto"/>
        <w:ind w:firstLine="602" w:firstLineChars="200"/>
        <w:rPr>
          <w:rFonts w:ascii="楷体" w:hAnsi="楷体" w:eastAsia="楷体"/>
          <w:b/>
          <w:color w:val="auto"/>
          <w:sz w:val="30"/>
          <w:szCs w:val="30"/>
        </w:rPr>
      </w:pPr>
      <w:r>
        <w:rPr>
          <w:rFonts w:hint="eastAsia" w:ascii="楷体" w:hAnsi="楷体" w:eastAsia="楷体"/>
          <w:b/>
          <w:color w:val="auto"/>
          <w:sz w:val="30"/>
          <w:szCs w:val="30"/>
        </w:rPr>
        <w:t>注释：</w:t>
      </w:r>
    </w:p>
    <w:p>
      <w:pPr>
        <w:spacing w:line="360" w:lineRule="auto"/>
        <w:ind w:firstLine="648" w:firstLineChars="200"/>
        <w:rPr>
          <w:rFonts w:ascii="楷体" w:hAnsi="楷体" w:eastAsia="楷体"/>
          <w:color w:val="auto"/>
          <w:sz w:val="30"/>
          <w:szCs w:val="30"/>
        </w:rPr>
      </w:pPr>
      <w:r>
        <w:rPr>
          <w:rFonts w:hint="eastAsia" w:ascii="楷体" w:hAnsi="楷体" w:eastAsia="楷体" w:cs="宋体"/>
          <w:color w:val="auto"/>
          <w:spacing w:val="12"/>
          <w:kern w:val="0"/>
          <w:sz w:val="30"/>
          <w:szCs w:val="30"/>
        </w:rPr>
        <w:t>1.本公报中数据均为初步统计数。部分指标数据在年报时可能还有调整。</w:t>
      </w:r>
    </w:p>
    <w:p>
      <w:pPr>
        <w:spacing w:line="360" w:lineRule="auto"/>
        <w:ind w:firstLine="648" w:firstLineChars="200"/>
        <w:rPr>
          <w:rFonts w:ascii="楷体" w:hAnsi="楷体" w:eastAsia="楷体"/>
          <w:color w:val="auto"/>
          <w:sz w:val="30"/>
          <w:szCs w:val="30"/>
        </w:rPr>
      </w:pPr>
      <w:r>
        <w:rPr>
          <w:rFonts w:hint="eastAsia" w:ascii="楷体" w:hAnsi="楷体" w:eastAsia="楷体" w:cs="宋体"/>
          <w:color w:val="auto"/>
          <w:spacing w:val="12"/>
          <w:kern w:val="0"/>
          <w:sz w:val="30"/>
          <w:szCs w:val="30"/>
        </w:rPr>
        <w:t>2.</w:t>
      </w:r>
      <w:r>
        <w:rPr>
          <w:rFonts w:hint="eastAsia" w:ascii="楷体" w:hAnsi="楷体" w:eastAsia="楷体" w:cs="宋体"/>
          <w:color w:val="auto"/>
          <w:kern w:val="0"/>
          <w:sz w:val="30"/>
          <w:szCs w:val="30"/>
        </w:rPr>
        <w:t>地区生产总值、各产业增加值、人均地区生产总值绝对数按现价计算，增长速度按可比价格计算。</w:t>
      </w:r>
    </w:p>
    <w:p>
      <w:pPr>
        <w:spacing w:line="360" w:lineRule="auto"/>
        <w:ind w:firstLine="600" w:firstLineChars="200"/>
        <w:rPr>
          <w:rFonts w:ascii="楷体" w:hAnsi="楷体" w:eastAsia="楷体"/>
          <w:color w:val="auto"/>
          <w:sz w:val="30"/>
          <w:szCs w:val="30"/>
        </w:rPr>
      </w:pPr>
      <w:r>
        <w:rPr>
          <w:rFonts w:hint="eastAsia" w:ascii="楷体" w:hAnsi="楷体" w:eastAsia="楷体" w:cs="宋体"/>
          <w:color w:val="auto"/>
          <w:kern w:val="0"/>
          <w:sz w:val="30"/>
          <w:szCs w:val="30"/>
        </w:rPr>
        <w:t>3.规模以上工业统计范围为年主营业务收入2000万元及以上的</w:t>
      </w:r>
      <w:r>
        <w:rPr>
          <w:rFonts w:hint="eastAsia" w:ascii="楷体" w:hAnsi="楷体" w:eastAsia="楷体" w:cs="宋体"/>
          <w:color w:val="auto"/>
          <w:spacing w:val="12"/>
          <w:kern w:val="0"/>
          <w:sz w:val="30"/>
          <w:szCs w:val="30"/>
        </w:rPr>
        <w:t>工业法人企业；固定资产投资统计的起点为500万元及以上项目;限额以上批发业统计范围为年主营业务收入2000万元及以上的批发业法人企业、产业活动单位和个体经营户，限额以上零售业统计范围为年主营业务收入500万元及以上的零售业法人企业、产业活动单位和个体经营户，限额以上住宿和餐饮业统计范围为年主营业务收入200万元及以上的住宿和餐饮业法人企业、产业活动单位和个体经营户。</w:t>
      </w:r>
    </w:p>
    <w:p>
      <w:pPr>
        <w:widowControl/>
        <w:spacing w:line="360" w:lineRule="auto"/>
        <w:rPr>
          <w:rFonts w:ascii="楷体" w:hAnsi="楷体" w:eastAsia="楷体"/>
          <w:color w:val="auto"/>
          <w:sz w:val="30"/>
          <w:szCs w:val="30"/>
        </w:rPr>
      </w:pPr>
    </w:p>
    <w:p>
      <w:pPr>
        <w:widowControl/>
        <w:spacing w:line="360" w:lineRule="auto"/>
        <w:ind w:firstLine="650" w:firstLineChars="200"/>
        <w:rPr>
          <w:rFonts w:ascii="楷体" w:hAnsi="楷体" w:eastAsia="楷体" w:cs="宋体"/>
          <w:b/>
          <w:color w:val="auto"/>
          <w:spacing w:val="12"/>
          <w:kern w:val="0"/>
          <w:sz w:val="30"/>
          <w:szCs w:val="30"/>
        </w:rPr>
      </w:pPr>
      <w:r>
        <w:rPr>
          <w:rFonts w:hint="eastAsia" w:ascii="楷体" w:hAnsi="楷体" w:eastAsia="楷体" w:cs="宋体"/>
          <w:b/>
          <w:color w:val="auto"/>
          <w:spacing w:val="12"/>
          <w:kern w:val="0"/>
          <w:sz w:val="30"/>
          <w:szCs w:val="30"/>
        </w:rPr>
        <w:t>资料来源：</w:t>
      </w:r>
    </w:p>
    <w:p>
      <w:pPr>
        <w:widowControl/>
        <w:spacing w:line="360" w:lineRule="auto"/>
        <w:ind w:firstLine="600" w:firstLineChars="200"/>
        <w:rPr>
          <w:rFonts w:ascii="楷体" w:hAnsi="楷体" w:eastAsia="楷体" w:cs="宋体"/>
          <w:color w:val="auto"/>
          <w:kern w:val="0"/>
          <w:sz w:val="30"/>
          <w:szCs w:val="30"/>
        </w:rPr>
      </w:pPr>
      <w:r>
        <w:rPr>
          <w:rFonts w:hint="eastAsia" w:ascii="楷体" w:hAnsi="楷体" w:eastAsia="楷体" w:cs="宋体"/>
          <w:color w:val="auto"/>
          <w:kern w:val="0"/>
          <w:sz w:val="30"/>
          <w:szCs w:val="30"/>
        </w:rPr>
        <w:t>本公报中外贸出口数据来自区商务局；利用外资数据来自区招商中心；财政税收数据来自区财政局；科技数据来自区科技局；教育数据来自区教育局；卫生数据来自区卫健局；文化、旅游数据来自区文旅广电局；城乡居民收入数据来自国家统计局盘锦调查队；城镇养老保险、城镇医疗保险、就业等数据来自区人社局；城乡最低生活保障、社会福利、婚姻登记等数据来自区民政局；资源环境等数据来自区环保局；安全生产数据来自区应急管理局；人口数据来自区公安局；其他数据均来自区统计局。</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黑体"/>
    <w:panose1 w:val="00000000000000000000"/>
    <w:charset w:val="86"/>
    <w:family w:val="auto"/>
    <w:pitch w:val="default"/>
    <w:sig w:usb0="00000000" w:usb1="00000000" w:usb2="00000000"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1"/>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C8FB7"/>
    <w:multiLevelType w:val="singleLevel"/>
    <w:tmpl w:val="DF3C8FB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B"/>
    <w:rsid w:val="00000946"/>
    <w:rsid w:val="00000B1E"/>
    <w:rsid w:val="00000C58"/>
    <w:rsid w:val="000020B1"/>
    <w:rsid w:val="0000238C"/>
    <w:rsid w:val="000037F5"/>
    <w:rsid w:val="00004C07"/>
    <w:rsid w:val="000051B0"/>
    <w:rsid w:val="0000622C"/>
    <w:rsid w:val="000114C9"/>
    <w:rsid w:val="000151EF"/>
    <w:rsid w:val="0001680B"/>
    <w:rsid w:val="000175E6"/>
    <w:rsid w:val="00020385"/>
    <w:rsid w:val="00020958"/>
    <w:rsid w:val="00024ACF"/>
    <w:rsid w:val="000259A1"/>
    <w:rsid w:val="00025C92"/>
    <w:rsid w:val="00025FBD"/>
    <w:rsid w:val="0003026D"/>
    <w:rsid w:val="00031D27"/>
    <w:rsid w:val="00032E2E"/>
    <w:rsid w:val="000332E7"/>
    <w:rsid w:val="000343DD"/>
    <w:rsid w:val="00034F73"/>
    <w:rsid w:val="00035F2E"/>
    <w:rsid w:val="00040A0F"/>
    <w:rsid w:val="00041731"/>
    <w:rsid w:val="0004208E"/>
    <w:rsid w:val="00042617"/>
    <w:rsid w:val="00043956"/>
    <w:rsid w:val="00043F7E"/>
    <w:rsid w:val="000443DF"/>
    <w:rsid w:val="0004467E"/>
    <w:rsid w:val="0004513B"/>
    <w:rsid w:val="00045230"/>
    <w:rsid w:val="00045F19"/>
    <w:rsid w:val="00050FFA"/>
    <w:rsid w:val="00053046"/>
    <w:rsid w:val="00053130"/>
    <w:rsid w:val="00054292"/>
    <w:rsid w:val="00054E0E"/>
    <w:rsid w:val="00056313"/>
    <w:rsid w:val="00060BB5"/>
    <w:rsid w:val="00061881"/>
    <w:rsid w:val="00061A3B"/>
    <w:rsid w:val="000629A2"/>
    <w:rsid w:val="00062E65"/>
    <w:rsid w:val="00063D4E"/>
    <w:rsid w:val="0006635C"/>
    <w:rsid w:val="0007269E"/>
    <w:rsid w:val="00073E4C"/>
    <w:rsid w:val="00074359"/>
    <w:rsid w:val="000749AE"/>
    <w:rsid w:val="00074A2C"/>
    <w:rsid w:val="00074BEA"/>
    <w:rsid w:val="00075431"/>
    <w:rsid w:val="00076BC3"/>
    <w:rsid w:val="00076E49"/>
    <w:rsid w:val="00080030"/>
    <w:rsid w:val="000800D4"/>
    <w:rsid w:val="00080C36"/>
    <w:rsid w:val="00081447"/>
    <w:rsid w:val="00082423"/>
    <w:rsid w:val="0008348D"/>
    <w:rsid w:val="000842F2"/>
    <w:rsid w:val="00084E2E"/>
    <w:rsid w:val="00085296"/>
    <w:rsid w:val="00085AAA"/>
    <w:rsid w:val="00085C4A"/>
    <w:rsid w:val="00090462"/>
    <w:rsid w:val="00090610"/>
    <w:rsid w:val="000906AE"/>
    <w:rsid w:val="000909B5"/>
    <w:rsid w:val="00090B8B"/>
    <w:rsid w:val="000933C5"/>
    <w:rsid w:val="0009582B"/>
    <w:rsid w:val="000962C7"/>
    <w:rsid w:val="000963EF"/>
    <w:rsid w:val="000967CF"/>
    <w:rsid w:val="0009700E"/>
    <w:rsid w:val="00097837"/>
    <w:rsid w:val="000A0388"/>
    <w:rsid w:val="000A11E2"/>
    <w:rsid w:val="000A180A"/>
    <w:rsid w:val="000A30D7"/>
    <w:rsid w:val="000A3C1D"/>
    <w:rsid w:val="000B12C8"/>
    <w:rsid w:val="000B2804"/>
    <w:rsid w:val="000B2FFF"/>
    <w:rsid w:val="000B3389"/>
    <w:rsid w:val="000B39BF"/>
    <w:rsid w:val="000B678A"/>
    <w:rsid w:val="000B7266"/>
    <w:rsid w:val="000C076E"/>
    <w:rsid w:val="000C090C"/>
    <w:rsid w:val="000C1E1C"/>
    <w:rsid w:val="000C1F93"/>
    <w:rsid w:val="000C297E"/>
    <w:rsid w:val="000C2CEE"/>
    <w:rsid w:val="000C455A"/>
    <w:rsid w:val="000C46BD"/>
    <w:rsid w:val="000C5136"/>
    <w:rsid w:val="000C528A"/>
    <w:rsid w:val="000C6043"/>
    <w:rsid w:val="000C6562"/>
    <w:rsid w:val="000D013F"/>
    <w:rsid w:val="000D045D"/>
    <w:rsid w:val="000D0792"/>
    <w:rsid w:val="000D1BFE"/>
    <w:rsid w:val="000D2AED"/>
    <w:rsid w:val="000D4D1A"/>
    <w:rsid w:val="000D50D4"/>
    <w:rsid w:val="000D6BF1"/>
    <w:rsid w:val="000E07A8"/>
    <w:rsid w:val="000E2B52"/>
    <w:rsid w:val="000E2C29"/>
    <w:rsid w:val="000E364D"/>
    <w:rsid w:val="000F0130"/>
    <w:rsid w:val="000F059E"/>
    <w:rsid w:val="000F0ADA"/>
    <w:rsid w:val="000F1D1D"/>
    <w:rsid w:val="000F32B8"/>
    <w:rsid w:val="000F3367"/>
    <w:rsid w:val="000F3A36"/>
    <w:rsid w:val="000F5FE1"/>
    <w:rsid w:val="000F74EA"/>
    <w:rsid w:val="000F7911"/>
    <w:rsid w:val="00103326"/>
    <w:rsid w:val="00104211"/>
    <w:rsid w:val="00104219"/>
    <w:rsid w:val="00104893"/>
    <w:rsid w:val="00104DF3"/>
    <w:rsid w:val="00105CFE"/>
    <w:rsid w:val="00106A0D"/>
    <w:rsid w:val="001116A7"/>
    <w:rsid w:val="001125DC"/>
    <w:rsid w:val="0011282D"/>
    <w:rsid w:val="001135BE"/>
    <w:rsid w:val="00114BCF"/>
    <w:rsid w:val="00114BE9"/>
    <w:rsid w:val="00116400"/>
    <w:rsid w:val="00117D60"/>
    <w:rsid w:val="0012124F"/>
    <w:rsid w:val="001226BC"/>
    <w:rsid w:val="001238BD"/>
    <w:rsid w:val="00124397"/>
    <w:rsid w:val="00124647"/>
    <w:rsid w:val="00126400"/>
    <w:rsid w:val="00126739"/>
    <w:rsid w:val="00127D39"/>
    <w:rsid w:val="0013039E"/>
    <w:rsid w:val="001306E9"/>
    <w:rsid w:val="00131F66"/>
    <w:rsid w:val="001327B4"/>
    <w:rsid w:val="00133246"/>
    <w:rsid w:val="0013369F"/>
    <w:rsid w:val="001344BC"/>
    <w:rsid w:val="001360EF"/>
    <w:rsid w:val="001365A4"/>
    <w:rsid w:val="0014051F"/>
    <w:rsid w:val="00141560"/>
    <w:rsid w:val="001423C5"/>
    <w:rsid w:val="001432B8"/>
    <w:rsid w:val="00143A06"/>
    <w:rsid w:val="00144CB9"/>
    <w:rsid w:val="00145483"/>
    <w:rsid w:val="0014764C"/>
    <w:rsid w:val="001476C2"/>
    <w:rsid w:val="00150EBF"/>
    <w:rsid w:val="00151269"/>
    <w:rsid w:val="001515C5"/>
    <w:rsid w:val="0015210B"/>
    <w:rsid w:val="00152201"/>
    <w:rsid w:val="001542C1"/>
    <w:rsid w:val="0015443C"/>
    <w:rsid w:val="001548C9"/>
    <w:rsid w:val="001557F3"/>
    <w:rsid w:val="00160C16"/>
    <w:rsid w:val="001634E3"/>
    <w:rsid w:val="00165544"/>
    <w:rsid w:val="001658DB"/>
    <w:rsid w:val="00167133"/>
    <w:rsid w:val="00167600"/>
    <w:rsid w:val="00172A27"/>
    <w:rsid w:val="00174313"/>
    <w:rsid w:val="001751BF"/>
    <w:rsid w:val="00175D35"/>
    <w:rsid w:val="00175EE7"/>
    <w:rsid w:val="00176AF1"/>
    <w:rsid w:val="00181579"/>
    <w:rsid w:val="0018306D"/>
    <w:rsid w:val="00184DDD"/>
    <w:rsid w:val="001854E6"/>
    <w:rsid w:val="00186424"/>
    <w:rsid w:val="0019360A"/>
    <w:rsid w:val="00195232"/>
    <w:rsid w:val="00195A47"/>
    <w:rsid w:val="00197345"/>
    <w:rsid w:val="001977BB"/>
    <w:rsid w:val="00197BFF"/>
    <w:rsid w:val="001A06ED"/>
    <w:rsid w:val="001A1259"/>
    <w:rsid w:val="001A4BE7"/>
    <w:rsid w:val="001A578C"/>
    <w:rsid w:val="001A5FC7"/>
    <w:rsid w:val="001A628D"/>
    <w:rsid w:val="001A6D0B"/>
    <w:rsid w:val="001B0E39"/>
    <w:rsid w:val="001B45C0"/>
    <w:rsid w:val="001B4983"/>
    <w:rsid w:val="001B73A9"/>
    <w:rsid w:val="001B7764"/>
    <w:rsid w:val="001C0580"/>
    <w:rsid w:val="001C09A0"/>
    <w:rsid w:val="001C1332"/>
    <w:rsid w:val="001C4067"/>
    <w:rsid w:val="001C4314"/>
    <w:rsid w:val="001C5763"/>
    <w:rsid w:val="001C6918"/>
    <w:rsid w:val="001C70C4"/>
    <w:rsid w:val="001C7B33"/>
    <w:rsid w:val="001C7C82"/>
    <w:rsid w:val="001D1A62"/>
    <w:rsid w:val="001D2859"/>
    <w:rsid w:val="001D3DA4"/>
    <w:rsid w:val="001D4A75"/>
    <w:rsid w:val="001D5A8F"/>
    <w:rsid w:val="001D7CD8"/>
    <w:rsid w:val="001E04E4"/>
    <w:rsid w:val="001E3341"/>
    <w:rsid w:val="001E4B38"/>
    <w:rsid w:val="001E5AAD"/>
    <w:rsid w:val="001E6E4D"/>
    <w:rsid w:val="001F07AE"/>
    <w:rsid w:val="001F0B49"/>
    <w:rsid w:val="001F1DA6"/>
    <w:rsid w:val="001F2349"/>
    <w:rsid w:val="001F2B2F"/>
    <w:rsid w:val="001F2C10"/>
    <w:rsid w:val="001F4B70"/>
    <w:rsid w:val="001F7556"/>
    <w:rsid w:val="00201A5D"/>
    <w:rsid w:val="002034F8"/>
    <w:rsid w:val="0020378D"/>
    <w:rsid w:val="00203C1E"/>
    <w:rsid w:val="0020446B"/>
    <w:rsid w:val="00205C87"/>
    <w:rsid w:val="00210A2E"/>
    <w:rsid w:val="00216F90"/>
    <w:rsid w:val="00220746"/>
    <w:rsid w:val="00220FCD"/>
    <w:rsid w:val="00221D3C"/>
    <w:rsid w:val="00221F0B"/>
    <w:rsid w:val="00223D48"/>
    <w:rsid w:val="00224B13"/>
    <w:rsid w:val="00224C74"/>
    <w:rsid w:val="00225206"/>
    <w:rsid w:val="002271E8"/>
    <w:rsid w:val="00227ABB"/>
    <w:rsid w:val="00230F08"/>
    <w:rsid w:val="00231DE7"/>
    <w:rsid w:val="00231E56"/>
    <w:rsid w:val="00234EE8"/>
    <w:rsid w:val="002353D6"/>
    <w:rsid w:val="00235DB0"/>
    <w:rsid w:val="00235FB6"/>
    <w:rsid w:val="00235FE4"/>
    <w:rsid w:val="00236390"/>
    <w:rsid w:val="00236B59"/>
    <w:rsid w:val="0023707C"/>
    <w:rsid w:val="00240725"/>
    <w:rsid w:val="00241BA8"/>
    <w:rsid w:val="0024201F"/>
    <w:rsid w:val="00243949"/>
    <w:rsid w:val="00244969"/>
    <w:rsid w:val="00245406"/>
    <w:rsid w:val="0024603A"/>
    <w:rsid w:val="0025355D"/>
    <w:rsid w:val="00256A51"/>
    <w:rsid w:val="00256B59"/>
    <w:rsid w:val="002606AF"/>
    <w:rsid w:val="00262132"/>
    <w:rsid w:val="00262E27"/>
    <w:rsid w:val="00262EC4"/>
    <w:rsid w:val="002643A4"/>
    <w:rsid w:val="00264F07"/>
    <w:rsid w:val="00264F6C"/>
    <w:rsid w:val="0026528B"/>
    <w:rsid w:val="00266223"/>
    <w:rsid w:val="00270786"/>
    <w:rsid w:val="002716CD"/>
    <w:rsid w:val="00272C6B"/>
    <w:rsid w:val="00272ED1"/>
    <w:rsid w:val="00273ACA"/>
    <w:rsid w:val="00274B2C"/>
    <w:rsid w:val="002775C1"/>
    <w:rsid w:val="00277674"/>
    <w:rsid w:val="0027785C"/>
    <w:rsid w:val="00280CDC"/>
    <w:rsid w:val="00281741"/>
    <w:rsid w:val="00283761"/>
    <w:rsid w:val="00283E63"/>
    <w:rsid w:val="00284F4E"/>
    <w:rsid w:val="002857B4"/>
    <w:rsid w:val="002869DB"/>
    <w:rsid w:val="00287914"/>
    <w:rsid w:val="00290DEE"/>
    <w:rsid w:val="002913B3"/>
    <w:rsid w:val="00291530"/>
    <w:rsid w:val="00292C62"/>
    <w:rsid w:val="002935CB"/>
    <w:rsid w:val="00293C6C"/>
    <w:rsid w:val="00293F16"/>
    <w:rsid w:val="002957DC"/>
    <w:rsid w:val="00295BE4"/>
    <w:rsid w:val="00295DD0"/>
    <w:rsid w:val="0029665F"/>
    <w:rsid w:val="00297D28"/>
    <w:rsid w:val="002A1BF5"/>
    <w:rsid w:val="002A3E24"/>
    <w:rsid w:val="002A452A"/>
    <w:rsid w:val="002A544A"/>
    <w:rsid w:val="002A5835"/>
    <w:rsid w:val="002A6BBB"/>
    <w:rsid w:val="002B039E"/>
    <w:rsid w:val="002B0A5F"/>
    <w:rsid w:val="002B0D14"/>
    <w:rsid w:val="002B2791"/>
    <w:rsid w:val="002B2E4C"/>
    <w:rsid w:val="002B4845"/>
    <w:rsid w:val="002B5F0D"/>
    <w:rsid w:val="002B6E05"/>
    <w:rsid w:val="002B7899"/>
    <w:rsid w:val="002C0BDC"/>
    <w:rsid w:val="002C30EA"/>
    <w:rsid w:val="002C3110"/>
    <w:rsid w:val="002C6ADA"/>
    <w:rsid w:val="002C7530"/>
    <w:rsid w:val="002D04B3"/>
    <w:rsid w:val="002D1F6C"/>
    <w:rsid w:val="002D27A3"/>
    <w:rsid w:val="002D440A"/>
    <w:rsid w:val="002D5BE7"/>
    <w:rsid w:val="002D5C01"/>
    <w:rsid w:val="002D6DF7"/>
    <w:rsid w:val="002D7120"/>
    <w:rsid w:val="002D73C7"/>
    <w:rsid w:val="002E0020"/>
    <w:rsid w:val="002E1667"/>
    <w:rsid w:val="002E174D"/>
    <w:rsid w:val="002E45D8"/>
    <w:rsid w:val="002E6FB2"/>
    <w:rsid w:val="002F01D7"/>
    <w:rsid w:val="002F105C"/>
    <w:rsid w:val="002F45B8"/>
    <w:rsid w:val="002F7B90"/>
    <w:rsid w:val="002F7F25"/>
    <w:rsid w:val="00302E27"/>
    <w:rsid w:val="003032CF"/>
    <w:rsid w:val="0030411C"/>
    <w:rsid w:val="00305618"/>
    <w:rsid w:val="003057F5"/>
    <w:rsid w:val="003115A2"/>
    <w:rsid w:val="003115C7"/>
    <w:rsid w:val="00311B31"/>
    <w:rsid w:val="00312444"/>
    <w:rsid w:val="00312A04"/>
    <w:rsid w:val="00313DD3"/>
    <w:rsid w:val="00314184"/>
    <w:rsid w:val="00314656"/>
    <w:rsid w:val="003149E1"/>
    <w:rsid w:val="0031688D"/>
    <w:rsid w:val="00316962"/>
    <w:rsid w:val="003174B0"/>
    <w:rsid w:val="00320119"/>
    <w:rsid w:val="00320901"/>
    <w:rsid w:val="003209E6"/>
    <w:rsid w:val="00321439"/>
    <w:rsid w:val="0032197D"/>
    <w:rsid w:val="0032236F"/>
    <w:rsid w:val="00323D59"/>
    <w:rsid w:val="00324960"/>
    <w:rsid w:val="00324D4F"/>
    <w:rsid w:val="00325212"/>
    <w:rsid w:val="00325C44"/>
    <w:rsid w:val="0032709B"/>
    <w:rsid w:val="003276FC"/>
    <w:rsid w:val="003309DE"/>
    <w:rsid w:val="003341EE"/>
    <w:rsid w:val="00334294"/>
    <w:rsid w:val="00334462"/>
    <w:rsid w:val="003344FC"/>
    <w:rsid w:val="003348F1"/>
    <w:rsid w:val="0033525F"/>
    <w:rsid w:val="00336532"/>
    <w:rsid w:val="00343029"/>
    <w:rsid w:val="00344906"/>
    <w:rsid w:val="00344BEF"/>
    <w:rsid w:val="00346533"/>
    <w:rsid w:val="00346D37"/>
    <w:rsid w:val="00353EAE"/>
    <w:rsid w:val="00353EC1"/>
    <w:rsid w:val="00353FA6"/>
    <w:rsid w:val="00355346"/>
    <w:rsid w:val="00355D5F"/>
    <w:rsid w:val="00356D4F"/>
    <w:rsid w:val="00360E6D"/>
    <w:rsid w:val="00360F5B"/>
    <w:rsid w:val="00361B1D"/>
    <w:rsid w:val="00361CCE"/>
    <w:rsid w:val="0036222C"/>
    <w:rsid w:val="00362E40"/>
    <w:rsid w:val="003633F3"/>
    <w:rsid w:val="00363EE1"/>
    <w:rsid w:val="0036418B"/>
    <w:rsid w:val="00364CF1"/>
    <w:rsid w:val="00365017"/>
    <w:rsid w:val="0036524E"/>
    <w:rsid w:val="003652AE"/>
    <w:rsid w:val="003656BB"/>
    <w:rsid w:val="0036606E"/>
    <w:rsid w:val="00366CC4"/>
    <w:rsid w:val="00366D49"/>
    <w:rsid w:val="0036729C"/>
    <w:rsid w:val="00371693"/>
    <w:rsid w:val="0037349D"/>
    <w:rsid w:val="00373E58"/>
    <w:rsid w:val="003756BA"/>
    <w:rsid w:val="003767C9"/>
    <w:rsid w:val="003805CE"/>
    <w:rsid w:val="003808A0"/>
    <w:rsid w:val="00384B91"/>
    <w:rsid w:val="0038601E"/>
    <w:rsid w:val="00386162"/>
    <w:rsid w:val="00386772"/>
    <w:rsid w:val="00387137"/>
    <w:rsid w:val="003871D8"/>
    <w:rsid w:val="003904F7"/>
    <w:rsid w:val="00394289"/>
    <w:rsid w:val="003960DD"/>
    <w:rsid w:val="0039651E"/>
    <w:rsid w:val="003970A5"/>
    <w:rsid w:val="003A3039"/>
    <w:rsid w:val="003A379E"/>
    <w:rsid w:val="003A3CAB"/>
    <w:rsid w:val="003A3DD5"/>
    <w:rsid w:val="003A4980"/>
    <w:rsid w:val="003A58F2"/>
    <w:rsid w:val="003A5AC7"/>
    <w:rsid w:val="003A672E"/>
    <w:rsid w:val="003B0496"/>
    <w:rsid w:val="003B0952"/>
    <w:rsid w:val="003B12AB"/>
    <w:rsid w:val="003B131C"/>
    <w:rsid w:val="003B2691"/>
    <w:rsid w:val="003B51BA"/>
    <w:rsid w:val="003B63A3"/>
    <w:rsid w:val="003B6EEC"/>
    <w:rsid w:val="003B716C"/>
    <w:rsid w:val="003C1CA3"/>
    <w:rsid w:val="003C25C9"/>
    <w:rsid w:val="003C353E"/>
    <w:rsid w:val="003C3D14"/>
    <w:rsid w:val="003C3E69"/>
    <w:rsid w:val="003C4669"/>
    <w:rsid w:val="003C52AD"/>
    <w:rsid w:val="003C5414"/>
    <w:rsid w:val="003D09AF"/>
    <w:rsid w:val="003D0AD5"/>
    <w:rsid w:val="003D2606"/>
    <w:rsid w:val="003D33B2"/>
    <w:rsid w:val="003D6C4F"/>
    <w:rsid w:val="003D6C80"/>
    <w:rsid w:val="003E09B0"/>
    <w:rsid w:val="003E134D"/>
    <w:rsid w:val="003E2E44"/>
    <w:rsid w:val="003E3527"/>
    <w:rsid w:val="003E3599"/>
    <w:rsid w:val="003E415E"/>
    <w:rsid w:val="003E47EF"/>
    <w:rsid w:val="003E5EAE"/>
    <w:rsid w:val="003E6067"/>
    <w:rsid w:val="003E6A5D"/>
    <w:rsid w:val="003E7131"/>
    <w:rsid w:val="003E7E05"/>
    <w:rsid w:val="003E7F87"/>
    <w:rsid w:val="003F03A8"/>
    <w:rsid w:val="003F0EC5"/>
    <w:rsid w:val="003F0EDB"/>
    <w:rsid w:val="003F1E7E"/>
    <w:rsid w:val="003F1F6A"/>
    <w:rsid w:val="003F2994"/>
    <w:rsid w:val="003F38A3"/>
    <w:rsid w:val="003F3D1D"/>
    <w:rsid w:val="003F5C1C"/>
    <w:rsid w:val="003F5D04"/>
    <w:rsid w:val="003F71D2"/>
    <w:rsid w:val="003F723D"/>
    <w:rsid w:val="003F7FBA"/>
    <w:rsid w:val="004017EB"/>
    <w:rsid w:val="0040228F"/>
    <w:rsid w:val="00405A72"/>
    <w:rsid w:val="0040795E"/>
    <w:rsid w:val="004113C4"/>
    <w:rsid w:val="00412639"/>
    <w:rsid w:val="00413C89"/>
    <w:rsid w:val="00414378"/>
    <w:rsid w:val="00414B46"/>
    <w:rsid w:val="00415050"/>
    <w:rsid w:val="004150FC"/>
    <w:rsid w:val="0041538D"/>
    <w:rsid w:val="004157DC"/>
    <w:rsid w:val="00415E9B"/>
    <w:rsid w:val="004172FA"/>
    <w:rsid w:val="0042099E"/>
    <w:rsid w:val="00421B8F"/>
    <w:rsid w:val="004225E9"/>
    <w:rsid w:val="00423A99"/>
    <w:rsid w:val="00424B56"/>
    <w:rsid w:val="00427346"/>
    <w:rsid w:val="00427F51"/>
    <w:rsid w:val="004302CF"/>
    <w:rsid w:val="00431898"/>
    <w:rsid w:val="004324AF"/>
    <w:rsid w:val="00433F6B"/>
    <w:rsid w:val="00434E2A"/>
    <w:rsid w:val="0043579E"/>
    <w:rsid w:val="00436F88"/>
    <w:rsid w:val="0043718D"/>
    <w:rsid w:val="004412CC"/>
    <w:rsid w:val="004415BD"/>
    <w:rsid w:val="00441B1C"/>
    <w:rsid w:val="0044219E"/>
    <w:rsid w:val="00442581"/>
    <w:rsid w:val="00444BA0"/>
    <w:rsid w:val="00447038"/>
    <w:rsid w:val="00451DC8"/>
    <w:rsid w:val="004549B5"/>
    <w:rsid w:val="004553BA"/>
    <w:rsid w:val="00455645"/>
    <w:rsid w:val="0045576C"/>
    <w:rsid w:val="004557EE"/>
    <w:rsid w:val="00455AF5"/>
    <w:rsid w:val="004607C3"/>
    <w:rsid w:val="00463D6D"/>
    <w:rsid w:val="004649F1"/>
    <w:rsid w:val="00465DF9"/>
    <w:rsid w:val="0046662C"/>
    <w:rsid w:val="00466F83"/>
    <w:rsid w:val="00470588"/>
    <w:rsid w:val="00470FE1"/>
    <w:rsid w:val="004716C6"/>
    <w:rsid w:val="00471ADC"/>
    <w:rsid w:val="00474B04"/>
    <w:rsid w:val="00475072"/>
    <w:rsid w:val="004753B7"/>
    <w:rsid w:val="004753FA"/>
    <w:rsid w:val="004754FA"/>
    <w:rsid w:val="00475981"/>
    <w:rsid w:val="00475BBF"/>
    <w:rsid w:val="00475E52"/>
    <w:rsid w:val="00475EB4"/>
    <w:rsid w:val="0048152F"/>
    <w:rsid w:val="0048190F"/>
    <w:rsid w:val="004823F8"/>
    <w:rsid w:val="004843C0"/>
    <w:rsid w:val="004850E7"/>
    <w:rsid w:val="004864FC"/>
    <w:rsid w:val="004868A5"/>
    <w:rsid w:val="00486C0A"/>
    <w:rsid w:val="0049090B"/>
    <w:rsid w:val="00492226"/>
    <w:rsid w:val="004932AC"/>
    <w:rsid w:val="00493412"/>
    <w:rsid w:val="00493A1C"/>
    <w:rsid w:val="004944F1"/>
    <w:rsid w:val="004946E9"/>
    <w:rsid w:val="00495C29"/>
    <w:rsid w:val="004961A9"/>
    <w:rsid w:val="004A0227"/>
    <w:rsid w:val="004A29EC"/>
    <w:rsid w:val="004A3149"/>
    <w:rsid w:val="004A435A"/>
    <w:rsid w:val="004A52E9"/>
    <w:rsid w:val="004A5AC2"/>
    <w:rsid w:val="004A67E1"/>
    <w:rsid w:val="004A6AF1"/>
    <w:rsid w:val="004A7F97"/>
    <w:rsid w:val="004A7FEB"/>
    <w:rsid w:val="004B2485"/>
    <w:rsid w:val="004B31DC"/>
    <w:rsid w:val="004B37CC"/>
    <w:rsid w:val="004B6BF1"/>
    <w:rsid w:val="004C01F4"/>
    <w:rsid w:val="004C1B1B"/>
    <w:rsid w:val="004C246C"/>
    <w:rsid w:val="004C2F18"/>
    <w:rsid w:val="004C3094"/>
    <w:rsid w:val="004C4684"/>
    <w:rsid w:val="004C5CFD"/>
    <w:rsid w:val="004C6036"/>
    <w:rsid w:val="004C6C41"/>
    <w:rsid w:val="004C733F"/>
    <w:rsid w:val="004C7A1C"/>
    <w:rsid w:val="004D150F"/>
    <w:rsid w:val="004D2983"/>
    <w:rsid w:val="004D3F45"/>
    <w:rsid w:val="004D4F99"/>
    <w:rsid w:val="004D5663"/>
    <w:rsid w:val="004D6614"/>
    <w:rsid w:val="004D6756"/>
    <w:rsid w:val="004E03F3"/>
    <w:rsid w:val="004E05AE"/>
    <w:rsid w:val="004E0863"/>
    <w:rsid w:val="004E1269"/>
    <w:rsid w:val="004E2071"/>
    <w:rsid w:val="004E28B8"/>
    <w:rsid w:val="004E3EF2"/>
    <w:rsid w:val="004E53E4"/>
    <w:rsid w:val="004E55FE"/>
    <w:rsid w:val="004E70BD"/>
    <w:rsid w:val="004E723C"/>
    <w:rsid w:val="004E7584"/>
    <w:rsid w:val="004E7C20"/>
    <w:rsid w:val="004E7E5C"/>
    <w:rsid w:val="004F2F60"/>
    <w:rsid w:val="004F44AF"/>
    <w:rsid w:val="004F5DEC"/>
    <w:rsid w:val="004F675A"/>
    <w:rsid w:val="004F6A7E"/>
    <w:rsid w:val="004F6B02"/>
    <w:rsid w:val="00501595"/>
    <w:rsid w:val="00501DC6"/>
    <w:rsid w:val="00502118"/>
    <w:rsid w:val="0050389E"/>
    <w:rsid w:val="00504A0E"/>
    <w:rsid w:val="005052F4"/>
    <w:rsid w:val="00505E02"/>
    <w:rsid w:val="00506AD4"/>
    <w:rsid w:val="00507F00"/>
    <w:rsid w:val="00510E04"/>
    <w:rsid w:val="00511591"/>
    <w:rsid w:val="00511E19"/>
    <w:rsid w:val="005128EC"/>
    <w:rsid w:val="00513F6A"/>
    <w:rsid w:val="005140A6"/>
    <w:rsid w:val="0051529B"/>
    <w:rsid w:val="00515544"/>
    <w:rsid w:val="00515EA9"/>
    <w:rsid w:val="0051785F"/>
    <w:rsid w:val="00517AFD"/>
    <w:rsid w:val="00517C40"/>
    <w:rsid w:val="0052005E"/>
    <w:rsid w:val="00521D58"/>
    <w:rsid w:val="0052478B"/>
    <w:rsid w:val="0052699A"/>
    <w:rsid w:val="00526EAE"/>
    <w:rsid w:val="0052753E"/>
    <w:rsid w:val="00530DF6"/>
    <w:rsid w:val="00532062"/>
    <w:rsid w:val="005320E5"/>
    <w:rsid w:val="00533159"/>
    <w:rsid w:val="00533318"/>
    <w:rsid w:val="00533BCA"/>
    <w:rsid w:val="0053518F"/>
    <w:rsid w:val="005362BA"/>
    <w:rsid w:val="00536A91"/>
    <w:rsid w:val="005373A6"/>
    <w:rsid w:val="00537544"/>
    <w:rsid w:val="00540490"/>
    <w:rsid w:val="00540D63"/>
    <w:rsid w:val="00543BA9"/>
    <w:rsid w:val="00543D79"/>
    <w:rsid w:val="00545CCA"/>
    <w:rsid w:val="00550B7E"/>
    <w:rsid w:val="0055279B"/>
    <w:rsid w:val="00552824"/>
    <w:rsid w:val="005540A8"/>
    <w:rsid w:val="00555AE0"/>
    <w:rsid w:val="00555B41"/>
    <w:rsid w:val="00556AE9"/>
    <w:rsid w:val="005609F9"/>
    <w:rsid w:val="00562B80"/>
    <w:rsid w:val="00562E0C"/>
    <w:rsid w:val="005633B1"/>
    <w:rsid w:val="005633E9"/>
    <w:rsid w:val="00563EE4"/>
    <w:rsid w:val="00565C9C"/>
    <w:rsid w:val="00566D40"/>
    <w:rsid w:val="0057034E"/>
    <w:rsid w:val="0057258C"/>
    <w:rsid w:val="00572A72"/>
    <w:rsid w:val="00575A19"/>
    <w:rsid w:val="005768BC"/>
    <w:rsid w:val="005818D3"/>
    <w:rsid w:val="00585C23"/>
    <w:rsid w:val="005867CB"/>
    <w:rsid w:val="00590E65"/>
    <w:rsid w:val="00590F0E"/>
    <w:rsid w:val="00594165"/>
    <w:rsid w:val="00594F82"/>
    <w:rsid w:val="005959E3"/>
    <w:rsid w:val="00596099"/>
    <w:rsid w:val="00596964"/>
    <w:rsid w:val="00596F2A"/>
    <w:rsid w:val="0059757F"/>
    <w:rsid w:val="00597BFE"/>
    <w:rsid w:val="00597C58"/>
    <w:rsid w:val="00597DA9"/>
    <w:rsid w:val="005A0F78"/>
    <w:rsid w:val="005A1FA1"/>
    <w:rsid w:val="005A33D1"/>
    <w:rsid w:val="005A344D"/>
    <w:rsid w:val="005A3C3B"/>
    <w:rsid w:val="005A4245"/>
    <w:rsid w:val="005A4657"/>
    <w:rsid w:val="005A49FB"/>
    <w:rsid w:val="005A7D58"/>
    <w:rsid w:val="005B0138"/>
    <w:rsid w:val="005B075E"/>
    <w:rsid w:val="005B115E"/>
    <w:rsid w:val="005B17E5"/>
    <w:rsid w:val="005B200F"/>
    <w:rsid w:val="005B2ECC"/>
    <w:rsid w:val="005B2F46"/>
    <w:rsid w:val="005B5011"/>
    <w:rsid w:val="005B504A"/>
    <w:rsid w:val="005B68AC"/>
    <w:rsid w:val="005B6D88"/>
    <w:rsid w:val="005B7CFE"/>
    <w:rsid w:val="005C18DA"/>
    <w:rsid w:val="005C1B20"/>
    <w:rsid w:val="005C1F34"/>
    <w:rsid w:val="005C5637"/>
    <w:rsid w:val="005C5649"/>
    <w:rsid w:val="005C598D"/>
    <w:rsid w:val="005C5D0C"/>
    <w:rsid w:val="005C6259"/>
    <w:rsid w:val="005C6D94"/>
    <w:rsid w:val="005C70DB"/>
    <w:rsid w:val="005C7FDE"/>
    <w:rsid w:val="005D2E75"/>
    <w:rsid w:val="005D3D19"/>
    <w:rsid w:val="005D5A23"/>
    <w:rsid w:val="005D7D43"/>
    <w:rsid w:val="005E02B6"/>
    <w:rsid w:val="005E0354"/>
    <w:rsid w:val="005E0EAA"/>
    <w:rsid w:val="005E0EFA"/>
    <w:rsid w:val="005E466F"/>
    <w:rsid w:val="005E4B0F"/>
    <w:rsid w:val="005E50E9"/>
    <w:rsid w:val="005E5F7E"/>
    <w:rsid w:val="005E60B0"/>
    <w:rsid w:val="005E65F8"/>
    <w:rsid w:val="005E6CD1"/>
    <w:rsid w:val="005E727E"/>
    <w:rsid w:val="005E7545"/>
    <w:rsid w:val="005E78CA"/>
    <w:rsid w:val="005F006D"/>
    <w:rsid w:val="005F0AE9"/>
    <w:rsid w:val="005F1CE4"/>
    <w:rsid w:val="005F243E"/>
    <w:rsid w:val="005F318A"/>
    <w:rsid w:val="005F4EEA"/>
    <w:rsid w:val="005F64B0"/>
    <w:rsid w:val="005F6FE0"/>
    <w:rsid w:val="005F745C"/>
    <w:rsid w:val="00601051"/>
    <w:rsid w:val="006010D7"/>
    <w:rsid w:val="006020E1"/>
    <w:rsid w:val="00602408"/>
    <w:rsid w:val="00602F61"/>
    <w:rsid w:val="006034C9"/>
    <w:rsid w:val="0060389A"/>
    <w:rsid w:val="00603D67"/>
    <w:rsid w:val="006053F7"/>
    <w:rsid w:val="00605AF6"/>
    <w:rsid w:val="006060FC"/>
    <w:rsid w:val="00606A42"/>
    <w:rsid w:val="00606E23"/>
    <w:rsid w:val="00607602"/>
    <w:rsid w:val="006077C3"/>
    <w:rsid w:val="006105BD"/>
    <w:rsid w:val="00612BAE"/>
    <w:rsid w:val="00615109"/>
    <w:rsid w:val="006156C8"/>
    <w:rsid w:val="00616F2A"/>
    <w:rsid w:val="006173FF"/>
    <w:rsid w:val="0062103C"/>
    <w:rsid w:val="00621C93"/>
    <w:rsid w:val="006230AF"/>
    <w:rsid w:val="0062452E"/>
    <w:rsid w:val="00625B21"/>
    <w:rsid w:val="00625DE3"/>
    <w:rsid w:val="006268B8"/>
    <w:rsid w:val="00627FFE"/>
    <w:rsid w:val="00631E16"/>
    <w:rsid w:val="0063246B"/>
    <w:rsid w:val="00632B37"/>
    <w:rsid w:val="0063399F"/>
    <w:rsid w:val="00634BB5"/>
    <w:rsid w:val="006357CF"/>
    <w:rsid w:val="00635AD9"/>
    <w:rsid w:val="006400F4"/>
    <w:rsid w:val="006404FD"/>
    <w:rsid w:val="00640C24"/>
    <w:rsid w:val="00640C64"/>
    <w:rsid w:val="00641AB4"/>
    <w:rsid w:val="006423A0"/>
    <w:rsid w:val="00644644"/>
    <w:rsid w:val="006447FE"/>
    <w:rsid w:val="00645300"/>
    <w:rsid w:val="0064547F"/>
    <w:rsid w:val="00646D42"/>
    <w:rsid w:val="006479F8"/>
    <w:rsid w:val="00647EE5"/>
    <w:rsid w:val="006500CF"/>
    <w:rsid w:val="0065020C"/>
    <w:rsid w:val="00650925"/>
    <w:rsid w:val="0065309C"/>
    <w:rsid w:val="0065325C"/>
    <w:rsid w:val="00654811"/>
    <w:rsid w:val="00654849"/>
    <w:rsid w:val="006557BE"/>
    <w:rsid w:val="0065725C"/>
    <w:rsid w:val="00657E44"/>
    <w:rsid w:val="006618FD"/>
    <w:rsid w:val="006639C4"/>
    <w:rsid w:val="00663BFF"/>
    <w:rsid w:val="00664E9A"/>
    <w:rsid w:val="00665422"/>
    <w:rsid w:val="00671C3A"/>
    <w:rsid w:val="0067277D"/>
    <w:rsid w:val="0067306B"/>
    <w:rsid w:val="0067764D"/>
    <w:rsid w:val="006801B9"/>
    <w:rsid w:val="00681C88"/>
    <w:rsid w:val="006830FA"/>
    <w:rsid w:val="006834CF"/>
    <w:rsid w:val="00683821"/>
    <w:rsid w:val="00691A39"/>
    <w:rsid w:val="00692A4C"/>
    <w:rsid w:val="00693385"/>
    <w:rsid w:val="006939F7"/>
    <w:rsid w:val="006942D5"/>
    <w:rsid w:val="00694D14"/>
    <w:rsid w:val="00694EC8"/>
    <w:rsid w:val="006956B6"/>
    <w:rsid w:val="006964B9"/>
    <w:rsid w:val="00696603"/>
    <w:rsid w:val="00697C9C"/>
    <w:rsid w:val="006A209B"/>
    <w:rsid w:val="006A2D07"/>
    <w:rsid w:val="006A41AF"/>
    <w:rsid w:val="006A4BAA"/>
    <w:rsid w:val="006A5FA3"/>
    <w:rsid w:val="006A73AA"/>
    <w:rsid w:val="006B3DE1"/>
    <w:rsid w:val="006B4556"/>
    <w:rsid w:val="006B5538"/>
    <w:rsid w:val="006B5C6F"/>
    <w:rsid w:val="006B5E07"/>
    <w:rsid w:val="006C00F2"/>
    <w:rsid w:val="006C1028"/>
    <w:rsid w:val="006C14B3"/>
    <w:rsid w:val="006C2ECE"/>
    <w:rsid w:val="006C2F60"/>
    <w:rsid w:val="006C3E5F"/>
    <w:rsid w:val="006C42EF"/>
    <w:rsid w:val="006C4510"/>
    <w:rsid w:val="006C53C7"/>
    <w:rsid w:val="006C56CC"/>
    <w:rsid w:val="006C5DB2"/>
    <w:rsid w:val="006C7077"/>
    <w:rsid w:val="006D0003"/>
    <w:rsid w:val="006D165E"/>
    <w:rsid w:val="006D196C"/>
    <w:rsid w:val="006D211F"/>
    <w:rsid w:val="006D2A82"/>
    <w:rsid w:val="006D405B"/>
    <w:rsid w:val="006D4281"/>
    <w:rsid w:val="006D4912"/>
    <w:rsid w:val="006D4B2D"/>
    <w:rsid w:val="006D4D7D"/>
    <w:rsid w:val="006D63B9"/>
    <w:rsid w:val="006D7617"/>
    <w:rsid w:val="006E2758"/>
    <w:rsid w:val="006E462B"/>
    <w:rsid w:val="006E50C6"/>
    <w:rsid w:val="006F01B0"/>
    <w:rsid w:val="006F08BF"/>
    <w:rsid w:val="006F127A"/>
    <w:rsid w:val="006F239F"/>
    <w:rsid w:val="006F2863"/>
    <w:rsid w:val="006F2A9E"/>
    <w:rsid w:val="006F3755"/>
    <w:rsid w:val="006F5574"/>
    <w:rsid w:val="006F5DB2"/>
    <w:rsid w:val="006F5DC0"/>
    <w:rsid w:val="006F70D5"/>
    <w:rsid w:val="00700BF1"/>
    <w:rsid w:val="00700C2D"/>
    <w:rsid w:val="007032E5"/>
    <w:rsid w:val="00703D5C"/>
    <w:rsid w:val="00704CA8"/>
    <w:rsid w:val="00705A0D"/>
    <w:rsid w:val="007065D0"/>
    <w:rsid w:val="00710271"/>
    <w:rsid w:val="007122FD"/>
    <w:rsid w:val="007127C4"/>
    <w:rsid w:val="00713DFA"/>
    <w:rsid w:val="007151B5"/>
    <w:rsid w:val="0071628A"/>
    <w:rsid w:val="00717FE5"/>
    <w:rsid w:val="007200D9"/>
    <w:rsid w:val="00721726"/>
    <w:rsid w:val="00722740"/>
    <w:rsid w:val="00724287"/>
    <w:rsid w:val="007263CA"/>
    <w:rsid w:val="00726C6C"/>
    <w:rsid w:val="00726DFC"/>
    <w:rsid w:val="00734A03"/>
    <w:rsid w:val="007367F1"/>
    <w:rsid w:val="00737B46"/>
    <w:rsid w:val="00740145"/>
    <w:rsid w:val="0074062A"/>
    <w:rsid w:val="00741A0E"/>
    <w:rsid w:val="007420C8"/>
    <w:rsid w:val="007421A6"/>
    <w:rsid w:val="00742984"/>
    <w:rsid w:val="007441D5"/>
    <w:rsid w:val="007444D3"/>
    <w:rsid w:val="00744D04"/>
    <w:rsid w:val="00744E14"/>
    <w:rsid w:val="0074769C"/>
    <w:rsid w:val="007477BF"/>
    <w:rsid w:val="00751B7D"/>
    <w:rsid w:val="00751F29"/>
    <w:rsid w:val="0075294A"/>
    <w:rsid w:val="00752C7F"/>
    <w:rsid w:val="00752D9E"/>
    <w:rsid w:val="00754E3E"/>
    <w:rsid w:val="00757334"/>
    <w:rsid w:val="007577A0"/>
    <w:rsid w:val="00762855"/>
    <w:rsid w:val="00763695"/>
    <w:rsid w:val="00766311"/>
    <w:rsid w:val="007666DA"/>
    <w:rsid w:val="00767239"/>
    <w:rsid w:val="00767396"/>
    <w:rsid w:val="007703CF"/>
    <w:rsid w:val="00770874"/>
    <w:rsid w:val="0077169E"/>
    <w:rsid w:val="0077307C"/>
    <w:rsid w:val="00773F5B"/>
    <w:rsid w:val="0077414A"/>
    <w:rsid w:val="00774236"/>
    <w:rsid w:val="007742EF"/>
    <w:rsid w:val="00774380"/>
    <w:rsid w:val="00774702"/>
    <w:rsid w:val="00774B38"/>
    <w:rsid w:val="00775223"/>
    <w:rsid w:val="00775C32"/>
    <w:rsid w:val="00776E32"/>
    <w:rsid w:val="00776F5B"/>
    <w:rsid w:val="00781363"/>
    <w:rsid w:val="007819CC"/>
    <w:rsid w:val="00785112"/>
    <w:rsid w:val="0078548E"/>
    <w:rsid w:val="007863AC"/>
    <w:rsid w:val="007867E7"/>
    <w:rsid w:val="00787245"/>
    <w:rsid w:val="00790EDC"/>
    <w:rsid w:val="007910D2"/>
    <w:rsid w:val="00792262"/>
    <w:rsid w:val="007926FE"/>
    <w:rsid w:val="00797EFE"/>
    <w:rsid w:val="007A1243"/>
    <w:rsid w:val="007A214B"/>
    <w:rsid w:val="007A4BAF"/>
    <w:rsid w:val="007A62A5"/>
    <w:rsid w:val="007A643B"/>
    <w:rsid w:val="007A7727"/>
    <w:rsid w:val="007A7975"/>
    <w:rsid w:val="007B03B1"/>
    <w:rsid w:val="007B0D43"/>
    <w:rsid w:val="007B0D88"/>
    <w:rsid w:val="007B15B1"/>
    <w:rsid w:val="007B1BFA"/>
    <w:rsid w:val="007B2CB1"/>
    <w:rsid w:val="007B338E"/>
    <w:rsid w:val="007B35D5"/>
    <w:rsid w:val="007B622D"/>
    <w:rsid w:val="007B78CF"/>
    <w:rsid w:val="007B7D33"/>
    <w:rsid w:val="007C08B7"/>
    <w:rsid w:val="007C134F"/>
    <w:rsid w:val="007C3077"/>
    <w:rsid w:val="007C4EEA"/>
    <w:rsid w:val="007C7CE6"/>
    <w:rsid w:val="007D04F3"/>
    <w:rsid w:val="007D197F"/>
    <w:rsid w:val="007D2043"/>
    <w:rsid w:val="007D25F0"/>
    <w:rsid w:val="007D2EB2"/>
    <w:rsid w:val="007D32C5"/>
    <w:rsid w:val="007D6D5A"/>
    <w:rsid w:val="007D6DE2"/>
    <w:rsid w:val="007E090D"/>
    <w:rsid w:val="007E4CA5"/>
    <w:rsid w:val="007E6F8B"/>
    <w:rsid w:val="007F071B"/>
    <w:rsid w:val="007F0BBB"/>
    <w:rsid w:val="007F2EDB"/>
    <w:rsid w:val="007F4EEE"/>
    <w:rsid w:val="007F5CA3"/>
    <w:rsid w:val="007F6CD2"/>
    <w:rsid w:val="007F6EA1"/>
    <w:rsid w:val="00800949"/>
    <w:rsid w:val="00801964"/>
    <w:rsid w:val="00801CFE"/>
    <w:rsid w:val="00802AAC"/>
    <w:rsid w:val="00802ADE"/>
    <w:rsid w:val="00802C77"/>
    <w:rsid w:val="008039C0"/>
    <w:rsid w:val="00805100"/>
    <w:rsid w:val="00806AE8"/>
    <w:rsid w:val="0081144E"/>
    <w:rsid w:val="00811A5E"/>
    <w:rsid w:val="00812965"/>
    <w:rsid w:val="00812E4C"/>
    <w:rsid w:val="00812FCE"/>
    <w:rsid w:val="00813962"/>
    <w:rsid w:val="00814614"/>
    <w:rsid w:val="00814986"/>
    <w:rsid w:val="00816255"/>
    <w:rsid w:val="00816292"/>
    <w:rsid w:val="00817DE5"/>
    <w:rsid w:val="00823BE0"/>
    <w:rsid w:val="00824E1D"/>
    <w:rsid w:val="008252A5"/>
    <w:rsid w:val="008254D0"/>
    <w:rsid w:val="00826902"/>
    <w:rsid w:val="00826C49"/>
    <w:rsid w:val="00830480"/>
    <w:rsid w:val="008312CA"/>
    <w:rsid w:val="00832552"/>
    <w:rsid w:val="0083301B"/>
    <w:rsid w:val="0083437C"/>
    <w:rsid w:val="00834E61"/>
    <w:rsid w:val="00837EB1"/>
    <w:rsid w:val="00841218"/>
    <w:rsid w:val="00842DE6"/>
    <w:rsid w:val="008442C0"/>
    <w:rsid w:val="0084670E"/>
    <w:rsid w:val="00850905"/>
    <w:rsid w:val="00850BBA"/>
    <w:rsid w:val="0085212F"/>
    <w:rsid w:val="00854705"/>
    <w:rsid w:val="008564A2"/>
    <w:rsid w:val="00856B95"/>
    <w:rsid w:val="008602ED"/>
    <w:rsid w:val="00860BF0"/>
    <w:rsid w:val="00861CC5"/>
    <w:rsid w:val="00862927"/>
    <w:rsid w:val="00862EB6"/>
    <w:rsid w:val="008647C9"/>
    <w:rsid w:val="008654EE"/>
    <w:rsid w:val="008660A1"/>
    <w:rsid w:val="008674F9"/>
    <w:rsid w:val="0086771C"/>
    <w:rsid w:val="0087058B"/>
    <w:rsid w:val="00870726"/>
    <w:rsid w:val="00873D87"/>
    <w:rsid w:val="00874FEA"/>
    <w:rsid w:val="00875A26"/>
    <w:rsid w:val="00875FAA"/>
    <w:rsid w:val="008760FE"/>
    <w:rsid w:val="008763F3"/>
    <w:rsid w:val="008768CF"/>
    <w:rsid w:val="00876EA4"/>
    <w:rsid w:val="00876FBE"/>
    <w:rsid w:val="00877CD7"/>
    <w:rsid w:val="00880F4A"/>
    <w:rsid w:val="008818FC"/>
    <w:rsid w:val="0088268D"/>
    <w:rsid w:val="00882CEA"/>
    <w:rsid w:val="008830B3"/>
    <w:rsid w:val="008831C0"/>
    <w:rsid w:val="008844EE"/>
    <w:rsid w:val="00884E80"/>
    <w:rsid w:val="00885B90"/>
    <w:rsid w:val="008872B3"/>
    <w:rsid w:val="00891457"/>
    <w:rsid w:val="0089460E"/>
    <w:rsid w:val="00894AC4"/>
    <w:rsid w:val="008A080D"/>
    <w:rsid w:val="008A0E4B"/>
    <w:rsid w:val="008A0E68"/>
    <w:rsid w:val="008A24D0"/>
    <w:rsid w:val="008A24E8"/>
    <w:rsid w:val="008A2856"/>
    <w:rsid w:val="008A2A31"/>
    <w:rsid w:val="008A3044"/>
    <w:rsid w:val="008A3146"/>
    <w:rsid w:val="008A41B7"/>
    <w:rsid w:val="008A425A"/>
    <w:rsid w:val="008A4604"/>
    <w:rsid w:val="008A52B8"/>
    <w:rsid w:val="008A59CD"/>
    <w:rsid w:val="008A6656"/>
    <w:rsid w:val="008A6EDC"/>
    <w:rsid w:val="008A6F5F"/>
    <w:rsid w:val="008B0A3C"/>
    <w:rsid w:val="008B1297"/>
    <w:rsid w:val="008B18E0"/>
    <w:rsid w:val="008B199E"/>
    <w:rsid w:val="008B3436"/>
    <w:rsid w:val="008B3D53"/>
    <w:rsid w:val="008B4151"/>
    <w:rsid w:val="008C2245"/>
    <w:rsid w:val="008C2D02"/>
    <w:rsid w:val="008C37BF"/>
    <w:rsid w:val="008C3F00"/>
    <w:rsid w:val="008D0BE1"/>
    <w:rsid w:val="008D259D"/>
    <w:rsid w:val="008D3D36"/>
    <w:rsid w:val="008D3EC4"/>
    <w:rsid w:val="008D4084"/>
    <w:rsid w:val="008D41C5"/>
    <w:rsid w:val="008D613E"/>
    <w:rsid w:val="008D7825"/>
    <w:rsid w:val="008E0344"/>
    <w:rsid w:val="008E3E67"/>
    <w:rsid w:val="008E5733"/>
    <w:rsid w:val="008E5BDC"/>
    <w:rsid w:val="008E5EF8"/>
    <w:rsid w:val="008F0380"/>
    <w:rsid w:val="008F1B81"/>
    <w:rsid w:val="008F2105"/>
    <w:rsid w:val="008F2C36"/>
    <w:rsid w:val="008F3FBE"/>
    <w:rsid w:val="008F4D57"/>
    <w:rsid w:val="008F6133"/>
    <w:rsid w:val="008F6E60"/>
    <w:rsid w:val="00900B34"/>
    <w:rsid w:val="00900D30"/>
    <w:rsid w:val="00900EA0"/>
    <w:rsid w:val="00901AEB"/>
    <w:rsid w:val="0090223B"/>
    <w:rsid w:val="00902C61"/>
    <w:rsid w:val="0090482A"/>
    <w:rsid w:val="00904AEF"/>
    <w:rsid w:val="009057DC"/>
    <w:rsid w:val="00907F91"/>
    <w:rsid w:val="0091092D"/>
    <w:rsid w:val="009138BE"/>
    <w:rsid w:val="00914137"/>
    <w:rsid w:val="00916B98"/>
    <w:rsid w:val="009174AB"/>
    <w:rsid w:val="00917A7A"/>
    <w:rsid w:val="00917CE5"/>
    <w:rsid w:val="00920CEE"/>
    <w:rsid w:val="00921EEF"/>
    <w:rsid w:val="00923C52"/>
    <w:rsid w:val="00925D00"/>
    <w:rsid w:val="009262AD"/>
    <w:rsid w:val="009265D3"/>
    <w:rsid w:val="00926EC0"/>
    <w:rsid w:val="00930ECB"/>
    <w:rsid w:val="00932ED1"/>
    <w:rsid w:val="009330DF"/>
    <w:rsid w:val="00933DEE"/>
    <w:rsid w:val="0093575B"/>
    <w:rsid w:val="00935BA3"/>
    <w:rsid w:val="00936C2C"/>
    <w:rsid w:val="00940255"/>
    <w:rsid w:val="009408E3"/>
    <w:rsid w:val="00941C44"/>
    <w:rsid w:val="00942100"/>
    <w:rsid w:val="009429FC"/>
    <w:rsid w:val="00943C7A"/>
    <w:rsid w:val="009440D7"/>
    <w:rsid w:val="009442BF"/>
    <w:rsid w:val="009443A0"/>
    <w:rsid w:val="00944D2A"/>
    <w:rsid w:val="0094570B"/>
    <w:rsid w:val="00947179"/>
    <w:rsid w:val="00947B49"/>
    <w:rsid w:val="00947D34"/>
    <w:rsid w:val="00947E97"/>
    <w:rsid w:val="00950BD8"/>
    <w:rsid w:val="00950C5C"/>
    <w:rsid w:val="00951CCF"/>
    <w:rsid w:val="0095611D"/>
    <w:rsid w:val="009566EA"/>
    <w:rsid w:val="00957BEE"/>
    <w:rsid w:val="009612CE"/>
    <w:rsid w:val="0096148F"/>
    <w:rsid w:val="009618A6"/>
    <w:rsid w:val="00964341"/>
    <w:rsid w:val="009656DF"/>
    <w:rsid w:val="009677ED"/>
    <w:rsid w:val="00967C18"/>
    <w:rsid w:val="00967E9F"/>
    <w:rsid w:val="00967FD7"/>
    <w:rsid w:val="00972045"/>
    <w:rsid w:val="00972D29"/>
    <w:rsid w:val="00974DFA"/>
    <w:rsid w:val="00976E21"/>
    <w:rsid w:val="00976ED7"/>
    <w:rsid w:val="00977221"/>
    <w:rsid w:val="009772BB"/>
    <w:rsid w:val="00977461"/>
    <w:rsid w:val="0098056F"/>
    <w:rsid w:val="00980823"/>
    <w:rsid w:val="00991E9D"/>
    <w:rsid w:val="00993E2E"/>
    <w:rsid w:val="00994BE2"/>
    <w:rsid w:val="00996F13"/>
    <w:rsid w:val="00997514"/>
    <w:rsid w:val="009A29A2"/>
    <w:rsid w:val="009A2B10"/>
    <w:rsid w:val="009A3768"/>
    <w:rsid w:val="009A3D4B"/>
    <w:rsid w:val="009B1720"/>
    <w:rsid w:val="009B1C99"/>
    <w:rsid w:val="009B1E1E"/>
    <w:rsid w:val="009B341F"/>
    <w:rsid w:val="009B345A"/>
    <w:rsid w:val="009B3EFA"/>
    <w:rsid w:val="009B4B0B"/>
    <w:rsid w:val="009B69CA"/>
    <w:rsid w:val="009B6E9F"/>
    <w:rsid w:val="009B7F6D"/>
    <w:rsid w:val="009C0127"/>
    <w:rsid w:val="009C073E"/>
    <w:rsid w:val="009C3FDE"/>
    <w:rsid w:val="009C4341"/>
    <w:rsid w:val="009C5389"/>
    <w:rsid w:val="009C551E"/>
    <w:rsid w:val="009C56E8"/>
    <w:rsid w:val="009C6C13"/>
    <w:rsid w:val="009D1A11"/>
    <w:rsid w:val="009D24F7"/>
    <w:rsid w:val="009D25A5"/>
    <w:rsid w:val="009D27E8"/>
    <w:rsid w:val="009D3E22"/>
    <w:rsid w:val="009D6797"/>
    <w:rsid w:val="009D76E4"/>
    <w:rsid w:val="009E02E8"/>
    <w:rsid w:val="009E08C6"/>
    <w:rsid w:val="009E1270"/>
    <w:rsid w:val="009E1BC7"/>
    <w:rsid w:val="009E22E3"/>
    <w:rsid w:val="009E3184"/>
    <w:rsid w:val="009E3F50"/>
    <w:rsid w:val="009E432C"/>
    <w:rsid w:val="009E4608"/>
    <w:rsid w:val="009E4872"/>
    <w:rsid w:val="009E5844"/>
    <w:rsid w:val="009E61C2"/>
    <w:rsid w:val="009E72DC"/>
    <w:rsid w:val="009E76B6"/>
    <w:rsid w:val="009F20B8"/>
    <w:rsid w:val="009F3160"/>
    <w:rsid w:val="009F4ED2"/>
    <w:rsid w:val="009F5A67"/>
    <w:rsid w:val="009F67E5"/>
    <w:rsid w:val="009F6893"/>
    <w:rsid w:val="00A0077A"/>
    <w:rsid w:val="00A02E8A"/>
    <w:rsid w:val="00A02F57"/>
    <w:rsid w:val="00A03072"/>
    <w:rsid w:val="00A033E3"/>
    <w:rsid w:val="00A06762"/>
    <w:rsid w:val="00A06E6E"/>
    <w:rsid w:val="00A06EFC"/>
    <w:rsid w:val="00A07A2A"/>
    <w:rsid w:val="00A10ACE"/>
    <w:rsid w:val="00A13D6C"/>
    <w:rsid w:val="00A157E9"/>
    <w:rsid w:val="00A15EB0"/>
    <w:rsid w:val="00A1649A"/>
    <w:rsid w:val="00A16987"/>
    <w:rsid w:val="00A1734E"/>
    <w:rsid w:val="00A218EE"/>
    <w:rsid w:val="00A21B28"/>
    <w:rsid w:val="00A21FD6"/>
    <w:rsid w:val="00A2489A"/>
    <w:rsid w:val="00A24B8C"/>
    <w:rsid w:val="00A26611"/>
    <w:rsid w:val="00A27C8C"/>
    <w:rsid w:val="00A30525"/>
    <w:rsid w:val="00A30867"/>
    <w:rsid w:val="00A30F1B"/>
    <w:rsid w:val="00A31A74"/>
    <w:rsid w:val="00A32295"/>
    <w:rsid w:val="00A32C4A"/>
    <w:rsid w:val="00A32E19"/>
    <w:rsid w:val="00A34E47"/>
    <w:rsid w:val="00A37D42"/>
    <w:rsid w:val="00A403A7"/>
    <w:rsid w:val="00A40453"/>
    <w:rsid w:val="00A406FD"/>
    <w:rsid w:val="00A40AAF"/>
    <w:rsid w:val="00A41768"/>
    <w:rsid w:val="00A41789"/>
    <w:rsid w:val="00A4476E"/>
    <w:rsid w:val="00A46902"/>
    <w:rsid w:val="00A46934"/>
    <w:rsid w:val="00A46937"/>
    <w:rsid w:val="00A46EB3"/>
    <w:rsid w:val="00A47358"/>
    <w:rsid w:val="00A50631"/>
    <w:rsid w:val="00A51070"/>
    <w:rsid w:val="00A51A9B"/>
    <w:rsid w:val="00A5224F"/>
    <w:rsid w:val="00A550E0"/>
    <w:rsid w:val="00A56C6C"/>
    <w:rsid w:val="00A56CB7"/>
    <w:rsid w:val="00A56DB4"/>
    <w:rsid w:val="00A579F9"/>
    <w:rsid w:val="00A57CA9"/>
    <w:rsid w:val="00A6040F"/>
    <w:rsid w:val="00A60C42"/>
    <w:rsid w:val="00A61045"/>
    <w:rsid w:val="00A612D4"/>
    <w:rsid w:val="00A61856"/>
    <w:rsid w:val="00A61C81"/>
    <w:rsid w:val="00A620A2"/>
    <w:rsid w:val="00A62163"/>
    <w:rsid w:val="00A63FED"/>
    <w:rsid w:val="00A64173"/>
    <w:rsid w:val="00A6796B"/>
    <w:rsid w:val="00A71177"/>
    <w:rsid w:val="00A716D1"/>
    <w:rsid w:val="00A71984"/>
    <w:rsid w:val="00A7606A"/>
    <w:rsid w:val="00A8049B"/>
    <w:rsid w:val="00A80589"/>
    <w:rsid w:val="00A80AB6"/>
    <w:rsid w:val="00A81933"/>
    <w:rsid w:val="00A82388"/>
    <w:rsid w:val="00A82F36"/>
    <w:rsid w:val="00A84457"/>
    <w:rsid w:val="00A86C53"/>
    <w:rsid w:val="00A86DFE"/>
    <w:rsid w:val="00A87D8D"/>
    <w:rsid w:val="00A9092F"/>
    <w:rsid w:val="00A91B4B"/>
    <w:rsid w:val="00A92514"/>
    <w:rsid w:val="00A96624"/>
    <w:rsid w:val="00AA0303"/>
    <w:rsid w:val="00AA0A48"/>
    <w:rsid w:val="00AA297F"/>
    <w:rsid w:val="00AA29E4"/>
    <w:rsid w:val="00AA3284"/>
    <w:rsid w:val="00AA3353"/>
    <w:rsid w:val="00AA39DC"/>
    <w:rsid w:val="00AA5409"/>
    <w:rsid w:val="00AA54B1"/>
    <w:rsid w:val="00AA672C"/>
    <w:rsid w:val="00AB0E62"/>
    <w:rsid w:val="00AB28EE"/>
    <w:rsid w:val="00AB3027"/>
    <w:rsid w:val="00AB3593"/>
    <w:rsid w:val="00AB467C"/>
    <w:rsid w:val="00AB6068"/>
    <w:rsid w:val="00AB7C51"/>
    <w:rsid w:val="00AC0E8B"/>
    <w:rsid w:val="00AC1A66"/>
    <w:rsid w:val="00AC22CA"/>
    <w:rsid w:val="00AC38E0"/>
    <w:rsid w:val="00AC435D"/>
    <w:rsid w:val="00AC43A2"/>
    <w:rsid w:val="00AC5B21"/>
    <w:rsid w:val="00AC66A6"/>
    <w:rsid w:val="00AD13C4"/>
    <w:rsid w:val="00AD2420"/>
    <w:rsid w:val="00AD3541"/>
    <w:rsid w:val="00AD3F73"/>
    <w:rsid w:val="00AD6609"/>
    <w:rsid w:val="00AD7076"/>
    <w:rsid w:val="00AD7225"/>
    <w:rsid w:val="00AE2461"/>
    <w:rsid w:val="00AE2DAB"/>
    <w:rsid w:val="00AE566A"/>
    <w:rsid w:val="00AF20B1"/>
    <w:rsid w:val="00AF221E"/>
    <w:rsid w:val="00AF2971"/>
    <w:rsid w:val="00AF2BA5"/>
    <w:rsid w:val="00AF3CC1"/>
    <w:rsid w:val="00AF467B"/>
    <w:rsid w:val="00AF4832"/>
    <w:rsid w:val="00AF5714"/>
    <w:rsid w:val="00AF5743"/>
    <w:rsid w:val="00AF6396"/>
    <w:rsid w:val="00B017D7"/>
    <w:rsid w:val="00B01C6A"/>
    <w:rsid w:val="00B01D0E"/>
    <w:rsid w:val="00B037FC"/>
    <w:rsid w:val="00B03DC5"/>
    <w:rsid w:val="00B0559B"/>
    <w:rsid w:val="00B059B6"/>
    <w:rsid w:val="00B05DCC"/>
    <w:rsid w:val="00B067E2"/>
    <w:rsid w:val="00B06C79"/>
    <w:rsid w:val="00B06FF5"/>
    <w:rsid w:val="00B0733A"/>
    <w:rsid w:val="00B0758B"/>
    <w:rsid w:val="00B1040A"/>
    <w:rsid w:val="00B11C22"/>
    <w:rsid w:val="00B12271"/>
    <w:rsid w:val="00B13A9A"/>
    <w:rsid w:val="00B14487"/>
    <w:rsid w:val="00B15093"/>
    <w:rsid w:val="00B15ADD"/>
    <w:rsid w:val="00B16504"/>
    <w:rsid w:val="00B16B25"/>
    <w:rsid w:val="00B17022"/>
    <w:rsid w:val="00B20D76"/>
    <w:rsid w:val="00B20ECF"/>
    <w:rsid w:val="00B2133F"/>
    <w:rsid w:val="00B21A68"/>
    <w:rsid w:val="00B22931"/>
    <w:rsid w:val="00B2297B"/>
    <w:rsid w:val="00B2298D"/>
    <w:rsid w:val="00B22C22"/>
    <w:rsid w:val="00B23220"/>
    <w:rsid w:val="00B30A57"/>
    <w:rsid w:val="00B32347"/>
    <w:rsid w:val="00B3379C"/>
    <w:rsid w:val="00B341F4"/>
    <w:rsid w:val="00B34725"/>
    <w:rsid w:val="00B34FAB"/>
    <w:rsid w:val="00B35E67"/>
    <w:rsid w:val="00B36298"/>
    <w:rsid w:val="00B408B7"/>
    <w:rsid w:val="00B41099"/>
    <w:rsid w:val="00B41599"/>
    <w:rsid w:val="00B448D4"/>
    <w:rsid w:val="00B44F45"/>
    <w:rsid w:val="00B45699"/>
    <w:rsid w:val="00B46233"/>
    <w:rsid w:val="00B462A9"/>
    <w:rsid w:val="00B47B33"/>
    <w:rsid w:val="00B5101B"/>
    <w:rsid w:val="00B5215D"/>
    <w:rsid w:val="00B55A02"/>
    <w:rsid w:val="00B57285"/>
    <w:rsid w:val="00B60095"/>
    <w:rsid w:val="00B60E41"/>
    <w:rsid w:val="00B629E3"/>
    <w:rsid w:val="00B6649C"/>
    <w:rsid w:val="00B67C37"/>
    <w:rsid w:val="00B700E5"/>
    <w:rsid w:val="00B710AC"/>
    <w:rsid w:val="00B71B67"/>
    <w:rsid w:val="00B732E2"/>
    <w:rsid w:val="00B755F9"/>
    <w:rsid w:val="00B76F97"/>
    <w:rsid w:val="00B778D4"/>
    <w:rsid w:val="00B77E25"/>
    <w:rsid w:val="00B82DCE"/>
    <w:rsid w:val="00B840AB"/>
    <w:rsid w:val="00B85143"/>
    <w:rsid w:val="00B85998"/>
    <w:rsid w:val="00B87381"/>
    <w:rsid w:val="00B9143A"/>
    <w:rsid w:val="00B92F1B"/>
    <w:rsid w:val="00B93C5B"/>
    <w:rsid w:val="00B95B7B"/>
    <w:rsid w:val="00B96779"/>
    <w:rsid w:val="00BA1942"/>
    <w:rsid w:val="00BA359E"/>
    <w:rsid w:val="00BA4658"/>
    <w:rsid w:val="00BB372B"/>
    <w:rsid w:val="00BB3FF0"/>
    <w:rsid w:val="00BB7ADA"/>
    <w:rsid w:val="00BC1EEA"/>
    <w:rsid w:val="00BC42DE"/>
    <w:rsid w:val="00BC5A86"/>
    <w:rsid w:val="00BC6093"/>
    <w:rsid w:val="00BD103B"/>
    <w:rsid w:val="00BD16A3"/>
    <w:rsid w:val="00BD1882"/>
    <w:rsid w:val="00BD3A85"/>
    <w:rsid w:val="00BD40B0"/>
    <w:rsid w:val="00BD4A12"/>
    <w:rsid w:val="00BD6FF8"/>
    <w:rsid w:val="00BD74BF"/>
    <w:rsid w:val="00BD74C7"/>
    <w:rsid w:val="00BE10A8"/>
    <w:rsid w:val="00BE2EAE"/>
    <w:rsid w:val="00BE4255"/>
    <w:rsid w:val="00BE49ED"/>
    <w:rsid w:val="00BE6659"/>
    <w:rsid w:val="00BE6C39"/>
    <w:rsid w:val="00BF0DB1"/>
    <w:rsid w:val="00BF0FD9"/>
    <w:rsid w:val="00BF2DE3"/>
    <w:rsid w:val="00BF3B1F"/>
    <w:rsid w:val="00BF4007"/>
    <w:rsid w:val="00C00552"/>
    <w:rsid w:val="00C01DBE"/>
    <w:rsid w:val="00C03B08"/>
    <w:rsid w:val="00C04610"/>
    <w:rsid w:val="00C05566"/>
    <w:rsid w:val="00C055EB"/>
    <w:rsid w:val="00C056D1"/>
    <w:rsid w:val="00C07A82"/>
    <w:rsid w:val="00C07DCE"/>
    <w:rsid w:val="00C113BD"/>
    <w:rsid w:val="00C11C62"/>
    <w:rsid w:val="00C12B77"/>
    <w:rsid w:val="00C13361"/>
    <w:rsid w:val="00C1339D"/>
    <w:rsid w:val="00C16018"/>
    <w:rsid w:val="00C161FC"/>
    <w:rsid w:val="00C23791"/>
    <w:rsid w:val="00C26D9B"/>
    <w:rsid w:val="00C31560"/>
    <w:rsid w:val="00C3170A"/>
    <w:rsid w:val="00C325DD"/>
    <w:rsid w:val="00C32D07"/>
    <w:rsid w:val="00C3311F"/>
    <w:rsid w:val="00C34524"/>
    <w:rsid w:val="00C3586B"/>
    <w:rsid w:val="00C37EA0"/>
    <w:rsid w:val="00C41016"/>
    <w:rsid w:val="00C43E06"/>
    <w:rsid w:val="00C45696"/>
    <w:rsid w:val="00C46460"/>
    <w:rsid w:val="00C474A1"/>
    <w:rsid w:val="00C476FD"/>
    <w:rsid w:val="00C47A97"/>
    <w:rsid w:val="00C50072"/>
    <w:rsid w:val="00C51020"/>
    <w:rsid w:val="00C51A0E"/>
    <w:rsid w:val="00C5252D"/>
    <w:rsid w:val="00C5270F"/>
    <w:rsid w:val="00C5530B"/>
    <w:rsid w:val="00C56128"/>
    <w:rsid w:val="00C5676D"/>
    <w:rsid w:val="00C60C9F"/>
    <w:rsid w:val="00C61899"/>
    <w:rsid w:val="00C619B8"/>
    <w:rsid w:val="00C64105"/>
    <w:rsid w:val="00C650DF"/>
    <w:rsid w:val="00C653DF"/>
    <w:rsid w:val="00C65CF0"/>
    <w:rsid w:val="00C66264"/>
    <w:rsid w:val="00C70565"/>
    <w:rsid w:val="00C728C9"/>
    <w:rsid w:val="00C72FB5"/>
    <w:rsid w:val="00C74637"/>
    <w:rsid w:val="00C758FB"/>
    <w:rsid w:val="00C76CC2"/>
    <w:rsid w:val="00C7780A"/>
    <w:rsid w:val="00C81764"/>
    <w:rsid w:val="00C82017"/>
    <w:rsid w:val="00C83119"/>
    <w:rsid w:val="00C839F6"/>
    <w:rsid w:val="00C842DA"/>
    <w:rsid w:val="00C8447F"/>
    <w:rsid w:val="00C847AC"/>
    <w:rsid w:val="00C847F5"/>
    <w:rsid w:val="00C85FF5"/>
    <w:rsid w:val="00C866BE"/>
    <w:rsid w:val="00C866C2"/>
    <w:rsid w:val="00C9023A"/>
    <w:rsid w:val="00C91CF2"/>
    <w:rsid w:val="00C9451C"/>
    <w:rsid w:val="00C964BB"/>
    <w:rsid w:val="00C96582"/>
    <w:rsid w:val="00C97589"/>
    <w:rsid w:val="00CA032D"/>
    <w:rsid w:val="00CA2336"/>
    <w:rsid w:val="00CA3B1D"/>
    <w:rsid w:val="00CA4779"/>
    <w:rsid w:val="00CA59B1"/>
    <w:rsid w:val="00CA697E"/>
    <w:rsid w:val="00CA69E5"/>
    <w:rsid w:val="00CA6BAC"/>
    <w:rsid w:val="00CB28FA"/>
    <w:rsid w:val="00CB3233"/>
    <w:rsid w:val="00CB3D4B"/>
    <w:rsid w:val="00CB3F0D"/>
    <w:rsid w:val="00CB474A"/>
    <w:rsid w:val="00CB475B"/>
    <w:rsid w:val="00CB552D"/>
    <w:rsid w:val="00CB64D7"/>
    <w:rsid w:val="00CB7488"/>
    <w:rsid w:val="00CC0A45"/>
    <w:rsid w:val="00CC1FE4"/>
    <w:rsid w:val="00CC2403"/>
    <w:rsid w:val="00CC35D0"/>
    <w:rsid w:val="00CC5038"/>
    <w:rsid w:val="00CC7BDB"/>
    <w:rsid w:val="00CD04DB"/>
    <w:rsid w:val="00CD0629"/>
    <w:rsid w:val="00CD1937"/>
    <w:rsid w:val="00CD2746"/>
    <w:rsid w:val="00CD3323"/>
    <w:rsid w:val="00CD3CE8"/>
    <w:rsid w:val="00CD3E34"/>
    <w:rsid w:val="00CD4E44"/>
    <w:rsid w:val="00CD531B"/>
    <w:rsid w:val="00CD640E"/>
    <w:rsid w:val="00CE0186"/>
    <w:rsid w:val="00CE03D8"/>
    <w:rsid w:val="00CE1AEC"/>
    <w:rsid w:val="00CE1BD2"/>
    <w:rsid w:val="00CE2D4D"/>
    <w:rsid w:val="00CE37EE"/>
    <w:rsid w:val="00CE3F5F"/>
    <w:rsid w:val="00CE5419"/>
    <w:rsid w:val="00CE5A3A"/>
    <w:rsid w:val="00CE5C69"/>
    <w:rsid w:val="00CE5F9A"/>
    <w:rsid w:val="00CE6538"/>
    <w:rsid w:val="00CE73AB"/>
    <w:rsid w:val="00CE7F3A"/>
    <w:rsid w:val="00CF04A5"/>
    <w:rsid w:val="00CF1A8A"/>
    <w:rsid w:val="00CF37CB"/>
    <w:rsid w:val="00CF4B93"/>
    <w:rsid w:val="00CF711D"/>
    <w:rsid w:val="00CF7DD1"/>
    <w:rsid w:val="00D001E9"/>
    <w:rsid w:val="00D03AB1"/>
    <w:rsid w:val="00D047E3"/>
    <w:rsid w:val="00D04A5D"/>
    <w:rsid w:val="00D069F3"/>
    <w:rsid w:val="00D10081"/>
    <w:rsid w:val="00D12CB9"/>
    <w:rsid w:val="00D1364F"/>
    <w:rsid w:val="00D13B1F"/>
    <w:rsid w:val="00D15A49"/>
    <w:rsid w:val="00D15D86"/>
    <w:rsid w:val="00D16770"/>
    <w:rsid w:val="00D21619"/>
    <w:rsid w:val="00D236DA"/>
    <w:rsid w:val="00D2734C"/>
    <w:rsid w:val="00D309B5"/>
    <w:rsid w:val="00D30E41"/>
    <w:rsid w:val="00D31183"/>
    <w:rsid w:val="00D31537"/>
    <w:rsid w:val="00D32E1C"/>
    <w:rsid w:val="00D32F16"/>
    <w:rsid w:val="00D32FF6"/>
    <w:rsid w:val="00D347B8"/>
    <w:rsid w:val="00D34BBC"/>
    <w:rsid w:val="00D40B5F"/>
    <w:rsid w:val="00D40CE8"/>
    <w:rsid w:val="00D42329"/>
    <w:rsid w:val="00D426C9"/>
    <w:rsid w:val="00D42727"/>
    <w:rsid w:val="00D437C2"/>
    <w:rsid w:val="00D43BD8"/>
    <w:rsid w:val="00D47E5A"/>
    <w:rsid w:val="00D508C5"/>
    <w:rsid w:val="00D509B3"/>
    <w:rsid w:val="00D51800"/>
    <w:rsid w:val="00D51A57"/>
    <w:rsid w:val="00D52454"/>
    <w:rsid w:val="00D55E2C"/>
    <w:rsid w:val="00D56CA1"/>
    <w:rsid w:val="00D56E54"/>
    <w:rsid w:val="00D579FB"/>
    <w:rsid w:val="00D65A5E"/>
    <w:rsid w:val="00D66321"/>
    <w:rsid w:val="00D667E6"/>
    <w:rsid w:val="00D679D0"/>
    <w:rsid w:val="00D67A0C"/>
    <w:rsid w:val="00D67F7B"/>
    <w:rsid w:val="00D718F2"/>
    <w:rsid w:val="00D7264B"/>
    <w:rsid w:val="00D72689"/>
    <w:rsid w:val="00D72690"/>
    <w:rsid w:val="00D7531D"/>
    <w:rsid w:val="00D75573"/>
    <w:rsid w:val="00D75AF6"/>
    <w:rsid w:val="00D76B9E"/>
    <w:rsid w:val="00D80784"/>
    <w:rsid w:val="00D81D4E"/>
    <w:rsid w:val="00D82501"/>
    <w:rsid w:val="00D83DD2"/>
    <w:rsid w:val="00D841F7"/>
    <w:rsid w:val="00D8429F"/>
    <w:rsid w:val="00D845FE"/>
    <w:rsid w:val="00D8565C"/>
    <w:rsid w:val="00D85F67"/>
    <w:rsid w:val="00D86469"/>
    <w:rsid w:val="00D868E6"/>
    <w:rsid w:val="00D8765B"/>
    <w:rsid w:val="00D91617"/>
    <w:rsid w:val="00D92230"/>
    <w:rsid w:val="00D93041"/>
    <w:rsid w:val="00D96235"/>
    <w:rsid w:val="00D9781D"/>
    <w:rsid w:val="00DA0D80"/>
    <w:rsid w:val="00DA4D04"/>
    <w:rsid w:val="00DA5CA1"/>
    <w:rsid w:val="00DA70C6"/>
    <w:rsid w:val="00DA7BC7"/>
    <w:rsid w:val="00DB0498"/>
    <w:rsid w:val="00DB18C7"/>
    <w:rsid w:val="00DB1BD0"/>
    <w:rsid w:val="00DB2101"/>
    <w:rsid w:val="00DB22F8"/>
    <w:rsid w:val="00DB2DE7"/>
    <w:rsid w:val="00DB3027"/>
    <w:rsid w:val="00DB4081"/>
    <w:rsid w:val="00DB4333"/>
    <w:rsid w:val="00DB4794"/>
    <w:rsid w:val="00DB5CFD"/>
    <w:rsid w:val="00DB5E17"/>
    <w:rsid w:val="00DB667A"/>
    <w:rsid w:val="00DB73E5"/>
    <w:rsid w:val="00DB7516"/>
    <w:rsid w:val="00DC13E3"/>
    <w:rsid w:val="00DC1ABA"/>
    <w:rsid w:val="00DC1BF9"/>
    <w:rsid w:val="00DC369A"/>
    <w:rsid w:val="00DC3E41"/>
    <w:rsid w:val="00DC4BE7"/>
    <w:rsid w:val="00DC638F"/>
    <w:rsid w:val="00DC7E8B"/>
    <w:rsid w:val="00DC7F0C"/>
    <w:rsid w:val="00DD00F4"/>
    <w:rsid w:val="00DD140E"/>
    <w:rsid w:val="00DD145F"/>
    <w:rsid w:val="00DD1F55"/>
    <w:rsid w:val="00DD3FF0"/>
    <w:rsid w:val="00DD6004"/>
    <w:rsid w:val="00DD6B9E"/>
    <w:rsid w:val="00DD7C0B"/>
    <w:rsid w:val="00DE0055"/>
    <w:rsid w:val="00DE0746"/>
    <w:rsid w:val="00DE13E8"/>
    <w:rsid w:val="00DE1A0D"/>
    <w:rsid w:val="00DE1B47"/>
    <w:rsid w:val="00DE1BBD"/>
    <w:rsid w:val="00DE3993"/>
    <w:rsid w:val="00DE453F"/>
    <w:rsid w:val="00DE5885"/>
    <w:rsid w:val="00DE7F3C"/>
    <w:rsid w:val="00DF13D5"/>
    <w:rsid w:val="00DF234A"/>
    <w:rsid w:val="00DF28DA"/>
    <w:rsid w:val="00DF2B9F"/>
    <w:rsid w:val="00DF3253"/>
    <w:rsid w:val="00DF4240"/>
    <w:rsid w:val="00DF4A59"/>
    <w:rsid w:val="00DF4EED"/>
    <w:rsid w:val="00DF6570"/>
    <w:rsid w:val="00DF750A"/>
    <w:rsid w:val="00E01297"/>
    <w:rsid w:val="00E02050"/>
    <w:rsid w:val="00E02FBC"/>
    <w:rsid w:val="00E0356B"/>
    <w:rsid w:val="00E03CD4"/>
    <w:rsid w:val="00E03EC9"/>
    <w:rsid w:val="00E046BE"/>
    <w:rsid w:val="00E048D6"/>
    <w:rsid w:val="00E07C79"/>
    <w:rsid w:val="00E10723"/>
    <w:rsid w:val="00E11887"/>
    <w:rsid w:val="00E147BA"/>
    <w:rsid w:val="00E14CD9"/>
    <w:rsid w:val="00E165F5"/>
    <w:rsid w:val="00E1790D"/>
    <w:rsid w:val="00E17991"/>
    <w:rsid w:val="00E213EE"/>
    <w:rsid w:val="00E21938"/>
    <w:rsid w:val="00E21EA8"/>
    <w:rsid w:val="00E22AC4"/>
    <w:rsid w:val="00E265D4"/>
    <w:rsid w:val="00E27A43"/>
    <w:rsid w:val="00E27B5A"/>
    <w:rsid w:val="00E31396"/>
    <w:rsid w:val="00E32874"/>
    <w:rsid w:val="00E338C2"/>
    <w:rsid w:val="00E355FB"/>
    <w:rsid w:val="00E37787"/>
    <w:rsid w:val="00E378D0"/>
    <w:rsid w:val="00E409AA"/>
    <w:rsid w:val="00E41A86"/>
    <w:rsid w:val="00E420F2"/>
    <w:rsid w:val="00E43A26"/>
    <w:rsid w:val="00E441D6"/>
    <w:rsid w:val="00E4596A"/>
    <w:rsid w:val="00E4641A"/>
    <w:rsid w:val="00E46952"/>
    <w:rsid w:val="00E46BC7"/>
    <w:rsid w:val="00E51039"/>
    <w:rsid w:val="00E51C9D"/>
    <w:rsid w:val="00E51F12"/>
    <w:rsid w:val="00E52226"/>
    <w:rsid w:val="00E539E0"/>
    <w:rsid w:val="00E53C42"/>
    <w:rsid w:val="00E5539B"/>
    <w:rsid w:val="00E55AB7"/>
    <w:rsid w:val="00E60821"/>
    <w:rsid w:val="00E60CCB"/>
    <w:rsid w:val="00E60FD0"/>
    <w:rsid w:val="00E610FB"/>
    <w:rsid w:val="00E63B46"/>
    <w:rsid w:val="00E64A8C"/>
    <w:rsid w:val="00E64BF2"/>
    <w:rsid w:val="00E65746"/>
    <w:rsid w:val="00E66C2B"/>
    <w:rsid w:val="00E672DA"/>
    <w:rsid w:val="00E7171A"/>
    <w:rsid w:val="00E719B5"/>
    <w:rsid w:val="00E73809"/>
    <w:rsid w:val="00E74C6A"/>
    <w:rsid w:val="00E74FD2"/>
    <w:rsid w:val="00E7791B"/>
    <w:rsid w:val="00E779CE"/>
    <w:rsid w:val="00E80748"/>
    <w:rsid w:val="00E81D33"/>
    <w:rsid w:val="00E82CC4"/>
    <w:rsid w:val="00E83E8F"/>
    <w:rsid w:val="00E86DDF"/>
    <w:rsid w:val="00E91C09"/>
    <w:rsid w:val="00E94E73"/>
    <w:rsid w:val="00E951D2"/>
    <w:rsid w:val="00E957BE"/>
    <w:rsid w:val="00E974BF"/>
    <w:rsid w:val="00E97712"/>
    <w:rsid w:val="00E979DB"/>
    <w:rsid w:val="00E97B31"/>
    <w:rsid w:val="00EA0EA0"/>
    <w:rsid w:val="00EA2110"/>
    <w:rsid w:val="00EA22BD"/>
    <w:rsid w:val="00EA2CF6"/>
    <w:rsid w:val="00EA2DF3"/>
    <w:rsid w:val="00EA4188"/>
    <w:rsid w:val="00EA6019"/>
    <w:rsid w:val="00EA7643"/>
    <w:rsid w:val="00EA7712"/>
    <w:rsid w:val="00EA7E2E"/>
    <w:rsid w:val="00EB1177"/>
    <w:rsid w:val="00EB2013"/>
    <w:rsid w:val="00EB23A2"/>
    <w:rsid w:val="00EB39EB"/>
    <w:rsid w:val="00EB4391"/>
    <w:rsid w:val="00EB5A10"/>
    <w:rsid w:val="00EB77F9"/>
    <w:rsid w:val="00EC06DE"/>
    <w:rsid w:val="00EC08F0"/>
    <w:rsid w:val="00EC0F61"/>
    <w:rsid w:val="00EC1797"/>
    <w:rsid w:val="00EC25B0"/>
    <w:rsid w:val="00EC679A"/>
    <w:rsid w:val="00EC6C25"/>
    <w:rsid w:val="00ED634E"/>
    <w:rsid w:val="00ED7DF1"/>
    <w:rsid w:val="00EE00AF"/>
    <w:rsid w:val="00EE0963"/>
    <w:rsid w:val="00EE0ADD"/>
    <w:rsid w:val="00EE2150"/>
    <w:rsid w:val="00EE32AB"/>
    <w:rsid w:val="00EE3987"/>
    <w:rsid w:val="00EE39FC"/>
    <w:rsid w:val="00EE48D0"/>
    <w:rsid w:val="00EE496A"/>
    <w:rsid w:val="00EE5046"/>
    <w:rsid w:val="00EE616A"/>
    <w:rsid w:val="00EE7077"/>
    <w:rsid w:val="00EE798C"/>
    <w:rsid w:val="00EF1E37"/>
    <w:rsid w:val="00EF1EF9"/>
    <w:rsid w:val="00EF46C6"/>
    <w:rsid w:val="00EF4B73"/>
    <w:rsid w:val="00EF4CBC"/>
    <w:rsid w:val="00F01226"/>
    <w:rsid w:val="00F016A4"/>
    <w:rsid w:val="00F02075"/>
    <w:rsid w:val="00F024BF"/>
    <w:rsid w:val="00F04898"/>
    <w:rsid w:val="00F05DDC"/>
    <w:rsid w:val="00F064AB"/>
    <w:rsid w:val="00F06D7F"/>
    <w:rsid w:val="00F070D8"/>
    <w:rsid w:val="00F0720C"/>
    <w:rsid w:val="00F07228"/>
    <w:rsid w:val="00F10ACD"/>
    <w:rsid w:val="00F11AA2"/>
    <w:rsid w:val="00F12BAB"/>
    <w:rsid w:val="00F132CD"/>
    <w:rsid w:val="00F1338D"/>
    <w:rsid w:val="00F13B88"/>
    <w:rsid w:val="00F13B93"/>
    <w:rsid w:val="00F13EA6"/>
    <w:rsid w:val="00F14283"/>
    <w:rsid w:val="00F14782"/>
    <w:rsid w:val="00F1591F"/>
    <w:rsid w:val="00F16CC9"/>
    <w:rsid w:val="00F17156"/>
    <w:rsid w:val="00F174D4"/>
    <w:rsid w:val="00F20D08"/>
    <w:rsid w:val="00F20F03"/>
    <w:rsid w:val="00F21BF4"/>
    <w:rsid w:val="00F22CFA"/>
    <w:rsid w:val="00F235B0"/>
    <w:rsid w:val="00F238E4"/>
    <w:rsid w:val="00F23C33"/>
    <w:rsid w:val="00F24A88"/>
    <w:rsid w:val="00F24EC7"/>
    <w:rsid w:val="00F25A51"/>
    <w:rsid w:val="00F25C00"/>
    <w:rsid w:val="00F2614F"/>
    <w:rsid w:val="00F2656B"/>
    <w:rsid w:val="00F26C53"/>
    <w:rsid w:val="00F32B8D"/>
    <w:rsid w:val="00F34C3A"/>
    <w:rsid w:val="00F34E38"/>
    <w:rsid w:val="00F41524"/>
    <w:rsid w:val="00F417DE"/>
    <w:rsid w:val="00F41B53"/>
    <w:rsid w:val="00F431AE"/>
    <w:rsid w:val="00F45259"/>
    <w:rsid w:val="00F47125"/>
    <w:rsid w:val="00F50746"/>
    <w:rsid w:val="00F5216C"/>
    <w:rsid w:val="00F543C6"/>
    <w:rsid w:val="00F55806"/>
    <w:rsid w:val="00F55A38"/>
    <w:rsid w:val="00F55D4A"/>
    <w:rsid w:val="00F569DC"/>
    <w:rsid w:val="00F56EB0"/>
    <w:rsid w:val="00F60EAA"/>
    <w:rsid w:val="00F6267F"/>
    <w:rsid w:val="00F631AF"/>
    <w:rsid w:val="00F6450F"/>
    <w:rsid w:val="00F64E0C"/>
    <w:rsid w:val="00F65090"/>
    <w:rsid w:val="00F651D8"/>
    <w:rsid w:val="00F6594F"/>
    <w:rsid w:val="00F7081C"/>
    <w:rsid w:val="00F70A2F"/>
    <w:rsid w:val="00F735C3"/>
    <w:rsid w:val="00F735EF"/>
    <w:rsid w:val="00F75E0D"/>
    <w:rsid w:val="00F76F84"/>
    <w:rsid w:val="00F77344"/>
    <w:rsid w:val="00F8179C"/>
    <w:rsid w:val="00F81A6E"/>
    <w:rsid w:val="00F84234"/>
    <w:rsid w:val="00F84322"/>
    <w:rsid w:val="00F85106"/>
    <w:rsid w:val="00F855B2"/>
    <w:rsid w:val="00F85A43"/>
    <w:rsid w:val="00F90267"/>
    <w:rsid w:val="00F90D94"/>
    <w:rsid w:val="00F921C5"/>
    <w:rsid w:val="00F956D1"/>
    <w:rsid w:val="00F9576C"/>
    <w:rsid w:val="00F9712E"/>
    <w:rsid w:val="00FA066A"/>
    <w:rsid w:val="00FA08C1"/>
    <w:rsid w:val="00FA5052"/>
    <w:rsid w:val="00FA5133"/>
    <w:rsid w:val="00FA5503"/>
    <w:rsid w:val="00FB04BC"/>
    <w:rsid w:val="00FB0EE1"/>
    <w:rsid w:val="00FB23F5"/>
    <w:rsid w:val="00FB25AA"/>
    <w:rsid w:val="00FB34A8"/>
    <w:rsid w:val="00FB6F47"/>
    <w:rsid w:val="00FC0628"/>
    <w:rsid w:val="00FC1059"/>
    <w:rsid w:val="00FC160B"/>
    <w:rsid w:val="00FC1C69"/>
    <w:rsid w:val="00FC238E"/>
    <w:rsid w:val="00FC30A1"/>
    <w:rsid w:val="00FC58D3"/>
    <w:rsid w:val="00FC5C04"/>
    <w:rsid w:val="00FC66D9"/>
    <w:rsid w:val="00FC76E4"/>
    <w:rsid w:val="00FC7987"/>
    <w:rsid w:val="00FC7BED"/>
    <w:rsid w:val="00FC7D9A"/>
    <w:rsid w:val="00FD1DDC"/>
    <w:rsid w:val="00FD1EBA"/>
    <w:rsid w:val="00FD23B9"/>
    <w:rsid w:val="00FD26A5"/>
    <w:rsid w:val="00FD26CD"/>
    <w:rsid w:val="00FD30E7"/>
    <w:rsid w:val="00FD32E5"/>
    <w:rsid w:val="00FD3D8B"/>
    <w:rsid w:val="00FD3F56"/>
    <w:rsid w:val="00FD47E0"/>
    <w:rsid w:val="00FE00CC"/>
    <w:rsid w:val="00FE1F9C"/>
    <w:rsid w:val="00FE22F0"/>
    <w:rsid w:val="00FE26DA"/>
    <w:rsid w:val="00FE5674"/>
    <w:rsid w:val="00FF0269"/>
    <w:rsid w:val="00FF0415"/>
    <w:rsid w:val="00FF18E2"/>
    <w:rsid w:val="00FF3408"/>
    <w:rsid w:val="00FF385E"/>
    <w:rsid w:val="00FF3A0A"/>
    <w:rsid w:val="00FF4D9B"/>
    <w:rsid w:val="00FF5C54"/>
    <w:rsid w:val="00FF731F"/>
    <w:rsid w:val="01052B52"/>
    <w:rsid w:val="0109344D"/>
    <w:rsid w:val="01226240"/>
    <w:rsid w:val="01392792"/>
    <w:rsid w:val="01D47BB1"/>
    <w:rsid w:val="02367707"/>
    <w:rsid w:val="02564B1B"/>
    <w:rsid w:val="025C49EE"/>
    <w:rsid w:val="02766009"/>
    <w:rsid w:val="02AE21E3"/>
    <w:rsid w:val="0314140F"/>
    <w:rsid w:val="031E4411"/>
    <w:rsid w:val="031F1749"/>
    <w:rsid w:val="032A0775"/>
    <w:rsid w:val="03C74DEA"/>
    <w:rsid w:val="042679EE"/>
    <w:rsid w:val="04835911"/>
    <w:rsid w:val="049169BC"/>
    <w:rsid w:val="04F51692"/>
    <w:rsid w:val="056D05DF"/>
    <w:rsid w:val="058A76CD"/>
    <w:rsid w:val="05B6386C"/>
    <w:rsid w:val="069A6B89"/>
    <w:rsid w:val="069C1C5C"/>
    <w:rsid w:val="069C7A93"/>
    <w:rsid w:val="06CA47CC"/>
    <w:rsid w:val="07466557"/>
    <w:rsid w:val="08037F6B"/>
    <w:rsid w:val="083E714C"/>
    <w:rsid w:val="09175EEF"/>
    <w:rsid w:val="096379C3"/>
    <w:rsid w:val="099969C4"/>
    <w:rsid w:val="09D3555F"/>
    <w:rsid w:val="0A011BCE"/>
    <w:rsid w:val="0B884150"/>
    <w:rsid w:val="0B8F4C42"/>
    <w:rsid w:val="0BEB0385"/>
    <w:rsid w:val="0CE05BCB"/>
    <w:rsid w:val="0D1F71D9"/>
    <w:rsid w:val="0D6A5348"/>
    <w:rsid w:val="0D90430B"/>
    <w:rsid w:val="0DF54094"/>
    <w:rsid w:val="0E1725D6"/>
    <w:rsid w:val="0E243461"/>
    <w:rsid w:val="0E607DAF"/>
    <w:rsid w:val="0E6E568E"/>
    <w:rsid w:val="0F6018E6"/>
    <w:rsid w:val="0F6F1034"/>
    <w:rsid w:val="114A7FCE"/>
    <w:rsid w:val="1160324F"/>
    <w:rsid w:val="11A55F03"/>
    <w:rsid w:val="12045C39"/>
    <w:rsid w:val="133F09B0"/>
    <w:rsid w:val="13F45072"/>
    <w:rsid w:val="141A59CE"/>
    <w:rsid w:val="145B0A5C"/>
    <w:rsid w:val="14A036DE"/>
    <w:rsid w:val="151B0095"/>
    <w:rsid w:val="15CE68FB"/>
    <w:rsid w:val="15DD5083"/>
    <w:rsid w:val="163E4C1A"/>
    <w:rsid w:val="16C27E36"/>
    <w:rsid w:val="16D15EE7"/>
    <w:rsid w:val="16E44C89"/>
    <w:rsid w:val="171763FC"/>
    <w:rsid w:val="172433D4"/>
    <w:rsid w:val="1727233C"/>
    <w:rsid w:val="174C3583"/>
    <w:rsid w:val="17FB5339"/>
    <w:rsid w:val="18061544"/>
    <w:rsid w:val="1821359C"/>
    <w:rsid w:val="18730F52"/>
    <w:rsid w:val="18D27BB3"/>
    <w:rsid w:val="18E80BAD"/>
    <w:rsid w:val="19342468"/>
    <w:rsid w:val="193E16A3"/>
    <w:rsid w:val="1A3F3C1B"/>
    <w:rsid w:val="1A404C48"/>
    <w:rsid w:val="1AAC15B6"/>
    <w:rsid w:val="1B0E398D"/>
    <w:rsid w:val="1B350937"/>
    <w:rsid w:val="1BE7247B"/>
    <w:rsid w:val="1C872AB9"/>
    <w:rsid w:val="1CE23F2B"/>
    <w:rsid w:val="1CE3645A"/>
    <w:rsid w:val="1D1E7B8F"/>
    <w:rsid w:val="1D8134EF"/>
    <w:rsid w:val="1D856F92"/>
    <w:rsid w:val="1E0946AF"/>
    <w:rsid w:val="1E3500E2"/>
    <w:rsid w:val="1E3C44A5"/>
    <w:rsid w:val="1E5D7AC3"/>
    <w:rsid w:val="1E817640"/>
    <w:rsid w:val="21D1000E"/>
    <w:rsid w:val="22065D6C"/>
    <w:rsid w:val="227162B5"/>
    <w:rsid w:val="22B945A7"/>
    <w:rsid w:val="22C2691D"/>
    <w:rsid w:val="23283E30"/>
    <w:rsid w:val="23D646E5"/>
    <w:rsid w:val="23F76D49"/>
    <w:rsid w:val="24065B27"/>
    <w:rsid w:val="242B7E47"/>
    <w:rsid w:val="249F57E5"/>
    <w:rsid w:val="25335288"/>
    <w:rsid w:val="253B26CA"/>
    <w:rsid w:val="25502F1B"/>
    <w:rsid w:val="2568112F"/>
    <w:rsid w:val="258601FE"/>
    <w:rsid w:val="26166779"/>
    <w:rsid w:val="26933546"/>
    <w:rsid w:val="26BB68BA"/>
    <w:rsid w:val="26CE0D51"/>
    <w:rsid w:val="27067640"/>
    <w:rsid w:val="271C3BEF"/>
    <w:rsid w:val="276E198C"/>
    <w:rsid w:val="28325C10"/>
    <w:rsid w:val="284B6F24"/>
    <w:rsid w:val="285F5D09"/>
    <w:rsid w:val="287D4234"/>
    <w:rsid w:val="28BE1378"/>
    <w:rsid w:val="29266163"/>
    <w:rsid w:val="295D5C86"/>
    <w:rsid w:val="29854B23"/>
    <w:rsid w:val="2AD61431"/>
    <w:rsid w:val="2BBE1093"/>
    <w:rsid w:val="2C131D74"/>
    <w:rsid w:val="2C221950"/>
    <w:rsid w:val="2C281ACE"/>
    <w:rsid w:val="2C4D155A"/>
    <w:rsid w:val="2D004B68"/>
    <w:rsid w:val="2D4C771A"/>
    <w:rsid w:val="2D970EAB"/>
    <w:rsid w:val="2E284B7C"/>
    <w:rsid w:val="2F06350B"/>
    <w:rsid w:val="2FD774C3"/>
    <w:rsid w:val="2FEA7D66"/>
    <w:rsid w:val="307C56FE"/>
    <w:rsid w:val="30C815E9"/>
    <w:rsid w:val="3108508B"/>
    <w:rsid w:val="31B523B5"/>
    <w:rsid w:val="320F77E3"/>
    <w:rsid w:val="32D74EEF"/>
    <w:rsid w:val="32F90207"/>
    <w:rsid w:val="331F1994"/>
    <w:rsid w:val="33913AEE"/>
    <w:rsid w:val="33995FAC"/>
    <w:rsid w:val="34723234"/>
    <w:rsid w:val="349F0270"/>
    <w:rsid w:val="34C246DF"/>
    <w:rsid w:val="35214011"/>
    <w:rsid w:val="352C54C4"/>
    <w:rsid w:val="355C6657"/>
    <w:rsid w:val="358006D4"/>
    <w:rsid w:val="35A35EBB"/>
    <w:rsid w:val="36232553"/>
    <w:rsid w:val="362B319C"/>
    <w:rsid w:val="36422D60"/>
    <w:rsid w:val="36501EF7"/>
    <w:rsid w:val="368B003E"/>
    <w:rsid w:val="36CD551C"/>
    <w:rsid w:val="36D27433"/>
    <w:rsid w:val="36EE6B48"/>
    <w:rsid w:val="374B6088"/>
    <w:rsid w:val="37603B15"/>
    <w:rsid w:val="37CD61C8"/>
    <w:rsid w:val="3865252D"/>
    <w:rsid w:val="386F7D8F"/>
    <w:rsid w:val="38BD4B89"/>
    <w:rsid w:val="3A050A91"/>
    <w:rsid w:val="3A5D5BA2"/>
    <w:rsid w:val="3A660603"/>
    <w:rsid w:val="3A822B4F"/>
    <w:rsid w:val="3AD30C41"/>
    <w:rsid w:val="3B3D5027"/>
    <w:rsid w:val="3C24132F"/>
    <w:rsid w:val="3C8C389F"/>
    <w:rsid w:val="3C8C71F3"/>
    <w:rsid w:val="3D0719C8"/>
    <w:rsid w:val="3D9B04F6"/>
    <w:rsid w:val="3E430358"/>
    <w:rsid w:val="3EC76816"/>
    <w:rsid w:val="3F8034A9"/>
    <w:rsid w:val="40476B0D"/>
    <w:rsid w:val="40633CF7"/>
    <w:rsid w:val="40BA23E6"/>
    <w:rsid w:val="40C40FBA"/>
    <w:rsid w:val="414C762B"/>
    <w:rsid w:val="41664E25"/>
    <w:rsid w:val="42981175"/>
    <w:rsid w:val="42CD2233"/>
    <w:rsid w:val="42DA49FB"/>
    <w:rsid w:val="442134DD"/>
    <w:rsid w:val="4436353C"/>
    <w:rsid w:val="448F4B4F"/>
    <w:rsid w:val="449429EA"/>
    <w:rsid w:val="450D027B"/>
    <w:rsid w:val="45504BC5"/>
    <w:rsid w:val="459A6110"/>
    <w:rsid w:val="45EC2488"/>
    <w:rsid w:val="467E56A5"/>
    <w:rsid w:val="47D03B4C"/>
    <w:rsid w:val="47E2135F"/>
    <w:rsid w:val="481C22FC"/>
    <w:rsid w:val="48320B57"/>
    <w:rsid w:val="492D05A5"/>
    <w:rsid w:val="49BF498C"/>
    <w:rsid w:val="49C361B3"/>
    <w:rsid w:val="4A6161D4"/>
    <w:rsid w:val="4AFB235C"/>
    <w:rsid w:val="4AFD12FD"/>
    <w:rsid w:val="4B1978A9"/>
    <w:rsid w:val="4B484FFC"/>
    <w:rsid w:val="4BCC5120"/>
    <w:rsid w:val="4BEC7784"/>
    <w:rsid w:val="4C8C1A30"/>
    <w:rsid w:val="4CA67FA9"/>
    <w:rsid w:val="4D280A7E"/>
    <w:rsid w:val="4DA44E48"/>
    <w:rsid w:val="4E011F98"/>
    <w:rsid w:val="4E9D76CC"/>
    <w:rsid w:val="4EA9408B"/>
    <w:rsid w:val="4EC76CBC"/>
    <w:rsid w:val="4EEF567B"/>
    <w:rsid w:val="4F316E93"/>
    <w:rsid w:val="4F997A35"/>
    <w:rsid w:val="4FBC5EC1"/>
    <w:rsid w:val="4FBF2ED9"/>
    <w:rsid w:val="4FCD438C"/>
    <w:rsid w:val="4FCD61F7"/>
    <w:rsid w:val="4FE24B6F"/>
    <w:rsid w:val="50181156"/>
    <w:rsid w:val="50361E44"/>
    <w:rsid w:val="503A73FC"/>
    <w:rsid w:val="504C637B"/>
    <w:rsid w:val="50904BED"/>
    <w:rsid w:val="50B75C85"/>
    <w:rsid w:val="510A58A7"/>
    <w:rsid w:val="5155318D"/>
    <w:rsid w:val="518A2223"/>
    <w:rsid w:val="51925D7E"/>
    <w:rsid w:val="51A026FE"/>
    <w:rsid w:val="52332028"/>
    <w:rsid w:val="5234509B"/>
    <w:rsid w:val="52413B16"/>
    <w:rsid w:val="526546DC"/>
    <w:rsid w:val="52AF79C9"/>
    <w:rsid w:val="53045C12"/>
    <w:rsid w:val="53093E52"/>
    <w:rsid w:val="5365714B"/>
    <w:rsid w:val="53BA02DB"/>
    <w:rsid w:val="547F6863"/>
    <w:rsid w:val="554000F2"/>
    <w:rsid w:val="56FC649F"/>
    <w:rsid w:val="57306A86"/>
    <w:rsid w:val="58034764"/>
    <w:rsid w:val="582E1282"/>
    <w:rsid w:val="588748B3"/>
    <w:rsid w:val="590373B7"/>
    <w:rsid w:val="590A20C0"/>
    <w:rsid w:val="59104895"/>
    <w:rsid w:val="595127DB"/>
    <w:rsid w:val="595D4251"/>
    <w:rsid w:val="59922DB4"/>
    <w:rsid w:val="5A5629DF"/>
    <w:rsid w:val="5A752BDA"/>
    <w:rsid w:val="5AA64A54"/>
    <w:rsid w:val="5AD253C6"/>
    <w:rsid w:val="5AF76AC9"/>
    <w:rsid w:val="5BD6038A"/>
    <w:rsid w:val="5C7F2C32"/>
    <w:rsid w:val="5CAD68A7"/>
    <w:rsid w:val="5CB173D5"/>
    <w:rsid w:val="5CE21F54"/>
    <w:rsid w:val="5CE8608E"/>
    <w:rsid w:val="5D85263E"/>
    <w:rsid w:val="5DC12B0F"/>
    <w:rsid w:val="5E5A5C2A"/>
    <w:rsid w:val="5EB768C0"/>
    <w:rsid w:val="5F416B8E"/>
    <w:rsid w:val="5FBF3F34"/>
    <w:rsid w:val="5FD4276A"/>
    <w:rsid w:val="60257A1C"/>
    <w:rsid w:val="608033D7"/>
    <w:rsid w:val="60A5288D"/>
    <w:rsid w:val="60D06013"/>
    <w:rsid w:val="61763D66"/>
    <w:rsid w:val="61775F05"/>
    <w:rsid w:val="617C1311"/>
    <w:rsid w:val="61BD02AF"/>
    <w:rsid w:val="61CF3353"/>
    <w:rsid w:val="629801F3"/>
    <w:rsid w:val="633E4CE0"/>
    <w:rsid w:val="636C1820"/>
    <w:rsid w:val="639334D5"/>
    <w:rsid w:val="63BC7103"/>
    <w:rsid w:val="64011DD2"/>
    <w:rsid w:val="640B2BEA"/>
    <w:rsid w:val="64560710"/>
    <w:rsid w:val="64650F4E"/>
    <w:rsid w:val="647D024B"/>
    <w:rsid w:val="65126E5D"/>
    <w:rsid w:val="65F853BD"/>
    <w:rsid w:val="66046CB9"/>
    <w:rsid w:val="66063F75"/>
    <w:rsid w:val="66280187"/>
    <w:rsid w:val="6639196C"/>
    <w:rsid w:val="66403896"/>
    <w:rsid w:val="664654C4"/>
    <w:rsid w:val="664D0EA6"/>
    <w:rsid w:val="66661C02"/>
    <w:rsid w:val="667E332D"/>
    <w:rsid w:val="670E3CB3"/>
    <w:rsid w:val="6719727C"/>
    <w:rsid w:val="678215CB"/>
    <w:rsid w:val="6815262B"/>
    <w:rsid w:val="685C53E2"/>
    <w:rsid w:val="688B7E99"/>
    <w:rsid w:val="68B40A6C"/>
    <w:rsid w:val="693500A0"/>
    <w:rsid w:val="693F5F01"/>
    <w:rsid w:val="696F7C4D"/>
    <w:rsid w:val="697F367F"/>
    <w:rsid w:val="69E95812"/>
    <w:rsid w:val="6A005B97"/>
    <w:rsid w:val="6A4E472C"/>
    <w:rsid w:val="6A980073"/>
    <w:rsid w:val="6AF745E3"/>
    <w:rsid w:val="6B067853"/>
    <w:rsid w:val="6B221CCD"/>
    <w:rsid w:val="6B3D0167"/>
    <w:rsid w:val="6B6728A8"/>
    <w:rsid w:val="6BA33119"/>
    <w:rsid w:val="6C11484A"/>
    <w:rsid w:val="6C1506D8"/>
    <w:rsid w:val="6C245446"/>
    <w:rsid w:val="6C253579"/>
    <w:rsid w:val="6C423B7A"/>
    <w:rsid w:val="6C563408"/>
    <w:rsid w:val="6C9D70AC"/>
    <w:rsid w:val="6CD94758"/>
    <w:rsid w:val="6D0B6169"/>
    <w:rsid w:val="6D703898"/>
    <w:rsid w:val="6D78644A"/>
    <w:rsid w:val="6DA72E25"/>
    <w:rsid w:val="6E6669C8"/>
    <w:rsid w:val="6E982E3E"/>
    <w:rsid w:val="6EA76FEE"/>
    <w:rsid w:val="6EA92116"/>
    <w:rsid w:val="6EAB759E"/>
    <w:rsid w:val="6FA44E22"/>
    <w:rsid w:val="6FB75734"/>
    <w:rsid w:val="6FF5468C"/>
    <w:rsid w:val="703B1030"/>
    <w:rsid w:val="7043049A"/>
    <w:rsid w:val="70D171F3"/>
    <w:rsid w:val="70F14C67"/>
    <w:rsid w:val="71200A94"/>
    <w:rsid w:val="713759DF"/>
    <w:rsid w:val="71684312"/>
    <w:rsid w:val="71DC20F5"/>
    <w:rsid w:val="720F3F50"/>
    <w:rsid w:val="723D1E89"/>
    <w:rsid w:val="72641375"/>
    <w:rsid w:val="72B22DA0"/>
    <w:rsid w:val="733D4384"/>
    <w:rsid w:val="73AB3126"/>
    <w:rsid w:val="73C904A4"/>
    <w:rsid w:val="74491E77"/>
    <w:rsid w:val="745663E7"/>
    <w:rsid w:val="7471107A"/>
    <w:rsid w:val="748800A2"/>
    <w:rsid w:val="763B6B65"/>
    <w:rsid w:val="764023BA"/>
    <w:rsid w:val="768E627F"/>
    <w:rsid w:val="76AC52AD"/>
    <w:rsid w:val="76E00DE6"/>
    <w:rsid w:val="771E0CAC"/>
    <w:rsid w:val="773562F1"/>
    <w:rsid w:val="77563857"/>
    <w:rsid w:val="77F16E14"/>
    <w:rsid w:val="788B4960"/>
    <w:rsid w:val="78F27AD5"/>
    <w:rsid w:val="79217C49"/>
    <w:rsid w:val="79433647"/>
    <w:rsid w:val="7943699A"/>
    <w:rsid w:val="7A9D12ED"/>
    <w:rsid w:val="7AFB2B9F"/>
    <w:rsid w:val="7B551B5E"/>
    <w:rsid w:val="7C534773"/>
    <w:rsid w:val="7CCA0853"/>
    <w:rsid w:val="7D055E14"/>
    <w:rsid w:val="7D212F97"/>
    <w:rsid w:val="7D4873D8"/>
    <w:rsid w:val="7E05450C"/>
    <w:rsid w:val="7E91259B"/>
    <w:rsid w:val="7EA72783"/>
    <w:rsid w:val="7EAD395D"/>
    <w:rsid w:val="7EBF5758"/>
    <w:rsid w:val="7FFB1C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ocked="1"/>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4"/>
    <w:qFormat/>
    <w:locked/>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Cambria" w:hAnsi="Cambria" w:eastAsia="黑体"/>
      <w:sz w:val="20"/>
    </w:rPr>
  </w:style>
  <w:style w:type="paragraph" w:styleId="4">
    <w:name w:val="Date"/>
    <w:basedOn w:val="1"/>
    <w:next w:val="1"/>
    <w:link w:val="22"/>
    <w:qFormat/>
    <w:uiPriority w:val="99"/>
    <w:pPr>
      <w:ind w:left="100" w:leftChars="2500"/>
    </w:pPr>
  </w:style>
  <w:style w:type="paragraph" w:styleId="5">
    <w:name w:val="Balloon Text"/>
    <w:basedOn w:val="1"/>
    <w:link w:val="29"/>
    <w:semiHidden/>
    <w:unhideWhenUsed/>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32"/>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paragraph" w:customStyle="1" w:styleId="15">
    <w:name w:val="p15"/>
    <w:basedOn w:val="1"/>
    <w:qFormat/>
    <w:uiPriority w:val="0"/>
    <w:pPr>
      <w:widowControl/>
    </w:pPr>
    <w:rPr>
      <w:rFonts w:ascii="Calibri" w:hAnsi="Calibri" w:cs="宋体"/>
      <w:kern w:val="0"/>
      <w:szCs w:val="21"/>
    </w:rPr>
  </w:style>
  <w:style w:type="paragraph" w:customStyle="1" w:styleId="16">
    <w:name w:val="p0"/>
    <w:basedOn w:val="1"/>
    <w:link w:val="26"/>
    <w:qFormat/>
    <w:uiPriority w:val="0"/>
    <w:pPr>
      <w:widowControl/>
    </w:pPr>
    <w:rPr>
      <w:rFonts w:ascii="Calibri" w:hAnsi="Calibri" w:cs="宋体"/>
      <w:kern w:val="0"/>
      <w:szCs w:val="21"/>
    </w:rPr>
  </w:style>
  <w:style w:type="paragraph" w:customStyle="1" w:styleId="17">
    <w:name w:val="p16"/>
    <w:qFormat/>
    <w:uiPriority w:val="99"/>
    <w:pPr>
      <w:snapToGrid w:val="0"/>
      <w:jc w:val="center"/>
    </w:pPr>
    <w:rPr>
      <w:rFonts w:ascii="方正黑体_GBK" w:hAnsi="方正黑体_GBK" w:eastAsia="宋体" w:cs="宋体"/>
      <w:sz w:val="32"/>
      <w:szCs w:val="32"/>
      <w:lang w:val="en-US" w:eastAsia="zh-CN" w:bidi="ar-SA"/>
    </w:rPr>
  </w:style>
  <w:style w:type="paragraph" w:customStyle="1" w:styleId="18">
    <w:name w:val="Char2"/>
    <w:basedOn w:val="1"/>
    <w:qFormat/>
    <w:uiPriority w:val="99"/>
    <w:rPr>
      <w:szCs w:val="24"/>
    </w:rPr>
  </w:style>
  <w:style w:type="paragraph" w:customStyle="1" w:styleId="19">
    <w:name w:val="无间隔1"/>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0">
    <w:name w:val="日期 Char"/>
    <w:basedOn w:val="11"/>
    <w:link w:val="4"/>
    <w:qFormat/>
    <w:locked/>
    <w:uiPriority w:val="99"/>
    <w:rPr>
      <w:rFonts w:cs="Times New Roman"/>
      <w:kern w:val="2"/>
      <w:sz w:val="21"/>
    </w:rPr>
  </w:style>
  <w:style w:type="character" w:customStyle="1" w:styleId="21">
    <w:name w:val="页眉 Char"/>
    <w:basedOn w:val="11"/>
    <w:link w:val="7"/>
    <w:semiHidden/>
    <w:qFormat/>
    <w:uiPriority w:val="99"/>
    <w:rPr>
      <w:sz w:val="18"/>
      <w:szCs w:val="18"/>
    </w:rPr>
  </w:style>
  <w:style w:type="character" w:customStyle="1" w:styleId="22">
    <w:name w:val="日期 Char1"/>
    <w:basedOn w:val="11"/>
    <w:link w:val="4"/>
    <w:semiHidden/>
    <w:qFormat/>
    <w:uiPriority w:val="99"/>
    <w:rPr>
      <w:szCs w:val="20"/>
    </w:rPr>
  </w:style>
  <w:style w:type="character" w:customStyle="1" w:styleId="23">
    <w:name w:val="页脚 Char"/>
    <w:basedOn w:val="11"/>
    <w:link w:val="6"/>
    <w:semiHidden/>
    <w:qFormat/>
    <w:uiPriority w:val="99"/>
    <w:rPr>
      <w:sz w:val="18"/>
      <w:szCs w:val="18"/>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p0 Char Char"/>
    <w:basedOn w:val="11"/>
    <w:link w:val="16"/>
    <w:qFormat/>
    <w:locked/>
    <w:uiPriority w:val="0"/>
    <w:rPr>
      <w:rFonts w:ascii="Calibri" w:hAnsi="Calibri" w:cs="宋体"/>
      <w:sz w:val="21"/>
      <w:szCs w:val="21"/>
    </w:rPr>
  </w:style>
  <w:style w:type="paragraph" w:customStyle="1" w:styleId="27">
    <w:name w:val="Char1 Char Char Char Char Char Char"/>
    <w:basedOn w:val="1"/>
    <w:qFormat/>
    <w:uiPriority w:val="0"/>
  </w:style>
  <w:style w:type="character" w:customStyle="1" w:styleId="28">
    <w:name w:val="15"/>
    <w:basedOn w:val="11"/>
    <w:qFormat/>
    <w:uiPriority w:val="0"/>
    <w:rPr>
      <w:rFonts w:hint="default" w:ascii="Times New Roman" w:hAnsi="Times New Roman" w:cs="Times New Roman"/>
      <w:b/>
      <w:bCs/>
    </w:rPr>
  </w:style>
  <w:style w:type="character" w:customStyle="1" w:styleId="29">
    <w:name w:val="批注框文本 Char"/>
    <w:basedOn w:val="11"/>
    <w:link w:val="5"/>
    <w:semiHidden/>
    <w:qFormat/>
    <w:uiPriority w:val="0"/>
    <w:rPr>
      <w:kern w:val="2"/>
      <w:sz w:val="18"/>
      <w:szCs w:val="18"/>
    </w:rPr>
  </w:style>
  <w:style w:type="paragraph" w:customStyle="1" w:styleId="30">
    <w:name w:val="列出段落1"/>
    <w:basedOn w:val="1"/>
    <w:qFormat/>
    <w:uiPriority w:val="34"/>
    <w:pPr>
      <w:ind w:firstLine="420" w:firstLineChars="200"/>
    </w:pPr>
    <w:rPr>
      <w:szCs w:val="24"/>
    </w:rPr>
  </w:style>
  <w:style w:type="character" w:customStyle="1" w:styleId="31">
    <w:name w:val="hei141"/>
    <w:basedOn w:val="11"/>
    <w:qFormat/>
    <w:uiPriority w:val="0"/>
    <w:rPr>
      <w:rFonts w:hint="eastAsia" w:ascii="宋体" w:hAnsi="宋体" w:eastAsia="宋体" w:cs="Times New Roman"/>
      <w:color w:val="000000"/>
      <w:sz w:val="21"/>
      <w:szCs w:val="21"/>
      <w:u w:val="none"/>
    </w:rPr>
  </w:style>
  <w:style w:type="character" w:customStyle="1" w:styleId="32">
    <w:name w:val="副标题 Char"/>
    <w:basedOn w:val="11"/>
    <w:link w:val="8"/>
    <w:qFormat/>
    <w:uiPriority w:val="0"/>
    <w:rPr>
      <w:rFonts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character" w:customStyle="1" w:styleId="34">
    <w:name w:val="标题 1 Char"/>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spc="0" normalizeH="0" baseline="0">
                <a:solidFill>
                  <a:schemeClr val="dk1">
                    <a:lumMod val="50000"/>
                    <a:lumOff val="50000"/>
                  </a:schemeClr>
                </a:solidFill>
                <a:latin typeface="+mj-lt"/>
                <a:ea typeface="+mj-ea"/>
                <a:cs typeface="+mj-cs"/>
              </a:defRPr>
            </a:pPr>
            <a:r>
              <a:rPr>
                <a:solidFill>
                  <a:sysClr val="windowText" lastClr="000000"/>
                </a:solidFill>
              </a:rPr>
              <a:t>（图一 ）  2020年规模以上工业增加值行业构成（%）</a:t>
            </a:r>
            <a:endParaRPr>
              <a:solidFill>
                <a:sysClr val="windowText" lastClr="000000"/>
              </a:solidFill>
            </a:endParaR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a:gsLst>
                  <a:gs pos="0">
                    <a:srgbClr val="9EE256"/>
                  </a:gs>
                  <a:gs pos="100000">
                    <a:srgbClr val="52762D"/>
                  </a:gs>
                </a:gsLst>
                <a:lin ang="5400000" scaled="0"/>
              </a:gradFill>
              <a:ln w="19050">
                <a:solidFill>
                  <a:schemeClr val="lt1"/>
                </a:solidFill>
              </a:ln>
              <a:effectLst/>
            </c:spPr>
          </c:dPt>
          <c:dPt>
            <c:idx val="1"/>
            <c:bubble3D val="0"/>
            <c:spPr>
              <a:gradFill>
                <a:gsLst>
                  <a:gs pos="0">
                    <a:srgbClr val="FBFB11"/>
                  </a:gs>
                  <a:gs pos="100000">
                    <a:srgbClr val="838309"/>
                  </a:gs>
                </a:gsLst>
                <a:lin ang="5400000" scaled="0"/>
              </a:gradFill>
              <a:ln w="19050">
                <a:solidFill>
                  <a:schemeClr val="lt1"/>
                </a:solidFill>
              </a:ln>
              <a:effectLst/>
            </c:spPr>
          </c:dPt>
          <c:dPt>
            <c:idx val="2"/>
            <c:bubble3D val="0"/>
            <c:spPr>
              <a:gradFill>
                <a:gsLst>
                  <a:gs pos="0">
                    <a:srgbClr val="FECF40"/>
                  </a:gs>
                  <a:gs pos="100000">
                    <a:srgbClr val="846C21"/>
                  </a:gs>
                </a:gsLst>
                <a:lin ang="5400000" scaled="0"/>
              </a:gradFill>
              <a:ln w="19050">
                <a:solidFill>
                  <a:schemeClr val="lt1"/>
                </a:solidFill>
              </a:ln>
              <a:effectLst/>
            </c:spPr>
          </c:dPt>
          <c:dPt>
            <c:idx val="3"/>
            <c:bubble3D val="0"/>
            <c:spPr>
              <a:gradFill>
                <a:gsLst>
                  <a:gs pos="0">
                    <a:srgbClr val="007BD3"/>
                  </a:gs>
                  <a:gs pos="100000">
                    <a:srgbClr val="034373"/>
                  </a:gs>
                </a:gsLst>
                <a:lin ang="5400000" scaled="0"/>
              </a:gradFill>
              <a:ln w="19050">
                <a:solidFill>
                  <a:schemeClr val="lt1"/>
                </a:solidFill>
              </a:ln>
              <a:effectLst/>
            </c:spPr>
          </c:dPt>
          <c:dPt>
            <c:idx val="4"/>
            <c:bubble3D val="0"/>
            <c:spPr>
              <a:gradFill>
                <a:gsLst>
                  <a:gs pos="0">
                    <a:srgbClr val="7B32B2"/>
                  </a:gs>
                  <a:gs pos="100000">
                    <a:srgbClr val="401A5D"/>
                  </a:gs>
                </a:gsLst>
                <a:lin ang="5400000" scaled="0"/>
              </a:gradFill>
              <a:ln w="19050">
                <a:solidFill>
                  <a:schemeClr val="lt1"/>
                </a:solidFill>
              </a:ln>
              <a:effectLst/>
            </c:spPr>
          </c:dPt>
          <c:dPt>
            <c:idx val="5"/>
            <c:bubble3D val="0"/>
            <c:spPr>
              <a:gradFill>
                <a:gsLst>
                  <a:gs pos="0">
                    <a:srgbClr val="E30000"/>
                  </a:gs>
                  <a:gs pos="100000">
                    <a:srgbClr val="760303"/>
                  </a:gs>
                </a:gsLst>
                <a:lin ang="5400000" scaled="0"/>
              </a:gradFill>
              <a:ln w="19050">
                <a:solidFill>
                  <a:schemeClr val="lt1"/>
                </a:solidFill>
              </a:ln>
              <a:effectLst/>
            </c:spPr>
          </c:dPt>
          <c:dLbls>
            <c:dLbl>
              <c:idx val="0"/>
              <c:layout>
                <c:manualLayout>
                  <c:x val="-0.15462962474257"/>
                  <c:y val="-0.002692576347735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3152462327891"/>
                  <c:y val="-0.0193006890111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891884386389"/>
                  <c:y val="0.01551535702361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3170522900461"/>
                  <c:y val="0.00357634583232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68986815919883"/>
                  <c:y val="0.004040571252941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1116076738148"/>
                  <c:y val="0.02027503576225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formatCode="@">
                  <c:v>开采专业及辅助性活动</c:v>
                </c:pt>
                <c:pt idx="1" c:formatCode="@">
                  <c:v>石油、煤炭及其他燃料加工业 </c:v>
                </c:pt>
                <c:pt idx="2" c:formatCode="@">
                  <c:v>电力、热力生产和供应业</c:v>
                </c:pt>
                <c:pt idx="3" c:formatCode="@">
                  <c:v>专用设备制造业 </c:v>
                </c:pt>
                <c:pt idx="4" c:formatCode="@">
                  <c:v>电气机械和器材制造业 </c:v>
                </c:pt>
                <c:pt idx="5">
                  <c:v>其他行业</c:v>
                </c:pt>
              </c:strCache>
            </c:strRef>
          </c:cat>
          <c:val>
            <c:numRef>
              <c:f>Sheet1!$B$2:$B$7</c:f>
              <c:numCache>
                <c:formatCode>General</c:formatCode>
                <c:ptCount val="6"/>
                <c:pt idx="0">
                  <c:v>51.5</c:v>
                </c:pt>
                <c:pt idx="1">
                  <c:v>14.2</c:v>
                </c:pt>
                <c:pt idx="2">
                  <c:v>9.3</c:v>
                </c:pt>
                <c:pt idx="3">
                  <c:v>4.7</c:v>
                </c:pt>
                <c:pt idx="4" c:formatCode="0.0_ ">
                  <c:v>8</c:v>
                </c:pt>
                <c:pt idx="5">
                  <c:v>12.3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4930149860317"/>
          <c:y val="0.0945986725481321"/>
          <c:w val="0.932506985013957"/>
          <c:h val="0.665956025569806"/>
        </c:manualLayout>
      </c:layout>
      <c:barChart>
        <c:barDir val="col"/>
        <c:grouping val="stacked"/>
        <c:varyColors val="0"/>
        <c:ser>
          <c:idx val="0"/>
          <c:order val="0"/>
          <c:tx>
            <c:strRef>
              <c:f>Sheet1!$B$1</c:f>
              <c:strCache>
                <c:ptCount val="1"/>
                <c:pt idx="0">
                  <c:v>第一产业</c:v>
                </c:pt>
              </c:strCache>
            </c:strRef>
          </c:tx>
          <c:invertIfNegative val="0"/>
          <c:dLbls>
            <c:delete val="1"/>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0.8</c:v>
                </c:pt>
                <c:pt idx="1">
                  <c:v>0.1</c:v>
                </c:pt>
                <c:pt idx="2">
                  <c:v>0</c:v>
                </c:pt>
                <c:pt idx="3">
                  <c:v>0</c:v>
                </c:pt>
                <c:pt idx="4">
                  <c:v>0</c:v>
                </c:pt>
              </c:numCache>
            </c:numRef>
          </c:val>
        </c:ser>
        <c:ser>
          <c:idx val="1"/>
          <c:order val="1"/>
          <c:tx>
            <c:strRef>
              <c:f>Sheet1!$C$1</c:f>
              <c:strCache>
                <c:ptCount val="1"/>
                <c:pt idx="0">
                  <c:v>第二产业</c:v>
                </c:pt>
              </c:strCache>
            </c:strRef>
          </c:tx>
          <c:spPr>
            <a:solidFill>
              <a:srgbClr val="FFC000"/>
            </a:solidFill>
            <a:effectLst/>
          </c:spPr>
          <c:invertIfNegative val="0"/>
          <c:dLbls>
            <c:numFmt formatCode="#,##0.0_);\(#,##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2016年</c:v>
                </c:pt>
                <c:pt idx="1">
                  <c:v>2017年</c:v>
                </c:pt>
                <c:pt idx="2">
                  <c:v>2018年</c:v>
                </c:pt>
                <c:pt idx="3">
                  <c:v>2019年</c:v>
                </c:pt>
                <c:pt idx="4">
                  <c:v>2020年</c:v>
                </c:pt>
              </c:strCache>
            </c:strRef>
          </c:cat>
          <c:val>
            <c:numRef>
              <c:f>Sheet1!$C$2:$C$6</c:f>
              <c:numCache>
                <c:formatCode>General</c:formatCode>
                <c:ptCount val="5"/>
                <c:pt idx="0">
                  <c:v>84.4</c:v>
                </c:pt>
                <c:pt idx="1">
                  <c:v>78</c:v>
                </c:pt>
                <c:pt idx="2">
                  <c:v>70.6</c:v>
                </c:pt>
                <c:pt idx="3">
                  <c:v>76.2</c:v>
                </c:pt>
                <c:pt idx="4">
                  <c:v>64.6</c:v>
                </c:pt>
              </c:numCache>
            </c:numRef>
          </c:val>
        </c:ser>
        <c:ser>
          <c:idx val="2"/>
          <c:order val="2"/>
          <c:tx>
            <c:strRef>
              <c:f>Sheet1!$D$1</c:f>
              <c:strCache>
                <c:ptCount val="1"/>
                <c:pt idx="0">
                  <c:v>第三产业</c:v>
                </c:pt>
              </c:strCache>
            </c:strRef>
          </c:tx>
          <c:spPr>
            <a:solidFill>
              <a:schemeClr val="accent5"/>
            </a:solidFill>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2016年</c:v>
                </c:pt>
                <c:pt idx="1">
                  <c:v>2017年</c:v>
                </c:pt>
                <c:pt idx="2">
                  <c:v>2018年</c:v>
                </c:pt>
                <c:pt idx="3">
                  <c:v>2019年</c:v>
                </c:pt>
                <c:pt idx="4">
                  <c:v>2020年</c:v>
                </c:pt>
              </c:strCache>
            </c:strRef>
          </c:cat>
          <c:val>
            <c:numRef>
              <c:f>Sheet1!$D$2:$D$6</c:f>
              <c:numCache>
                <c:formatCode>General</c:formatCode>
                <c:ptCount val="5"/>
                <c:pt idx="0">
                  <c:v>14.8</c:v>
                </c:pt>
                <c:pt idx="1">
                  <c:v>21.9</c:v>
                </c:pt>
                <c:pt idx="2">
                  <c:v>29.4</c:v>
                </c:pt>
                <c:pt idx="3">
                  <c:v>23.8</c:v>
                </c:pt>
                <c:pt idx="4">
                  <c:v>35.4</c:v>
                </c:pt>
              </c:numCache>
            </c:numRef>
          </c:val>
        </c:ser>
        <c:dLbls>
          <c:showLegendKey val="0"/>
          <c:showVal val="0"/>
          <c:showCatName val="0"/>
          <c:showSerName val="0"/>
          <c:showPercent val="0"/>
          <c:showBubbleSize val="0"/>
        </c:dLbls>
        <c:gapWidth val="150"/>
        <c:overlap val="100"/>
        <c:axId val="46418944"/>
        <c:axId val="46424832"/>
      </c:barChart>
      <c:catAx>
        <c:axId val="46418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46424832"/>
        <c:crossesAt val="0"/>
        <c:auto val="1"/>
        <c:lblAlgn val="ctr"/>
        <c:lblOffset val="100"/>
        <c:noMultiLvlLbl val="0"/>
      </c:catAx>
      <c:valAx>
        <c:axId val="46424832"/>
        <c:scaling>
          <c:orientation val="minMax"/>
          <c:max val="100"/>
          <c:min val="0"/>
        </c:scaling>
        <c:delete val="0"/>
        <c:axPos val="l"/>
        <c:numFmt formatCode="#,##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46418944"/>
        <c:crosses val="autoZero"/>
        <c:crossBetween val="between"/>
        <c:majorUnit val="20"/>
        <c:minorUnit val="20"/>
      </c:valAx>
    </c:plotArea>
    <c:legend>
      <c:legendPos val="b"/>
      <c:layout>
        <c:manualLayout>
          <c:xMode val="edge"/>
          <c:yMode val="edge"/>
          <c:x val="0.242028049524113"/>
          <c:y val="0.863075681431297"/>
          <c:w val="0.494394867308265"/>
          <c:h val="0.0817994262345114"/>
        </c:manualLayout>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spPr>
    <a:noFill/>
    <a:ln w="25400" cap="flat" cmpd="sng" algn="ctr">
      <a:noFill/>
      <a:prstDash val="solid"/>
      <a:round/>
    </a:ln>
    <a:effectLst/>
  </c:spPr>
  <c:txPr>
    <a:bodyPr/>
    <a:lstStyle/>
    <a:p>
      <a:pPr>
        <a:defRPr lang="zh-CN">
          <a:solidFill>
            <a:schemeClr val="dk1"/>
          </a:solidFill>
          <a:latin typeface="+mn-lt"/>
          <a:ea typeface="+mn-ea"/>
          <a:cs typeface="+mn-cs"/>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887">
          <a:noFill/>
        </a:ln>
      </c:spPr>
      <c:tx>
        <c:rich>
          <a:bodyPr/>
          <a:lstStyle/>
          <a:p>
            <a:pPr>
              <a:defRPr/>
            </a:pPr>
          </a:p>
        </c:rich>
      </c:tx>
    </c:title>
    <c:autoTitleDeleted val="0"/>
    <c:plotArea>
      <c:layout>
        <c:manualLayout>
          <c:layoutTarget val="inner"/>
          <c:xMode val="edge"/>
          <c:yMode val="edge"/>
          <c:x val="0.0834469765353405"/>
          <c:y val="0.195670598646434"/>
          <c:w val="0.830104793886058"/>
          <c:h val="0.603263150099968"/>
        </c:manualLayout>
      </c:layout>
      <c:barChart>
        <c:barDir val="col"/>
        <c:grouping val="clustered"/>
        <c:varyColors val="0"/>
        <c:ser>
          <c:idx val="0"/>
          <c:order val="0"/>
          <c:tx>
            <c:strRef>
              <c:f>Sheet1!$B$1</c:f>
              <c:strCache>
                <c:ptCount val="1"/>
                <c:pt idx="0">
                  <c:v>零售额总量（亿元）</c:v>
                </c:pt>
              </c:strCache>
            </c:strRef>
          </c:tx>
          <c:spPr>
            <a:gradFill>
              <a:gsLst>
                <a:gs pos="0">
                  <a:srgbClr val="FECF40"/>
                </a:gs>
                <a:gs pos="100000">
                  <a:srgbClr val="846C21"/>
                </a:gs>
              </a:gsLst>
              <a:path path="shape">
                <a:fillToRect l="50000" t="50000" r="50000" b="50000"/>
              </a:path>
              <a:tileRect/>
            </a:gradFill>
            <a:ln w="12943">
              <a:noFill/>
            </a:ln>
            <a:effectLst>
              <a:outerShdw blurRad="76200" dir="18900000" sy="23000" kx="-1200000" algn="bl" rotWithShape="0">
                <a:prstClr val="black">
                  <a:alpha val="20000"/>
                </a:prstClr>
              </a:outerShdw>
            </a:effectLst>
            <a:scene3d>
              <a:camera prst="orthographicFront"/>
              <a:lightRig rig="threePt" dir="t"/>
            </a:scene3d>
            <a:sp3d prstMaterial="matte">
              <a:contourClr>
                <a:srgbClr val="000000"/>
              </a:contourClr>
            </a:sp3d>
          </c:spPr>
          <c:invertIfNegative val="0"/>
          <c:dLbls>
            <c:dLbl>
              <c:idx val="0"/>
              <c:layout>
                <c:manualLayout>
                  <c:x val="0"/>
                  <c:y val="0.001130844697599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81579581025765"/>
                  <c:y val="0.0104829574653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0786167572743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0789790512882"/>
                  <c:y val="-0.0112593623500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36512074565204"/>
                  <c:y val="2.14236765252328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887">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formatCode="yyyy/m/d">
                  <c:v>2016年</c:v>
                </c:pt>
                <c:pt idx="1" c:formatCode="yyyy/m/d">
                  <c:v>2017年</c:v>
                </c:pt>
                <c:pt idx="2" c:formatCode="yyyy/m/d">
                  <c:v>2018年</c:v>
                </c:pt>
                <c:pt idx="3" c:formatCode="yyyy/m/d">
                  <c:v>2019年</c:v>
                </c:pt>
                <c:pt idx="4" c:formatCode="yyyy/m/d">
                  <c:v>2020年</c:v>
                </c:pt>
              </c:strCache>
            </c:strRef>
          </c:cat>
          <c:val>
            <c:numRef>
              <c:f>Sheet1!$B$2:$B$6</c:f>
              <c:numCache>
                <c:formatCode>General</c:formatCode>
                <c:ptCount val="5"/>
                <c:pt idx="0">
                  <c:v>181.2</c:v>
                </c:pt>
                <c:pt idx="1">
                  <c:v>191.1</c:v>
                </c:pt>
                <c:pt idx="2">
                  <c:v>204.1</c:v>
                </c:pt>
                <c:pt idx="3">
                  <c:v>216.6</c:v>
                </c:pt>
                <c:pt idx="4" c:formatCode="0.0_ ;[Red]\-0.0\ ">
                  <c:v>190.9</c:v>
                </c:pt>
              </c:numCache>
            </c:numRef>
          </c:val>
        </c:ser>
        <c:dLbls>
          <c:showLegendKey val="0"/>
          <c:showVal val="1"/>
          <c:showCatName val="0"/>
          <c:showSerName val="0"/>
          <c:showPercent val="0"/>
          <c:showBubbleSize val="0"/>
        </c:dLbls>
        <c:gapWidth val="150"/>
        <c:axId val="46586112"/>
        <c:axId val="284471296"/>
      </c:barChart>
      <c:lineChart>
        <c:grouping val="standard"/>
        <c:varyColors val="0"/>
        <c:ser>
          <c:idx val="1"/>
          <c:order val="1"/>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formatCode="yyyy/m/d">
                  <c:v>2016年</c:v>
                </c:pt>
                <c:pt idx="1" c:formatCode="yyyy/m/d">
                  <c:v>2017年</c:v>
                </c:pt>
                <c:pt idx="2" c:formatCode="yyyy/m/d">
                  <c:v>2018年</c:v>
                </c:pt>
                <c:pt idx="3" c:formatCode="yyyy/m/d">
                  <c:v>2019年</c:v>
                </c:pt>
                <c:pt idx="4" c:formatCode="yyyy/m/d">
                  <c:v>2020年</c:v>
                </c:pt>
              </c:strCache>
            </c:strRef>
          </c:cat>
          <c:val>
            <c:numRef>
              <c:f>Sheet1!#REF!</c:f>
              <c:numCache>
                <c:formatCode>General</c:formatCode>
                <c:ptCount val="1"/>
                <c:pt idx="0">
                  <c:v>1</c:v>
                </c:pt>
              </c:numCache>
            </c:numRef>
          </c:val>
          <c:smooth val="0"/>
        </c:ser>
        <c:ser>
          <c:idx val="2"/>
          <c:order val="2"/>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formatCode="yyyy/m/d">
                  <c:v>2016年</c:v>
                </c:pt>
                <c:pt idx="1" c:formatCode="yyyy/m/d">
                  <c:v>2017年</c:v>
                </c:pt>
                <c:pt idx="2" c:formatCode="yyyy/m/d">
                  <c:v>2018年</c:v>
                </c:pt>
                <c:pt idx="3" c:formatCode="yyyy/m/d">
                  <c:v>2019年</c:v>
                </c:pt>
                <c:pt idx="4" c:formatCode="yyyy/m/d">
                  <c:v>2020年</c:v>
                </c:pt>
              </c:strCache>
            </c:strRef>
          </c:cat>
          <c:val>
            <c:numRef>
              <c:f>Sheet1!#REF!</c:f>
              <c:numCache>
                <c:formatCode>General</c:formatCode>
                <c:ptCount val="1"/>
                <c:pt idx="0">
                  <c:v>1</c:v>
                </c:pt>
              </c:numCache>
            </c:numRef>
          </c:val>
          <c:smooth val="0"/>
        </c:ser>
        <c:ser>
          <c:idx val="3"/>
          <c:order val="3"/>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formatCode="yyyy/m/d">
                  <c:v>2016年</c:v>
                </c:pt>
                <c:pt idx="1" c:formatCode="yyyy/m/d">
                  <c:v>2017年</c:v>
                </c:pt>
                <c:pt idx="2" c:formatCode="yyyy/m/d">
                  <c:v>2018年</c:v>
                </c:pt>
                <c:pt idx="3" c:formatCode="yyyy/m/d">
                  <c:v>2019年</c:v>
                </c:pt>
                <c:pt idx="4" c:formatCode="yyyy/m/d">
                  <c:v>2020年</c:v>
                </c:pt>
              </c:strCache>
            </c:strRef>
          </c:cat>
          <c:val>
            <c:numRef>
              <c:f>Sheet1!#REF!</c:f>
              <c:numCache>
                <c:formatCode>General</c:formatCode>
                <c:ptCount val="1"/>
                <c:pt idx="0">
                  <c:v>1</c:v>
                </c:pt>
              </c:numCache>
            </c:numRef>
          </c:val>
          <c:smooth val="0"/>
        </c:ser>
        <c:ser>
          <c:idx val="4"/>
          <c:order val="4"/>
          <c:tx>
            <c:strRef>
              <c:f>Sheet1!$C$1</c:f>
              <c:strCache>
                <c:ptCount val="1"/>
                <c:pt idx="0">
                  <c:v>增速(%)</c:v>
                </c:pt>
              </c:strCache>
            </c:strRef>
          </c:tx>
          <c:spPr>
            <a:ln w="19414" cap="rnd" cmpd="sng" algn="ctr">
              <a:solidFill>
                <a:schemeClr val="tx1"/>
              </a:solidFill>
              <a:prstDash val="solid"/>
              <a:round/>
            </a:ln>
          </c:spPr>
          <c:marker>
            <c:symbol val="circle"/>
            <c:size val="5"/>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dPt>
            <c:idx val="1"/>
            <c:marker>
              <c:symbol val="circle"/>
              <c:size val="5"/>
              <c:spPr>
                <a:solidFill>
                  <a:schemeClr val="accent1">
                    <a:lumMod val="75000"/>
                  </a:schemeClr>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Pt>
            <c:idx val="2"/>
            <c:marker>
              <c:symbol val="circle"/>
              <c:size val="5"/>
              <c:spPr>
                <a:solidFill>
                  <a:srgbClr val="0070C0"/>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Lbls>
            <c:dLbl>
              <c:idx val="0"/>
              <c:layout>
                <c:manualLayout>
                  <c:x val="-0.0385263664820612"/>
                  <c:y val="-0.0577915376676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8947748615459"/>
                  <c:y val="-0.04606714180223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8724553543496"/>
                  <c:y val="-0.050962256099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45229992169592"/>
                  <c:y val="0.04863554231325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639645754611"/>
                  <c:y val="-0.059417739018692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1">
                  <a:lumMod val="60000"/>
                  <a:lumOff val="40000"/>
                </a:schemeClr>
              </a:solidFill>
              <a:ln w="12943">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formatCode="yyyy/m/d">
                  <c:v>2016年</c:v>
                </c:pt>
                <c:pt idx="1" c:formatCode="yyyy/m/d">
                  <c:v>2017年</c:v>
                </c:pt>
                <c:pt idx="2" c:formatCode="yyyy/m/d">
                  <c:v>2018年</c:v>
                </c:pt>
                <c:pt idx="3" c:formatCode="yyyy/m/d">
                  <c:v>2019年</c:v>
                </c:pt>
                <c:pt idx="4" c:formatCode="yyyy/m/d">
                  <c:v>2020年</c:v>
                </c:pt>
              </c:strCache>
            </c:strRef>
          </c:cat>
          <c:val>
            <c:numRef>
              <c:f>Sheet1!$C$2:$C$6</c:f>
              <c:numCache>
                <c:formatCode>0.0_ ;[Red]\-0.0\ </c:formatCode>
                <c:ptCount val="5"/>
                <c:pt idx="0">
                  <c:v>7.4</c:v>
                </c:pt>
                <c:pt idx="1">
                  <c:v>5.4</c:v>
                </c:pt>
                <c:pt idx="2">
                  <c:v>7.5</c:v>
                </c:pt>
                <c:pt idx="3">
                  <c:v>6.1</c:v>
                </c:pt>
                <c:pt idx="4">
                  <c:v>0.2</c:v>
                </c:pt>
              </c:numCache>
            </c:numRef>
          </c:val>
          <c:smooth val="0"/>
        </c:ser>
        <c:dLbls>
          <c:showLegendKey val="0"/>
          <c:showVal val="0"/>
          <c:showCatName val="0"/>
          <c:showSerName val="0"/>
          <c:showPercent val="0"/>
          <c:showBubbleSize val="0"/>
        </c:dLbls>
        <c:hiLowLines>
          <c:spPr>
            <a:ln w="9525" cap="flat" cmpd="sng" algn="ctr">
              <a:noFill/>
              <a:prstDash val="solid"/>
              <a:round/>
            </a:ln>
          </c:spPr>
        </c:hiLowLines>
        <c:marker val="1"/>
        <c:smooth val="0"/>
        <c:axId val="284472832"/>
        <c:axId val="284474368"/>
      </c:lineChart>
      <c:catAx>
        <c:axId val="46586112"/>
        <c:scaling>
          <c:orientation val="minMax"/>
        </c:scaling>
        <c:delete val="0"/>
        <c:axPos val="b"/>
        <c:numFmt formatCode="m\/d\/yyyy"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471296"/>
        <c:crosses val="autoZero"/>
        <c:auto val="1"/>
        <c:lblAlgn val="ctr"/>
        <c:lblOffset val="100"/>
        <c:noMultiLvlLbl val="0"/>
      </c:catAx>
      <c:valAx>
        <c:axId val="284471296"/>
        <c:scaling>
          <c:orientation val="minMax"/>
        </c:scaling>
        <c:delete val="0"/>
        <c:axPos val="l"/>
        <c:majorGridlines>
          <c:spPr>
            <a:ln w="0" cap="flat" cmpd="sng" algn="ctr">
              <a:solidFill>
                <a:schemeClr val="bg1">
                  <a:lumMod val="85000"/>
                </a:schemeClr>
              </a:solidFill>
              <a:prstDash val="solid"/>
              <a:round/>
            </a:ln>
            <a:effectLst/>
          </c:spPr>
        </c:majorGridlines>
        <c:numFmt formatCode="General" sourceLinked="1"/>
        <c:majorTickMark val="out"/>
        <c:minorTickMark val="none"/>
        <c:tickLblPos val="nextTo"/>
        <c:spPr>
          <a:noFill/>
          <a:ln w="9525" cap="flat" cmpd="sng" algn="ctr">
            <a:solidFill>
              <a:schemeClr val="dk1">
                <a:shade val="95000"/>
                <a:satMod val="105000"/>
              </a:schemeClr>
            </a:solidFill>
            <a:prstDash val="solid"/>
            <a:round/>
          </a:ln>
          <a:sp3d>
            <a:extrusionClr>
              <a:srgbClr val="FFFFFF"/>
            </a:extrusionClr>
            <a:contourClr>
              <a:srgbClr val="FFFFFF"/>
            </a:contourClr>
          </a:sp3d>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586112"/>
        <c:crosses val="autoZero"/>
        <c:crossBetween val="between"/>
      </c:valAx>
      <c:catAx>
        <c:axId val="284472832"/>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474368"/>
        <c:crosses val="autoZero"/>
        <c:auto val="1"/>
        <c:lblAlgn val="ctr"/>
        <c:lblOffset val="100"/>
        <c:noMultiLvlLbl val="0"/>
      </c:catAx>
      <c:valAx>
        <c:axId val="284474368"/>
        <c:scaling>
          <c:orientation val="minMax"/>
        </c:scaling>
        <c:delete val="0"/>
        <c:axPos val="r"/>
        <c:numFmt formatCode="0.0_);\(0.0\)" sourceLinked="0"/>
        <c:majorTickMark val="out"/>
        <c:minorTickMark val="none"/>
        <c:tickLblPos val="nextTo"/>
        <c:spPr>
          <a:noFill/>
          <a:ln w="12943"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472832"/>
        <c:crosses val="max"/>
        <c:crossBetween val="between"/>
      </c:valAx>
      <c:spPr>
        <a:noFill/>
        <a:ln>
          <a:noFill/>
        </a:ln>
      </c:spPr>
    </c:plotArea>
    <c:legend>
      <c:legendPos val="r"/>
      <c:legendEntry>
        <c:idx val="1"/>
        <c:delete val="1"/>
      </c:legendEntry>
      <c:legendEntry>
        <c:idx val="2"/>
        <c:delete val="1"/>
      </c:legendEntry>
      <c:legendEntry>
        <c:idx val="3"/>
        <c:delete val="1"/>
      </c:legendEntry>
      <c:layout>
        <c:manualLayout>
          <c:xMode val="edge"/>
          <c:yMode val="edge"/>
          <c:x val="0.260489413789227"/>
          <c:y val="0.90322574740193"/>
          <c:w val="0.477272773832135"/>
          <c:h val="0.070380914055835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税收收入</c:v>
                </c:pt>
              </c:strCache>
            </c:strRef>
          </c:tx>
          <c:spPr>
            <a:solidFill>
              <a:schemeClr val="accent2">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30.9</c:v>
                </c:pt>
                <c:pt idx="1">
                  <c:v>31.9</c:v>
                </c:pt>
                <c:pt idx="2">
                  <c:v>31.3</c:v>
                </c:pt>
                <c:pt idx="3" c:formatCode="0.0_ ">
                  <c:v>39.4</c:v>
                </c:pt>
                <c:pt idx="4">
                  <c:v>36.7</c:v>
                </c:pt>
              </c:numCache>
            </c:numRef>
          </c:val>
        </c:ser>
        <c:ser>
          <c:idx val="1"/>
          <c:order val="1"/>
          <c:tx>
            <c:strRef>
              <c:f>Sheet1!$C$1</c:f>
              <c:strCache>
                <c:ptCount val="1"/>
                <c:pt idx="0">
                  <c:v>一般公共预算收入</c:v>
                </c:pt>
              </c:strCache>
            </c:strRef>
          </c:tx>
          <c:spPr>
            <a:solidFill>
              <a:schemeClr val="accent1">
                <a:lumMod val="75000"/>
              </a:schemeClr>
            </a:solidFill>
          </c:spPr>
          <c:invertIfNegative val="0"/>
          <c:dLbls>
            <c:dLbl>
              <c:idx val="3"/>
              <c:layout>
                <c:manualLayout>
                  <c:x val="0.000402775489280693"/>
                  <c:y val="-0.00464551602351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2016年</c:v>
                </c:pt>
                <c:pt idx="1">
                  <c:v>2017年</c:v>
                </c:pt>
                <c:pt idx="2">
                  <c:v>2018年</c:v>
                </c:pt>
                <c:pt idx="3">
                  <c:v>2019年</c:v>
                </c:pt>
                <c:pt idx="4">
                  <c:v>2020年</c:v>
                </c:pt>
              </c:strCache>
            </c:strRef>
          </c:cat>
          <c:val>
            <c:numRef>
              <c:f>Sheet1!$C$2:$C$6</c:f>
              <c:numCache>
                <c:formatCode>General</c:formatCode>
                <c:ptCount val="5"/>
                <c:pt idx="0">
                  <c:v>18.3</c:v>
                </c:pt>
                <c:pt idx="1">
                  <c:v>18.9</c:v>
                </c:pt>
                <c:pt idx="2">
                  <c:v>18.2</c:v>
                </c:pt>
                <c:pt idx="3">
                  <c:v>20.4</c:v>
                </c:pt>
                <c:pt idx="4">
                  <c:v>19.9</c:v>
                </c:pt>
              </c:numCache>
            </c:numRef>
          </c:val>
        </c:ser>
        <c:ser>
          <c:idx val="2"/>
          <c:order val="2"/>
          <c:tx>
            <c:strRef>
              <c:f>Sheet1!$D$1</c:f>
              <c:strCache>
                <c:ptCount val="1"/>
                <c:pt idx="0">
                  <c:v>一般公共预算支出</c:v>
                </c:pt>
              </c:strCache>
            </c:strRef>
          </c:tx>
          <c:spPr>
            <a:solidFill>
              <a:schemeClr val="accent6">
                <a:lumMod val="75000"/>
              </a:schemeClr>
            </a:solidFill>
          </c:spPr>
          <c:invertIfNegative val="0"/>
          <c:dPt>
            <c:idx val="0"/>
            <c:invertIfNegative val="0"/>
            <c:bubble3D val="0"/>
            <c:spPr>
              <a:solidFill>
                <a:schemeClr val="accent6">
                  <a:lumMod val="75000"/>
                </a:schemeClr>
              </a:solidFill>
            </c:spPr>
          </c:dPt>
          <c:dPt>
            <c:idx val="1"/>
            <c:invertIfNegative val="0"/>
            <c:bubble3D val="0"/>
            <c:spPr>
              <a:solidFill>
                <a:schemeClr val="accent6">
                  <a:lumMod val="75000"/>
                </a:schemeClr>
              </a:solidFill>
            </c:spPr>
          </c:dPt>
          <c:dPt>
            <c:idx val="2"/>
            <c:invertIfNegative val="0"/>
            <c:bubble3D val="0"/>
            <c:spPr>
              <a:solidFill>
                <a:schemeClr val="accent6">
                  <a:lumMod val="75000"/>
                </a:schemeClr>
              </a:solidFill>
            </c:spPr>
          </c:dPt>
          <c:dPt>
            <c:idx val="3"/>
            <c:invertIfNegative val="0"/>
            <c:bubble3D val="0"/>
            <c:spPr>
              <a:solidFill>
                <a:schemeClr val="accent6">
                  <a:lumMod val="75000"/>
                </a:schemeClr>
              </a:solidFill>
            </c:spPr>
          </c:dPt>
          <c:dPt>
            <c:idx val="4"/>
            <c:invertIfNegative val="0"/>
            <c:bubble3D val="0"/>
            <c:spPr>
              <a:solidFill>
                <a:schemeClr val="accent6">
                  <a:lumMod val="75000"/>
                </a:schemeClr>
              </a:solidFill>
            </c:spPr>
          </c:dPt>
          <c:dLbls>
            <c:dLbl>
              <c:idx val="3"/>
              <c:layout>
                <c:manualLayout>
                  <c:x val="0.0141093474426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2016年</c:v>
                </c:pt>
                <c:pt idx="1">
                  <c:v>2017年</c:v>
                </c:pt>
                <c:pt idx="2">
                  <c:v>2018年</c:v>
                </c:pt>
                <c:pt idx="3">
                  <c:v>2019年</c:v>
                </c:pt>
                <c:pt idx="4">
                  <c:v>2020年</c:v>
                </c:pt>
              </c:strCache>
            </c:strRef>
          </c:cat>
          <c:val>
            <c:numRef>
              <c:f>Sheet1!$D$2:$D$6</c:f>
              <c:numCache>
                <c:formatCode>General</c:formatCode>
                <c:ptCount val="5"/>
                <c:pt idx="0">
                  <c:v>15.8</c:v>
                </c:pt>
                <c:pt idx="1">
                  <c:v>22.5</c:v>
                </c:pt>
                <c:pt idx="2">
                  <c:v>22.9</c:v>
                </c:pt>
                <c:pt idx="3">
                  <c:v>22.3</c:v>
                </c:pt>
                <c:pt idx="4">
                  <c:v>22.4</c:v>
                </c:pt>
              </c:numCache>
            </c:numRef>
          </c:val>
        </c:ser>
        <c:dLbls>
          <c:showLegendKey val="0"/>
          <c:showVal val="1"/>
          <c:showCatName val="0"/>
          <c:showSerName val="0"/>
          <c:showPercent val="0"/>
          <c:showBubbleSize val="0"/>
        </c:dLbls>
        <c:gapWidth val="150"/>
        <c:axId val="46498560"/>
        <c:axId val="46500096"/>
      </c:barChart>
      <c:catAx>
        <c:axId val="4649856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500096"/>
        <c:crosses val="autoZero"/>
        <c:auto val="1"/>
        <c:lblAlgn val="ctr"/>
        <c:lblOffset val="100"/>
        <c:noMultiLvlLbl val="0"/>
      </c:catAx>
      <c:valAx>
        <c:axId val="46500096"/>
        <c:scaling>
          <c:orientation val="minMax"/>
        </c:scaling>
        <c:delete val="0"/>
        <c:axPos val="l"/>
        <c:majorGridlines>
          <c:spPr>
            <a:ln w="0" cap="flat" cmpd="sng" algn="ctr">
              <a:solidFill>
                <a:schemeClr val="bg1"/>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498560"/>
        <c:crosses val="autoZero"/>
        <c:crossBetween val="between"/>
      </c:valAx>
      <c:spPr>
        <a:solidFill>
          <a:schemeClr val="bg1"/>
        </a:solid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0.80606</cdr:x>
      <cdr:y>0</cdr:y>
    </cdr:from>
    <cdr:to>
      <cdr:x>1</cdr:x>
      <cdr:y>0.08273</cdr:y>
    </cdr:to>
    <cdr:sp>
      <cdr:nvSpPr>
        <cdr:cNvPr id="2" name="矩形 1"/>
        <cdr:cNvSpPr/>
      </cdr:nvSpPr>
      <cdr:spPr xmlns:a="http://schemas.openxmlformats.org/drawingml/2006/main">
        <a:xfrm xmlns:a="http://schemas.openxmlformats.org/drawingml/2006/main">
          <a:off x="3800475" y="0"/>
          <a:ext cx="914400" cy="3238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dr:relSizeAnchor xmlns:cdr="http://schemas.openxmlformats.org/drawingml/2006/chartDrawing">
    <cdr:from>
      <cdr:x>0.02781</cdr:x>
      <cdr:y>0.03163</cdr:y>
    </cdr:from>
    <cdr:to>
      <cdr:x>0.09899</cdr:x>
      <cdr:y>0.12737</cdr:y>
    </cdr:to>
    <cdr:sp>
      <cdr:nvSpPr>
        <cdr:cNvPr id="3" name="矩形 2"/>
        <cdr:cNvSpPr/>
      </cdr:nvSpPr>
      <cdr:spPr xmlns:a="http://schemas.openxmlformats.org/drawingml/2006/main">
        <a:xfrm xmlns:a="http://schemas.openxmlformats.org/drawingml/2006/main" rot="16200000" flipH="1" flipV="1">
          <a:off x="131109" y="123826"/>
          <a:ext cx="335616" cy="37478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0.87071</cdr:x>
      <cdr:y>0</cdr:y>
    </cdr:from>
    <cdr:to>
      <cdr:x>1</cdr:x>
      <cdr:y>0.07056</cdr:y>
    </cdr:to>
    <cdr:sp>
      <cdr:nvSpPr>
        <cdr:cNvPr id="4" name="矩形 3"/>
        <cdr:cNvSpPr/>
      </cdr:nvSpPr>
      <cdr:spPr xmlns:a="http://schemas.openxmlformats.org/drawingml/2006/main">
        <a:xfrm xmlns:a="http://schemas.openxmlformats.org/drawingml/2006/main">
          <a:off x="4105275" y="0"/>
          <a:ext cx="609600" cy="2762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zh-CN" altLang="en-US" sz="1000" b="1"/>
            <a:t>单位</a:t>
          </a:r>
          <a:r>
            <a:rPr lang="en-US" altLang="zh-CN" sz="1000" b="1"/>
            <a:t>%</a:t>
          </a:r>
          <a:endParaRPr lang="zh-CN" altLang="en-US"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0.01184</cdr:x>
      <cdr:y>0.06382</cdr:y>
    </cdr:from>
    <cdr:to>
      <cdr:x>0.11024</cdr:x>
      <cdr:y>0.08229</cdr:y>
    </cdr:to>
    <cdr:sp>
      <cdr:nvSpPr>
        <cdr:cNvPr id="2" name="矩形 1"/>
        <cdr:cNvSpPr/>
      </cdr:nvSpPr>
      <cdr:spPr xmlns:a="http://schemas.openxmlformats.org/drawingml/2006/main">
        <a:xfrm xmlns:a="http://schemas.openxmlformats.org/drawingml/2006/main">
          <a:off x="57150" y="180975"/>
          <a:ext cx="495300" cy="51441"/>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0.85867</cdr:x>
      <cdr:y>0.05044</cdr:y>
    </cdr:from>
    <cdr:to>
      <cdr:x>0.98972</cdr:x>
      <cdr:y>0.09034</cdr:y>
    </cdr:to>
    <cdr:sp>
      <cdr:nvSpPr>
        <cdr:cNvPr id="3" name="矩形 2"/>
        <cdr:cNvSpPr/>
      </cdr:nvSpPr>
      <cdr:spPr xmlns:a="http://schemas.openxmlformats.org/drawingml/2006/main">
        <a:xfrm xmlns:a="http://schemas.openxmlformats.org/drawingml/2006/main">
          <a:off x="4578984" y="142875"/>
          <a:ext cx="647701" cy="114300"/>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0.07439</cdr:x>
      <cdr:y>0</cdr:y>
    </cdr:from>
    <cdr:to>
      <cdr:x>0.15514</cdr:x>
      <cdr:y>0.06516</cdr:y>
    </cdr:to>
    <cdr:sp>
      <cdr:nvSpPr>
        <cdr:cNvPr id="2" name="矩形 1"/>
        <cdr:cNvSpPr/>
      </cdr:nvSpPr>
      <cdr:spPr xmlns:a="http://schemas.openxmlformats.org/drawingml/2006/main">
        <a:xfrm xmlns:a="http://schemas.openxmlformats.org/drawingml/2006/main">
          <a:off x="409574" y="0"/>
          <a:ext cx="444541" cy="28053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亿元</a:t>
          </a:r>
          <a:endParaRPr lang="zh-CN" altLang="en-US" sz="1100" b="1"/>
        </a:p>
      </cdr:txBody>
    </cdr:sp>
  </cdr:relSizeAnchor>
  <cdr:relSizeAnchor xmlns:cdr="http://schemas.openxmlformats.org/drawingml/2006/chartDrawing">
    <cdr:from>
      <cdr:x>0.00843</cdr:x>
      <cdr:y>0</cdr:y>
    </cdr:from>
    <cdr:to>
      <cdr:x>0.17032</cdr:x>
      <cdr:y>0.13784</cdr:y>
    </cdr:to>
    <cdr:sp>
      <cdr:nvSpPr>
        <cdr:cNvPr id="3" name="矩形 2"/>
        <cdr:cNvSpPr/>
      </cdr:nvSpPr>
      <cdr:spPr xmlns:a="http://schemas.openxmlformats.org/drawingml/2006/main">
        <a:xfrm xmlns:a="http://schemas.openxmlformats.org/drawingml/2006/main">
          <a:off x="47625" y="0"/>
          <a:ext cx="914400" cy="5238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0.10287</cdr:x>
      <cdr:y>0.13283</cdr:y>
    </cdr:from>
    <cdr:to>
      <cdr:x>0.26476</cdr:x>
      <cdr:y>0.37343</cdr:y>
    </cdr:to>
    <cdr:sp>
      <cdr:nvSpPr>
        <cdr:cNvPr id="4" name="矩形 3"/>
        <cdr:cNvSpPr/>
      </cdr:nvSpPr>
      <cdr:spPr xmlns:a="http://schemas.openxmlformats.org/drawingml/2006/main">
        <a:xfrm xmlns:a="http://schemas.openxmlformats.org/drawingml/2006/main">
          <a:off x="581025" y="5048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0.83811</cdr:x>
      <cdr:y>0.01754</cdr:y>
    </cdr:from>
    <cdr:to>
      <cdr:x>1</cdr:x>
      <cdr:y>0.25815</cdr:y>
    </cdr:to>
    <cdr:sp>
      <cdr:nvSpPr>
        <cdr:cNvPr id="5" name="矩形 4"/>
        <cdr:cNvSpPr/>
      </cdr:nvSpPr>
      <cdr:spPr xmlns:a="http://schemas.openxmlformats.org/drawingml/2006/main">
        <a:xfrm xmlns:a="http://schemas.openxmlformats.org/drawingml/2006/main">
          <a:off x="5181600" y="66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userShape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BEDB8-B6CF-4003-A7AA-BBE3A50A53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661</Words>
  <Characters>3768</Characters>
  <Lines>31</Lines>
  <Paragraphs>8</Paragraphs>
  <TotalTime>5</TotalTime>
  <ScaleCrop>false</ScaleCrop>
  <LinksUpToDate>false</LinksUpToDate>
  <CharactersWithSpaces>4421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2019-04-17T06:46:00Z</dcterms:created>
  <dc:creator>john</dc:creator>
  <cp:lastModifiedBy>圆</cp:lastModifiedBy>
  <cp:lastPrinted>2019-04-18T00:06:00Z</cp:lastPrinted>
  <dcterms:modified xsi:type="dcterms:W3CDTF">2021-07-01T01:38:20Z</dcterms:modified>
  <dc:title>根据年快报初步统计，现将2011年全区国民经济和社会发展情况公报如下：</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6A08B1190BB048249FEBBD2E59525EF8</vt:lpwstr>
  </property>
</Properties>
</file>