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4E" w:rsidRDefault="00FB1C4E">
      <w:pPr>
        <w:jc w:val="center"/>
        <w:rPr>
          <w:rFonts w:ascii="仿宋_GB2312" w:eastAsia="仿宋_GB2312" w:hAnsi="宋体" w:cs="黑体"/>
          <w:b/>
          <w:spacing w:val="20"/>
          <w:w w:val="105"/>
          <w:sz w:val="36"/>
          <w:szCs w:val="36"/>
        </w:rPr>
      </w:pPr>
      <w:r>
        <w:rPr>
          <w:rFonts w:ascii="仿宋_GB2312" w:eastAsia="仿宋_GB2312" w:hAnsi="宋体" w:cs="黑体" w:hint="eastAsia"/>
          <w:b/>
          <w:spacing w:val="20"/>
          <w:w w:val="105"/>
          <w:sz w:val="36"/>
          <w:szCs w:val="36"/>
        </w:rPr>
        <w:t>盘锦市</w:t>
      </w:r>
      <w:r w:rsidR="00295B87" w:rsidRPr="00FB1C4E">
        <w:rPr>
          <w:rFonts w:ascii="仿宋_GB2312" w:eastAsia="仿宋_GB2312" w:hAnsi="宋体" w:cs="黑体" w:hint="eastAsia"/>
          <w:b/>
          <w:spacing w:val="20"/>
          <w:w w:val="105"/>
          <w:sz w:val="36"/>
          <w:szCs w:val="36"/>
        </w:rPr>
        <w:t>防火门产品质量</w:t>
      </w:r>
    </w:p>
    <w:p w:rsidR="009F252B" w:rsidRPr="00FB1C4E" w:rsidRDefault="00295B87">
      <w:pPr>
        <w:jc w:val="center"/>
        <w:rPr>
          <w:rFonts w:ascii="仿宋_GB2312" w:eastAsia="仿宋_GB2312" w:hAnsi="宋体"/>
          <w:sz w:val="36"/>
          <w:szCs w:val="36"/>
        </w:rPr>
      </w:pPr>
      <w:r w:rsidRPr="00FB1C4E">
        <w:rPr>
          <w:rFonts w:ascii="仿宋_GB2312" w:eastAsia="仿宋_GB2312" w:hAnsi="宋体" w:cs="黑体" w:hint="eastAsia"/>
          <w:b/>
          <w:spacing w:val="20"/>
          <w:w w:val="105"/>
          <w:sz w:val="36"/>
          <w:szCs w:val="36"/>
        </w:rPr>
        <w:t>监督抽查实施细则</w:t>
      </w:r>
    </w:p>
    <w:p w:rsidR="009F252B" w:rsidRPr="00FB1C4E" w:rsidRDefault="009F252B">
      <w:pPr>
        <w:jc w:val="center"/>
        <w:rPr>
          <w:rFonts w:ascii="仿宋_GB2312" w:eastAsia="仿宋_GB2312" w:hAnsi="宋体"/>
          <w:szCs w:val="32"/>
        </w:rPr>
      </w:pP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1适用</w:t>
      </w:r>
      <w:r w:rsidRPr="00FB1C4E">
        <w:rPr>
          <w:rFonts w:ascii="仿宋_GB2312" w:eastAsia="仿宋_GB2312" w:hAnsi="宋体" w:hint="eastAsia"/>
          <w:sz w:val="28"/>
          <w:szCs w:val="28"/>
        </w:rPr>
        <w:t>范围</w:t>
      </w:r>
    </w:p>
    <w:p w:rsidR="009F252B" w:rsidRPr="00FB1C4E" w:rsidRDefault="00295B87" w:rsidP="00295B87">
      <w:pPr>
        <w:adjustRightInd w:val="0"/>
        <w:snapToGrid w:val="0"/>
        <w:spacing w:line="360" w:lineRule="auto"/>
        <w:ind w:firstLineChars="200" w:firstLine="560"/>
        <w:rPr>
          <w:rFonts w:ascii="仿宋_GB2312" w:eastAsia="仿宋_GB2312"/>
          <w:kern w:val="0"/>
          <w:sz w:val="28"/>
          <w:szCs w:val="28"/>
        </w:rPr>
      </w:pPr>
      <w:r w:rsidRPr="00FB1C4E">
        <w:rPr>
          <w:rFonts w:ascii="仿宋_GB2312" w:eastAsia="仿宋_GB2312" w:hAnsi="宋体" w:hint="eastAsia"/>
          <w:sz w:val="28"/>
          <w:szCs w:val="28"/>
        </w:rPr>
        <w:t>本细则适用于大连市防火门产品质量监督抽查，针对特殊情况的专项抽查、大连市内县级以上地方市场监督管理部门组织的地方监督抽查可参照执行。本细则内容包括产品分类、术语和定义、企业规模划分、检验依据、抽样、检验要求、判定原则及异议处理及附则。</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2</w:t>
      </w:r>
      <w:r w:rsidRPr="00FB1C4E">
        <w:rPr>
          <w:rFonts w:ascii="仿宋_GB2312" w:eastAsia="仿宋_GB2312" w:hAnsi="宋体" w:hint="eastAsia"/>
          <w:sz w:val="28"/>
          <w:szCs w:val="28"/>
        </w:rPr>
        <w:t>产品分类</w:t>
      </w:r>
    </w:p>
    <w:p w:rsidR="009F252B" w:rsidRPr="00FB1C4E" w:rsidRDefault="00295B87">
      <w:pPr>
        <w:adjustRightInd w:val="0"/>
        <w:snapToGrid w:val="0"/>
        <w:spacing w:line="360" w:lineRule="auto"/>
        <w:ind w:firstLineChars="200" w:firstLine="560"/>
        <w:rPr>
          <w:rFonts w:ascii="仿宋_GB2312" w:eastAsia="仿宋_GB2312" w:hAnsi="宋体"/>
          <w:sz w:val="28"/>
          <w:szCs w:val="28"/>
        </w:rPr>
      </w:pPr>
      <w:r w:rsidRPr="00FB1C4E">
        <w:rPr>
          <w:rFonts w:ascii="仿宋_GB2312" w:eastAsia="仿宋_GB2312" w:hAnsi="宋体" w:hint="eastAsia"/>
          <w:sz w:val="28"/>
          <w:szCs w:val="28"/>
        </w:rPr>
        <w:t>2.1产品分类及代码见表1。</w:t>
      </w:r>
    </w:p>
    <w:p w:rsidR="009F252B" w:rsidRPr="00FB1C4E" w:rsidRDefault="00295B87">
      <w:pPr>
        <w:adjustRightInd w:val="0"/>
        <w:snapToGrid w:val="0"/>
        <w:spacing w:line="560" w:lineRule="exact"/>
        <w:jc w:val="center"/>
        <w:rPr>
          <w:rFonts w:ascii="仿宋_GB2312" w:eastAsia="仿宋_GB2312" w:hAnsi="宋体"/>
          <w:sz w:val="32"/>
          <w:szCs w:val="32"/>
        </w:rPr>
      </w:pPr>
      <w:r w:rsidRPr="00FB1C4E">
        <w:rPr>
          <w:rFonts w:ascii="仿宋_GB2312" w:eastAsia="仿宋_GB2312" w:hAnsi="宋体" w:hint="eastAsia"/>
          <w:color w:val="000000" w:themeColor="text1"/>
          <w:sz w:val="28"/>
          <w:szCs w:val="28"/>
        </w:rPr>
        <w:t>表1  产品分类及代码</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2163"/>
        <w:gridCol w:w="2373"/>
        <w:gridCol w:w="2702"/>
      </w:tblGrid>
      <w:tr w:rsidR="00295B87" w:rsidRPr="00FB1C4E" w:rsidTr="00295B87">
        <w:trPr>
          <w:trHeight w:val="233"/>
          <w:jc w:val="center"/>
        </w:trPr>
        <w:tc>
          <w:tcPr>
            <w:tcW w:w="1551"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产品分类</w:t>
            </w:r>
          </w:p>
        </w:tc>
        <w:tc>
          <w:tcPr>
            <w:tcW w:w="2163" w:type="dxa"/>
            <w:vAlign w:val="center"/>
          </w:tcPr>
          <w:p w:rsidR="00295B87" w:rsidRPr="00FB1C4E" w:rsidRDefault="00295B87" w:rsidP="0036129E">
            <w:pPr>
              <w:spacing w:line="276" w:lineRule="auto"/>
              <w:ind w:firstLineChars="11" w:firstLine="26"/>
              <w:jc w:val="center"/>
              <w:rPr>
                <w:rFonts w:ascii="仿宋_GB2312" w:eastAsia="仿宋_GB2312" w:hAnsiTheme="minorEastAsia" w:cs="宋体"/>
              </w:rPr>
            </w:pPr>
            <w:r w:rsidRPr="00FB1C4E">
              <w:rPr>
                <w:rFonts w:ascii="仿宋_GB2312" w:eastAsia="仿宋_GB2312" w:hAnsiTheme="minorEastAsia" w:cs="宋体" w:hint="eastAsia"/>
              </w:rPr>
              <w:t>一级分类</w:t>
            </w:r>
          </w:p>
        </w:tc>
        <w:tc>
          <w:tcPr>
            <w:tcW w:w="2373" w:type="dxa"/>
            <w:vAlign w:val="center"/>
          </w:tcPr>
          <w:p w:rsidR="00295B87" w:rsidRPr="00FB1C4E" w:rsidRDefault="00295B87" w:rsidP="0036129E">
            <w:pPr>
              <w:spacing w:line="276" w:lineRule="auto"/>
              <w:jc w:val="center"/>
              <w:rPr>
                <w:rFonts w:ascii="仿宋_GB2312" w:eastAsia="仿宋_GB2312" w:hAnsiTheme="minorEastAsia" w:cs="宋体"/>
              </w:rPr>
            </w:pPr>
            <w:r w:rsidRPr="00FB1C4E">
              <w:rPr>
                <w:rFonts w:ascii="仿宋_GB2312" w:eastAsia="仿宋_GB2312" w:hAnsiTheme="minorEastAsia" w:cs="宋体" w:hint="eastAsia"/>
              </w:rPr>
              <w:t>二级分类</w:t>
            </w:r>
          </w:p>
        </w:tc>
        <w:tc>
          <w:tcPr>
            <w:tcW w:w="2702" w:type="dxa"/>
            <w:vAlign w:val="center"/>
          </w:tcPr>
          <w:p w:rsidR="00295B87" w:rsidRPr="00FB1C4E" w:rsidRDefault="00295B87" w:rsidP="0036129E">
            <w:pPr>
              <w:spacing w:line="276" w:lineRule="auto"/>
              <w:jc w:val="center"/>
              <w:rPr>
                <w:rFonts w:ascii="仿宋_GB2312" w:eastAsia="仿宋_GB2312" w:hAnsiTheme="minorEastAsia" w:cs="宋体"/>
              </w:rPr>
            </w:pPr>
            <w:r w:rsidRPr="00FB1C4E">
              <w:rPr>
                <w:rFonts w:ascii="仿宋_GB2312" w:eastAsia="仿宋_GB2312" w:hAnsiTheme="minorEastAsia" w:cs="宋体" w:hint="eastAsia"/>
              </w:rPr>
              <w:t>三级分类</w:t>
            </w:r>
          </w:p>
        </w:tc>
      </w:tr>
      <w:tr w:rsidR="00295B87" w:rsidRPr="00FB1C4E" w:rsidTr="00295B87">
        <w:trPr>
          <w:trHeight w:val="253"/>
          <w:jc w:val="center"/>
        </w:trPr>
        <w:tc>
          <w:tcPr>
            <w:tcW w:w="1551"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分类代码</w:t>
            </w:r>
          </w:p>
        </w:tc>
        <w:tc>
          <w:tcPr>
            <w:tcW w:w="2163"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6</w:t>
            </w:r>
          </w:p>
        </w:tc>
        <w:tc>
          <w:tcPr>
            <w:tcW w:w="2373"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607</w:t>
            </w:r>
          </w:p>
        </w:tc>
        <w:tc>
          <w:tcPr>
            <w:tcW w:w="2702"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w:t>
            </w:r>
          </w:p>
        </w:tc>
      </w:tr>
      <w:tr w:rsidR="00295B87" w:rsidRPr="00FB1C4E" w:rsidTr="00295B87">
        <w:trPr>
          <w:trHeight w:val="273"/>
          <w:jc w:val="center"/>
        </w:trPr>
        <w:tc>
          <w:tcPr>
            <w:tcW w:w="1551"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分类名称</w:t>
            </w:r>
          </w:p>
        </w:tc>
        <w:tc>
          <w:tcPr>
            <w:tcW w:w="2163"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机械及安防</w:t>
            </w:r>
          </w:p>
        </w:tc>
        <w:tc>
          <w:tcPr>
            <w:tcW w:w="2373"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消防器材</w:t>
            </w:r>
          </w:p>
        </w:tc>
        <w:tc>
          <w:tcPr>
            <w:tcW w:w="2702" w:type="dxa"/>
            <w:vAlign w:val="center"/>
          </w:tcPr>
          <w:p w:rsidR="00295B87" w:rsidRPr="00FB1C4E" w:rsidRDefault="00295B87" w:rsidP="0036129E">
            <w:pPr>
              <w:spacing w:line="276" w:lineRule="auto"/>
              <w:ind w:firstLineChars="9" w:firstLine="22"/>
              <w:jc w:val="center"/>
              <w:rPr>
                <w:rFonts w:ascii="仿宋_GB2312" w:eastAsia="仿宋_GB2312" w:hAnsiTheme="minorEastAsia" w:cs="宋体"/>
              </w:rPr>
            </w:pPr>
            <w:r w:rsidRPr="00FB1C4E">
              <w:rPr>
                <w:rFonts w:ascii="仿宋_GB2312" w:eastAsia="仿宋_GB2312" w:hAnsiTheme="minorEastAsia" w:cs="宋体" w:hint="eastAsia"/>
              </w:rPr>
              <w:t>防火门</w:t>
            </w:r>
          </w:p>
        </w:tc>
      </w:tr>
    </w:tbl>
    <w:p w:rsidR="009F252B" w:rsidRPr="00FB1C4E" w:rsidRDefault="00295B87" w:rsidP="00295B87">
      <w:pPr>
        <w:adjustRightInd w:val="0"/>
        <w:snapToGrid w:val="0"/>
        <w:spacing w:beforeLines="50" w:before="156" w:line="360" w:lineRule="auto"/>
        <w:ind w:firstLineChars="196" w:firstLine="549"/>
        <w:rPr>
          <w:rFonts w:ascii="仿宋_GB2312" w:eastAsia="仿宋_GB2312"/>
          <w:sz w:val="28"/>
          <w:szCs w:val="28"/>
        </w:rPr>
      </w:pPr>
      <w:r w:rsidRPr="00FB1C4E">
        <w:rPr>
          <w:rFonts w:ascii="仿宋_GB2312" w:eastAsia="仿宋_GB2312" w:hint="eastAsia"/>
          <w:sz w:val="28"/>
          <w:szCs w:val="28"/>
        </w:rPr>
        <w:t>2.2产品种类</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防火门产品按照材质可分为钢质防火门、木质防火门、钢木防火门及其它防火门，按照耐火性能可分为甲级防火门、乙级防火门和丙级防火门。</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3术语和定义</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本细则中未列出的术语和定义同相关引用标准。</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4</w:t>
      </w:r>
      <w:r w:rsidR="00295B87" w:rsidRPr="00FB1C4E">
        <w:rPr>
          <w:rFonts w:ascii="仿宋_GB2312" w:eastAsia="仿宋_GB2312" w:hint="eastAsia"/>
          <w:sz w:val="28"/>
          <w:szCs w:val="28"/>
        </w:rPr>
        <w:t>企业</w:t>
      </w:r>
      <w:r>
        <w:rPr>
          <w:rFonts w:ascii="仿宋_GB2312" w:eastAsia="仿宋_GB2312" w:hint="eastAsia"/>
          <w:sz w:val="28"/>
          <w:szCs w:val="28"/>
        </w:rPr>
        <w:t>防火门产品</w:t>
      </w:r>
      <w:r w:rsidR="00295B87" w:rsidRPr="00FB1C4E">
        <w:rPr>
          <w:rFonts w:ascii="仿宋_GB2312" w:eastAsia="仿宋_GB2312" w:hint="eastAsia"/>
          <w:sz w:val="28"/>
          <w:szCs w:val="28"/>
        </w:rPr>
        <w:t>生产规模划分</w:t>
      </w:r>
    </w:p>
    <w:p w:rsidR="009F252B" w:rsidRPr="00FB1C4E" w:rsidRDefault="00295B87" w:rsidP="00295B87">
      <w:pPr>
        <w:adjustRightInd w:val="0"/>
        <w:snapToGrid w:val="0"/>
        <w:spacing w:line="360" w:lineRule="auto"/>
        <w:ind w:firstLineChars="196" w:firstLine="549"/>
        <w:rPr>
          <w:rFonts w:ascii="仿宋_GB2312" w:eastAsia="仿宋_GB2312"/>
          <w:shd w:val="clear" w:color="auto" w:fill="FFFFFF"/>
        </w:rPr>
      </w:pPr>
      <w:r w:rsidRPr="00FB1C4E">
        <w:rPr>
          <w:rFonts w:ascii="仿宋_GB2312" w:eastAsia="仿宋_GB2312" w:hint="eastAsia"/>
          <w:sz w:val="28"/>
          <w:szCs w:val="28"/>
        </w:rPr>
        <w:t>根据国家统计局印发的相关管理办法，确定企业规模。</w:t>
      </w:r>
    </w:p>
    <w:p w:rsidR="009F252B" w:rsidRPr="00FB1C4E" w:rsidRDefault="00FB1C4E" w:rsidP="00295B87">
      <w:pPr>
        <w:adjustRightInd w:val="0"/>
        <w:snapToGrid w:val="0"/>
        <w:spacing w:beforeLines="50" w:before="156" w:line="360" w:lineRule="auto"/>
        <w:ind w:firstLineChars="196" w:firstLine="549"/>
        <w:rPr>
          <w:rFonts w:ascii="仿宋_GB2312" w:eastAsia="仿宋_GB2312"/>
          <w:sz w:val="28"/>
          <w:szCs w:val="28"/>
        </w:rPr>
      </w:pPr>
      <w:r>
        <w:rPr>
          <w:rFonts w:ascii="仿宋_GB2312" w:eastAsia="仿宋_GB2312" w:hint="eastAsia"/>
          <w:sz w:val="28"/>
          <w:szCs w:val="28"/>
        </w:rPr>
        <w:t>5</w:t>
      </w:r>
      <w:r w:rsidR="00295B87" w:rsidRPr="00FB1C4E">
        <w:rPr>
          <w:rFonts w:ascii="仿宋_GB2312" w:eastAsia="仿宋_GB2312" w:hint="eastAsia"/>
          <w:sz w:val="28"/>
          <w:szCs w:val="28"/>
        </w:rPr>
        <w:t>检验依据</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凡是注日期的文件，其随后所有的修改单（不包括勘误的内容）或修订版不适用于本细则。凡是不注日期的文件，其最新版本适用于本细则。</w:t>
      </w:r>
    </w:p>
    <w:p w:rsidR="00295B87"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lastRenderedPageBreak/>
        <w:t>GB 12955-2008  《防火门》</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GB/T 7633-2008 《门和卷帘的耐火试验方法》</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现行有效的企业标准、团体标准、地方标准及产品明示质量要求相关的法律法规、部门规章和规范</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经现行有效的企业标准及产品明示质量要求</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抽样</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.1抽样型号或规格</w:t>
      </w:r>
    </w:p>
    <w:p w:rsidR="00295B87"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抽取样品应为同一型号规格、同一批次的产品。</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当被抽检企业主导产品在企业成品库内有多个型号规格且符合下列抽样基数要求时，可用随机数表、掷骰子或抽扑克牌等方式随机确定被抽样品种类及需要抽取的样品数量。</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.2抽样基数、抽样数量</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.2.1 在企业的成品库内或市场待销产品中随机抽取有产品质量检验合格证明或者以其他形式表明合格的产品。</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.2.2抽样基数</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抽样基数满足抽样数量即可。</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w:t>
      </w:r>
      <w:r w:rsidR="00295B87" w:rsidRPr="00FB1C4E">
        <w:rPr>
          <w:rFonts w:ascii="仿宋_GB2312" w:eastAsia="仿宋_GB2312" w:hint="eastAsia"/>
          <w:sz w:val="28"/>
          <w:szCs w:val="28"/>
        </w:rPr>
        <w:t>.2.3</w:t>
      </w:r>
      <w:r>
        <w:rPr>
          <w:rFonts w:ascii="仿宋_GB2312" w:eastAsia="仿宋_GB2312" w:hint="eastAsia"/>
          <w:sz w:val="28"/>
          <w:szCs w:val="28"/>
        </w:rPr>
        <w:t>抽样方法及数量</w:t>
      </w:r>
    </w:p>
    <w:p w:rsidR="009F252B"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同种型号规格产品抽取的样品数量为2樘，其中1樘为检验样品，1樘为备用样品。</w:t>
      </w:r>
    </w:p>
    <w:p w:rsidR="00FB1C4E" w:rsidRDefault="00FB1C4E" w:rsidP="00FB1C4E">
      <w:pPr>
        <w:pStyle w:val="2"/>
        <w:ind w:leftChars="0" w:left="1" w:firstLineChars="171" w:firstLine="479"/>
        <w:rPr>
          <w:rFonts w:ascii="仿宋_GB2312" w:eastAsia="仿宋_GB2312"/>
          <w:sz w:val="28"/>
          <w:szCs w:val="28"/>
        </w:rPr>
      </w:pPr>
      <w:r>
        <w:rPr>
          <w:rFonts w:ascii="仿宋_GB2312" w:eastAsia="仿宋_GB2312" w:hint="eastAsia"/>
          <w:sz w:val="28"/>
          <w:szCs w:val="28"/>
        </w:rPr>
        <w:t>随机抽样工具选择扑克牌或骰子，随机数一般可使用随机数表、骰子或扑克牌等方法产生。</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6.3样品处置</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6.3.1封样</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抽取的样品应包装好，将封样单展开粘贴于抽取样品的封口处，由抽样人员和被抽查企业有关人员在封样单上签名。为防拆封，可使</w:t>
      </w:r>
      <w:r>
        <w:rPr>
          <w:rFonts w:ascii="仿宋_GB2312" w:eastAsia="仿宋_GB2312" w:hint="eastAsia"/>
          <w:sz w:val="28"/>
          <w:szCs w:val="28"/>
        </w:rPr>
        <w:lastRenderedPageBreak/>
        <w:t>用多张封样单。</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6.3.2样品保存</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干燥的环境情况下进行保存。</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6.3.3运送时应防止剧烈碰撞损坏样品。</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6.4抽样单</w:t>
      </w:r>
    </w:p>
    <w:p w:rsid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应按有关规定填写抽样单，并记录被抽查产品及企业相关信息。对于产品检验所需的样品技术参数等信息，需要被抽企业提供的，应在抽样现场获取，并经企业确认。</w:t>
      </w:r>
    </w:p>
    <w:p w:rsidR="00FB1C4E" w:rsidRPr="002C0241" w:rsidRDefault="00FB1C4E" w:rsidP="00FB1C4E">
      <w:pPr>
        <w:adjustRightInd w:val="0"/>
        <w:snapToGrid w:val="0"/>
        <w:spacing w:line="594" w:lineRule="exact"/>
        <w:ind w:firstLineChars="200" w:firstLine="560"/>
        <w:jc w:val="left"/>
        <w:rPr>
          <w:rFonts w:ascii="仿宋_GB2312" w:eastAsia="仿宋_GB2312"/>
          <w:sz w:val="28"/>
          <w:szCs w:val="28"/>
        </w:rPr>
      </w:pPr>
      <w:r w:rsidRPr="002C0241">
        <w:rPr>
          <w:rFonts w:ascii="仿宋_GB2312" w:eastAsia="仿宋_GB2312" w:hint="eastAsia"/>
          <w:sz w:val="28"/>
          <w:szCs w:val="28"/>
        </w:rPr>
        <w:t>6.5样品获取方式</w:t>
      </w:r>
    </w:p>
    <w:p w:rsidR="00FB1C4E" w:rsidRPr="00FB1C4E" w:rsidRDefault="00FB1C4E" w:rsidP="00FB1C4E">
      <w:pPr>
        <w:pStyle w:val="2"/>
        <w:ind w:leftChars="0" w:left="1" w:firstLineChars="171" w:firstLine="479"/>
        <w:rPr>
          <w:rFonts w:ascii="仿宋_GB2312" w:eastAsia="仿宋_GB2312"/>
          <w:sz w:val="28"/>
          <w:szCs w:val="28"/>
        </w:rPr>
      </w:pPr>
      <w:r w:rsidRPr="00D53D9E">
        <w:rPr>
          <w:rFonts w:ascii="仿宋_GB2312" w:eastAsia="仿宋_GB2312" w:hint="eastAsia"/>
          <w:sz w:val="28"/>
          <w:szCs w:val="28"/>
        </w:rPr>
        <w:t>监督抽查所需的样品要在受检企业以购买方式获取。</w:t>
      </w:r>
    </w:p>
    <w:p w:rsidR="00FB1C4E" w:rsidRDefault="00FB1C4E" w:rsidP="00FB1C4E">
      <w:pPr>
        <w:spacing w:line="360" w:lineRule="auto"/>
        <w:ind w:firstLineChars="200" w:firstLine="560"/>
        <w:rPr>
          <w:rFonts w:ascii="仿宋_GB2312" w:eastAsia="仿宋_GB2312"/>
          <w:sz w:val="28"/>
          <w:szCs w:val="28"/>
        </w:rPr>
      </w:pPr>
      <w:r>
        <w:rPr>
          <w:rFonts w:ascii="仿宋_GB2312" w:eastAsia="仿宋_GB2312" w:hint="eastAsia"/>
          <w:sz w:val="28"/>
          <w:szCs w:val="28"/>
        </w:rPr>
        <w:t>6.6抽样注意事项</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 xml:space="preserve">抽样时，抽样人员应当认真核实营业执照等被抽查企业的相关信息，确认企业不存在不得抽样的情形。遇有下列情况之一且能提供有效证明的，不得抽样： </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（1）被抽查企业无监督抽查通知书或者相关文件复印件所列产品的；</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（2）有充分证据证明拟抽查的产品是不用于销售的；</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（3）产品不涉及强制性标准要求，仅按双方约定的技术要求加工生产，且未执行任何标准的；</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（4）有充分证据证明拟抽查的产品为企业用于出口，并且出口合同对产品质量另有规定的；</w:t>
      </w:r>
    </w:p>
    <w:p w:rsidR="00FB1C4E" w:rsidRDefault="00FB1C4E" w:rsidP="00FB1C4E">
      <w:pPr>
        <w:spacing w:line="360" w:lineRule="auto"/>
        <w:ind w:firstLineChars="200" w:firstLine="560"/>
        <w:rPr>
          <w:rFonts w:ascii="仿宋_GB2312" w:eastAsia="仿宋_GB2312" w:cs="仿宋_GB2312"/>
          <w:sz w:val="28"/>
          <w:szCs w:val="28"/>
        </w:rPr>
      </w:pPr>
      <w:r>
        <w:rPr>
          <w:rFonts w:ascii="仿宋_GB2312" w:eastAsia="仿宋_GB2312" w:cs="仿宋_GB2312" w:hint="eastAsia"/>
          <w:sz w:val="28"/>
          <w:szCs w:val="28"/>
        </w:rPr>
        <w:t>（5）产品或者标签、包装、说明书标有“试制”、“处理”或者“样品”等字样的；</w:t>
      </w:r>
    </w:p>
    <w:p w:rsidR="009F252B" w:rsidRPr="00FB1C4E" w:rsidRDefault="00FB1C4E" w:rsidP="00FB1C4E">
      <w:pPr>
        <w:adjustRightInd w:val="0"/>
        <w:snapToGrid w:val="0"/>
        <w:spacing w:line="360" w:lineRule="auto"/>
        <w:ind w:firstLineChars="196" w:firstLine="549"/>
        <w:rPr>
          <w:rFonts w:ascii="仿宋_GB2312" w:eastAsia="仿宋_GB2312"/>
          <w:sz w:val="28"/>
          <w:szCs w:val="28"/>
        </w:rPr>
      </w:pPr>
      <w:r>
        <w:rPr>
          <w:rFonts w:ascii="仿宋_GB2312" w:eastAsia="仿宋_GB2312" w:cs="仿宋_GB2312" w:hint="eastAsia"/>
          <w:sz w:val="28"/>
          <w:szCs w:val="28"/>
        </w:rPr>
        <w:lastRenderedPageBreak/>
        <w:t>（</w:t>
      </w:r>
      <w:r>
        <w:rPr>
          <w:rFonts w:ascii="仿宋_GB2312" w:eastAsia="仿宋_GB2312" w:cs="仿宋_GB2312"/>
          <w:sz w:val="28"/>
          <w:szCs w:val="28"/>
        </w:rPr>
        <w:t>6</w:t>
      </w:r>
      <w:r>
        <w:rPr>
          <w:rFonts w:ascii="仿宋_GB2312" w:eastAsia="仿宋_GB2312" w:cs="仿宋_GB2312" w:hint="eastAsia"/>
          <w:sz w:val="28"/>
          <w:szCs w:val="28"/>
        </w:rPr>
        <w:t>）企业提供上级市场监管部门6个月内该种产品的监督抽查抽样单或者合格检验报告的。</w:t>
      </w:r>
    </w:p>
    <w:p w:rsidR="009F252B" w:rsidRPr="00FB1C4E" w:rsidRDefault="00FB1C4E"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7</w:t>
      </w:r>
      <w:r w:rsidR="00295B87" w:rsidRPr="00FB1C4E">
        <w:rPr>
          <w:rFonts w:ascii="仿宋_GB2312" w:eastAsia="仿宋_GB2312" w:hint="eastAsia"/>
          <w:sz w:val="28"/>
          <w:szCs w:val="28"/>
        </w:rPr>
        <w:t>检验要求</w:t>
      </w:r>
    </w:p>
    <w:p w:rsidR="009F252B" w:rsidRPr="00FB1C4E" w:rsidRDefault="00FB1C4E" w:rsidP="00295B87">
      <w:pPr>
        <w:adjustRightInd w:val="0"/>
        <w:snapToGrid w:val="0"/>
        <w:spacing w:line="360" w:lineRule="auto"/>
        <w:ind w:firstLineChars="196" w:firstLine="549"/>
        <w:rPr>
          <w:rFonts w:ascii="仿宋_GB2312" w:eastAsia="仿宋_GB2312" w:hAnsi="宋体"/>
          <w:color w:val="000000" w:themeColor="text1"/>
          <w:sz w:val="28"/>
          <w:szCs w:val="28"/>
        </w:rPr>
      </w:pPr>
      <w:r>
        <w:rPr>
          <w:rFonts w:ascii="仿宋_GB2312" w:eastAsia="仿宋_GB2312" w:hint="eastAsia"/>
          <w:sz w:val="28"/>
          <w:szCs w:val="28"/>
        </w:rPr>
        <w:t>7</w:t>
      </w:r>
      <w:r w:rsidR="00295B87" w:rsidRPr="00FB1C4E">
        <w:rPr>
          <w:rFonts w:ascii="仿宋_GB2312" w:eastAsia="仿宋_GB2312" w:hint="eastAsia"/>
          <w:sz w:val="28"/>
          <w:szCs w:val="28"/>
        </w:rPr>
        <w:t>.1检验项目</w:t>
      </w:r>
    </w:p>
    <w:p w:rsidR="009F252B" w:rsidRPr="00FB1C4E" w:rsidRDefault="00295B87">
      <w:pPr>
        <w:widowControl/>
        <w:jc w:val="center"/>
        <w:rPr>
          <w:rFonts w:ascii="仿宋_GB2312" w:eastAsia="仿宋_GB2312" w:hAnsi="宋体"/>
          <w:color w:val="000000" w:themeColor="text1"/>
          <w:sz w:val="28"/>
          <w:szCs w:val="28"/>
        </w:rPr>
      </w:pPr>
      <w:r w:rsidRPr="00FB1C4E">
        <w:rPr>
          <w:rFonts w:ascii="仿宋_GB2312" w:eastAsia="仿宋_GB2312" w:hAnsi="宋体" w:hint="eastAsia"/>
          <w:color w:val="000000" w:themeColor="text1"/>
          <w:sz w:val="28"/>
          <w:szCs w:val="28"/>
        </w:rPr>
        <w:t>表2  防火门产品检验项目</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76"/>
        <w:gridCol w:w="2127"/>
        <w:gridCol w:w="2693"/>
      </w:tblGrid>
      <w:tr w:rsidR="009F252B" w:rsidRPr="00FB1C4E" w:rsidTr="004E082F">
        <w:tc>
          <w:tcPr>
            <w:tcW w:w="993" w:type="dxa"/>
            <w:vAlign w:val="center"/>
          </w:tcPr>
          <w:p w:rsidR="009F252B" w:rsidRPr="00FB1C4E" w:rsidRDefault="00295B87">
            <w:pPr>
              <w:jc w:val="center"/>
              <w:rPr>
                <w:rFonts w:ascii="仿宋_GB2312" w:eastAsia="仿宋_GB2312" w:hAnsi="宋体"/>
                <w:color w:val="000000"/>
                <w:szCs w:val="21"/>
              </w:rPr>
            </w:pPr>
            <w:r w:rsidRPr="00FB1C4E">
              <w:rPr>
                <w:rFonts w:ascii="仿宋_GB2312" w:eastAsia="仿宋_GB2312" w:hAnsi="宋体" w:hint="eastAsia"/>
                <w:color w:val="000000"/>
                <w:szCs w:val="21"/>
              </w:rPr>
              <w:t>序号</w:t>
            </w:r>
          </w:p>
        </w:tc>
        <w:tc>
          <w:tcPr>
            <w:tcW w:w="2976" w:type="dxa"/>
            <w:vAlign w:val="center"/>
          </w:tcPr>
          <w:p w:rsidR="009F252B" w:rsidRPr="00FB1C4E" w:rsidRDefault="00295B87">
            <w:pPr>
              <w:jc w:val="center"/>
              <w:rPr>
                <w:rFonts w:ascii="仿宋_GB2312" w:eastAsia="仿宋_GB2312" w:hAnsi="宋体"/>
                <w:color w:val="000000"/>
                <w:szCs w:val="21"/>
              </w:rPr>
            </w:pPr>
            <w:r w:rsidRPr="00FB1C4E">
              <w:rPr>
                <w:rFonts w:ascii="仿宋_GB2312" w:eastAsia="仿宋_GB2312" w:hAnsi="宋体" w:hint="eastAsia"/>
                <w:color w:val="000000"/>
                <w:szCs w:val="21"/>
              </w:rPr>
              <w:t>检验项目</w:t>
            </w:r>
          </w:p>
        </w:tc>
        <w:tc>
          <w:tcPr>
            <w:tcW w:w="2127" w:type="dxa"/>
            <w:vAlign w:val="center"/>
          </w:tcPr>
          <w:p w:rsidR="009F252B" w:rsidRPr="00FB1C4E" w:rsidRDefault="00295B87">
            <w:pPr>
              <w:jc w:val="center"/>
              <w:rPr>
                <w:rFonts w:ascii="仿宋_GB2312" w:eastAsia="仿宋_GB2312" w:hAnsi="宋体"/>
                <w:color w:val="000000"/>
                <w:szCs w:val="21"/>
              </w:rPr>
            </w:pPr>
            <w:r w:rsidRPr="00FB1C4E">
              <w:rPr>
                <w:rFonts w:ascii="仿宋_GB2312" w:eastAsia="仿宋_GB2312" w:hAnsi="宋体" w:hint="eastAsia"/>
                <w:color w:val="000000"/>
                <w:szCs w:val="21"/>
              </w:rPr>
              <w:t>判定依据</w:t>
            </w:r>
          </w:p>
        </w:tc>
        <w:tc>
          <w:tcPr>
            <w:tcW w:w="2693" w:type="dxa"/>
            <w:vAlign w:val="center"/>
          </w:tcPr>
          <w:p w:rsidR="009F252B" w:rsidRPr="00FB1C4E" w:rsidRDefault="00295B87">
            <w:pPr>
              <w:jc w:val="center"/>
              <w:rPr>
                <w:rFonts w:ascii="仿宋_GB2312" w:eastAsia="仿宋_GB2312" w:hAnsi="宋体"/>
                <w:color w:val="000000"/>
                <w:szCs w:val="21"/>
              </w:rPr>
            </w:pPr>
            <w:r w:rsidRPr="00FB1C4E">
              <w:rPr>
                <w:rFonts w:ascii="仿宋_GB2312" w:eastAsia="仿宋_GB2312" w:hAnsi="宋体" w:hint="eastAsia"/>
                <w:color w:val="000000"/>
                <w:szCs w:val="21"/>
              </w:rPr>
              <w:t>检验方法</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sidRPr="00FB1C4E">
              <w:rPr>
                <w:rFonts w:ascii="仿宋_GB2312" w:eastAsia="仿宋_GB2312" w:hAnsi="宋体" w:hint="eastAsia"/>
                <w:color w:val="000000"/>
                <w:szCs w:val="21"/>
              </w:rPr>
              <w:t>1</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防火锁</w:t>
            </w:r>
          </w:p>
        </w:tc>
        <w:tc>
          <w:tcPr>
            <w:tcW w:w="2127" w:type="dxa"/>
            <w:vAlign w:val="center"/>
          </w:tcPr>
          <w:p w:rsidR="00FB1C4E" w:rsidRPr="00FB1C4E" w:rsidRDefault="00FB1C4E"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C16764" w:rsidP="00C16764">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6.4.1</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2</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防火合页</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C16764" w:rsidP="00C16764">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6.4.2</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3</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门扇厚度偏差</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6.6.3</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4</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启闭灵活性</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6.9.1</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5</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门扇开启力</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6.9.2</w:t>
            </w:r>
          </w:p>
        </w:tc>
      </w:tr>
      <w:tr w:rsidR="00FB1C4E" w:rsidRPr="00FB1C4E" w:rsidTr="004E082F">
        <w:tc>
          <w:tcPr>
            <w:tcW w:w="993" w:type="dxa"/>
            <w:vAlign w:val="center"/>
          </w:tcPr>
          <w:p w:rsidR="00FB1C4E" w:rsidRP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6</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可靠性</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r>
              <w:rPr>
                <w:rFonts w:ascii="仿宋_GB2312" w:eastAsia="仿宋_GB2312" w:hAnsi="宋体" w:hint="eastAsia"/>
                <w:color w:val="000000"/>
                <w:szCs w:val="21"/>
              </w:rPr>
              <w:t xml:space="preserve"> 6.10</w:t>
            </w:r>
          </w:p>
        </w:tc>
      </w:tr>
      <w:tr w:rsidR="00FB1C4E" w:rsidRPr="00FB1C4E" w:rsidTr="004E082F">
        <w:tc>
          <w:tcPr>
            <w:tcW w:w="993" w:type="dxa"/>
            <w:vAlign w:val="center"/>
          </w:tcPr>
          <w:p w:rsidR="00FB1C4E" w:rsidRDefault="00FB1C4E">
            <w:pPr>
              <w:adjustRightInd w:val="0"/>
              <w:jc w:val="center"/>
              <w:rPr>
                <w:rFonts w:ascii="仿宋_GB2312" w:eastAsia="仿宋_GB2312" w:hAnsi="宋体"/>
                <w:color w:val="000000"/>
                <w:szCs w:val="21"/>
              </w:rPr>
            </w:pPr>
            <w:r>
              <w:rPr>
                <w:rFonts w:ascii="仿宋_GB2312" w:eastAsia="仿宋_GB2312" w:hAnsi="宋体" w:hint="eastAsia"/>
                <w:color w:val="000000"/>
                <w:szCs w:val="21"/>
              </w:rPr>
              <w:t>7</w:t>
            </w:r>
          </w:p>
        </w:tc>
        <w:tc>
          <w:tcPr>
            <w:tcW w:w="2976" w:type="dxa"/>
            <w:vAlign w:val="center"/>
          </w:tcPr>
          <w:p w:rsidR="00FB1C4E" w:rsidRPr="00FB1C4E" w:rsidRDefault="00FB1C4E" w:rsidP="00725183">
            <w:pPr>
              <w:pStyle w:val="Style3"/>
              <w:ind w:firstLineChars="0" w:firstLine="0"/>
              <w:jc w:val="center"/>
              <w:rPr>
                <w:rFonts w:ascii="仿宋_GB2312" w:eastAsia="仿宋_GB2312" w:hAnsi="宋体"/>
                <w:color w:val="000000"/>
                <w:sz w:val="24"/>
                <w:szCs w:val="21"/>
              </w:rPr>
            </w:pPr>
            <w:r w:rsidRPr="00FB1C4E">
              <w:rPr>
                <w:rFonts w:ascii="仿宋_GB2312" w:eastAsia="仿宋_GB2312" w:hAnsi="宋体" w:hint="eastAsia"/>
                <w:color w:val="000000"/>
                <w:sz w:val="24"/>
                <w:szCs w:val="21"/>
              </w:rPr>
              <w:t>耐火性能</w:t>
            </w:r>
          </w:p>
        </w:tc>
        <w:tc>
          <w:tcPr>
            <w:tcW w:w="2127"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GB12955-2008</w:t>
            </w:r>
          </w:p>
        </w:tc>
        <w:tc>
          <w:tcPr>
            <w:tcW w:w="2693" w:type="dxa"/>
            <w:vAlign w:val="center"/>
          </w:tcPr>
          <w:p w:rsidR="00FB1C4E" w:rsidRPr="00FB1C4E" w:rsidRDefault="004E082F" w:rsidP="0036129E">
            <w:pPr>
              <w:jc w:val="center"/>
              <w:rPr>
                <w:rFonts w:ascii="仿宋_GB2312" w:eastAsia="仿宋_GB2312" w:hAnsi="宋体"/>
                <w:color w:val="000000"/>
                <w:szCs w:val="21"/>
              </w:rPr>
            </w:pPr>
            <w:r w:rsidRPr="00FB1C4E">
              <w:rPr>
                <w:rFonts w:ascii="仿宋_GB2312" w:eastAsia="仿宋_GB2312" w:hAnsi="宋体" w:hint="eastAsia"/>
                <w:color w:val="000000"/>
                <w:szCs w:val="21"/>
              </w:rPr>
              <w:t>GB/T 7633-2008</w:t>
            </w:r>
          </w:p>
        </w:tc>
      </w:tr>
    </w:tbl>
    <w:p w:rsidR="00295B87" w:rsidRPr="00FB1C4E" w:rsidRDefault="00295B87" w:rsidP="00295B87">
      <w:pPr>
        <w:adjustRightInd w:val="0"/>
        <w:snapToGrid w:val="0"/>
        <w:spacing w:line="360" w:lineRule="auto"/>
        <w:ind w:firstLineChars="196" w:firstLine="549"/>
        <w:rPr>
          <w:rFonts w:ascii="仿宋_GB2312" w:eastAsia="仿宋_GB2312"/>
          <w:sz w:val="28"/>
          <w:szCs w:val="28"/>
        </w:rPr>
      </w:pPr>
      <w:bookmarkStart w:id="0" w:name="_GoBack"/>
      <w:bookmarkEnd w:id="0"/>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7</w:t>
      </w:r>
      <w:r w:rsidR="00295B87" w:rsidRPr="00FB1C4E">
        <w:rPr>
          <w:rFonts w:ascii="仿宋_GB2312" w:eastAsia="仿宋_GB2312" w:hint="eastAsia"/>
          <w:sz w:val="28"/>
          <w:szCs w:val="28"/>
        </w:rPr>
        <w:t>.2检验应注意的问题</w:t>
      </w:r>
    </w:p>
    <w:p w:rsidR="004E082F" w:rsidRDefault="004E082F" w:rsidP="004E082F">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若被检产品明示的质量要求高于本细则中检验项目依据的标准要求时，应按被检产品明示的质量要求判定。</w:t>
      </w:r>
    </w:p>
    <w:p w:rsidR="004E082F" w:rsidRDefault="004E082F" w:rsidP="004E082F">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若被检产品明示的质量要求低于本细则中检验项目依据的强制性标准要求时，应按照强制性标准要求判定。</w:t>
      </w:r>
    </w:p>
    <w:p w:rsidR="004E082F" w:rsidRDefault="004E082F" w:rsidP="004E082F">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若被检产品明示的质量要求低于或包含本细则中检验项目依据的推荐性标准要求时，应以被检产品明示的质量要求判定。</w:t>
      </w:r>
    </w:p>
    <w:p w:rsidR="004E082F" w:rsidRDefault="004E082F" w:rsidP="004E082F">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若被检产品明示的质量要求缺少本细则中检验项目依据的强制性标准要求时，应按照强制性标准要求判定。</w:t>
      </w:r>
    </w:p>
    <w:p w:rsidR="009F252B" w:rsidRPr="00FB1C4E" w:rsidRDefault="004E082F" w:rsidP="004E082F">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若被检产品明示的质量要求缺少本细则中检验项目依据的推荐性标准要求时，该项目不参与判定，但应在检验报告备注中进行说明。</w:t>
      </w:r>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8</w:t>
      </w:r>
      <w:r w:rsidR="00295B87" w:rsidRPr="00FB1C4E">
        <w:rPr>
          <w:rFonts w:ascii="仿宋_GB2312" w:eastAsia="仿宋_GB2312" w:hint="eastAsia"/>
          <w:sz w:val="28"/>
          <w:szCs w:val="28"/>
        </w:rPr>
        <w:t>判定原则</w:t>
      </w:r>
    </w:p>
    <w:p w:rsidR="009F252B" w:rsidRPr="00FB1C4E" w:rsidRDefault="004E082F" w:rsidP="004E082F">
      <w:pPr>
        <w:adjustRightInd w:val="0"/>
        <w:snapToGrid w:val="0"/>
        <w:spacing w:line="360" w:lineRule="auto"/>
        <w:ind w:firstLineChars="196" w:firstLine="549"/>
        <w:rPr>
          <w:rFonts w:ascii="仿宋_GB2312" w:eastAsia="仿宋_GB2312"/>
          <w:sz w:val="28"/>
          <w:szCs w:val="28"/>
        </w:rPr>
      </w:pPr>
      <w:r w:rsidRPr="004E082F">
        <w:rPr>
          <w:rFonts w:ascii="仿宋_GB2312" w:eastAsia="仿宋_GB2312" w:hint="eastAsia"/>
          <w:sz w:val="28"/>
          <w:szCs w:val="28"/>
        </w:rPr>
        <w:t>经检验，A类检验项目全部合格，B类检验项目不合格数少于或等于一项，判定被抽查产品合格；A类检验项目不合格数大于或等于一项，或B类检验项目不合格数大于或等于两项，判定被抽查产品不</w:t>
      </w:r>
      <w:r w:rsidRPr="004E082F">
        <w:rPr>
          <w:rFonts w:ascii="仿宋_GB2312" w:eastAsia="仿宋_GB2312" w:hint="eastAsia"/>
          <w:sz w:val="28"/>
          <w:szCs w:val="28"/>
        </w:rPr>
        <w:lastRenderedPageBreak/>
        <w:t>合格。</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结论用语：</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经抽样检验，所检项目符合**标准要求，依据《</w:t>
      </w:r>
      <w:r w:rsidR="00FB1C4E">
        <w:rPr>
          <w:rFonts w:ascii="仿宋_GB2312" w:eastAsia="仿宋_GB2312" w:hint="eastAsia"/>
          <w:sz w:val="28"/>
          <w:szCs w:val="28"/>
        </w:rPr>
        <w:t>盘锦市</w:t>
      </w:r>
      <w:r w:rsidR="00BA005B" w:rsidRPr="00FB1C4E">
        <w:rPr>
          <w:rFonts w:ascii="仿宋_GB2312" w:eastAsia="仿宋_GB2312" w:hint="eastAsia"/>
          <w:sz w:val="28"/>
          <w:szCs w:val="28"/>
        </w:rPr>
        <w:t>防火门</w:t>
      </w:r>
      <w:r w:rsidRPr="00FB1C4E">
        <w:rPr>
          <w:rFonts w:ascii="仿宋_GB2312" w:eastAsia="仿宋_GB2312" w:hint="eastAsia"/>
          <w:sz w:val="28"/>
          <w:szCs w:val="28"/>
        </w:rPr>
        <w:t>产品质量监督抽查实施细则》，判定为合格。</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经抽样检验，**项目不符合**标准要求，依据《</w:t>
      </w:r>
      <w:r w:rsidR="00FB1C4E">
        <w:rPr>
          <w:rFonts w:ascii="仿宋_GB2312" w:eastAsia="仿宋_GB2312" w:hint="eastAsia"/>
          <w:sz w:val="28"/>
          <w:szCs w:val="28"/>
        </w:rPr>
        <w:t>盘锦市</w:t>
      </w:r>
      <w:r w:rsidR="00BA005B" w:rsidRPr="00FB1C4E">
        <w:rPr>
          <w:rFonts w:ascii="仿宋_GB2312" w:eastAsia="仿宋_GB2312" w:hint="eastAsia"/>
          <w:sz w:val="28"/>
          <w:szCs w:val="28"/>
        </w:rPr>
        <w:t>防火门</w:t>
      </w:r>
      <w:r w:rsidRPr="00FB1C4E">
        <w:rPr>
          <w:rFonts w:ascii="仿宋_GB2312" w:eastAsia="仿宋_GB2312" w:hint="eastAsia"/>
          <w:sz w:val="28"/>
          <w:szCs w:val="28"/>
        </w:rPr>
        <w:t>产品质量监督抽查实施细则》，判定为不合格。</w:t>
      </w:r>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9</w:t>
      </w:r>
      <w:r w:rsidR="00295B87" w:rsidRPr="00FB1C4E">
        <w:rPr>
          <w:rFonts w:ascii="仿宋_GB2312" w:eastAsia="仿宋_GB2312" w:hint="eastAsia"/>
          <w:sz w:val="28"/>
          <w:szCs w:val="28"/>
        </w:rPr>
        <w:t>异议处理</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对被判定为不合格企业进行异议处理时，按以下方式进行：</w:t>
      </w:r>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9</w:t>
      </w:r>
      <w:r w:rsidR="00295B87" w:rsidRPr="00FB1C4E">
        <w:rPr>
          <w:rFonts w:ascii="仿宋_GB2312" w:eastAsia="仿宋_GB2312" w:hint="eastAsia"/>
          <w:sz w:val="28"/>
          <w:szCs w:val="28"/>
        </w:rPr>
        <w:t>.1核查不合格项目相关证据，能够以记录（纸质记录或电子记录或影像记录）或与不合格项目相关联的其它质量数据等检验证据证明。</w:t>
      </w:r>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9</w:t>
      </w:r>
      <w:r w:rsidR="00295B87" w:rsidRPr="00FB1C4E">
        <w:rPr>
          <w:rFonts w:ascii="仿宋_GB2312" w:eastAsia="仿宋_GB2312" w:hint="eastAsia"/>
          <w:sz w:val="28"/>
          <w:szCs w:val="28"/>
        </w:rPr>
        <w:t>.2对需要复检并具备检验条件的，处理企业异议的市场监督管理部门或者指定检验机构应当按原监督抽查细则对留存的样品或抽取的备用样品组织复检，复检项目如有仲裁法需用仲裁法进行复检，并出具检验报告。复检结论为最终结论。</w:t>
      </w:r>
    </w:p>
    <w:p w:rsidR="009F252B" w:rsidRPr="00FB1C4E" w:rsidRDefault="004E082F" w:rsidP="00295B87">
      <w:pPr>
        <w:adjustRightInd w:val="0"/>
        <w:snapToGrid w:val="0"/>
        <w:spacing w:line="360" w:lineRule="auto"/>
        <w:ind w:firstLineChars="196" w:firstLine="549"/>
        <w:rPr>
          <w:rFonts w:ascii="仿宋_GB2312" w:eastAsia="仿宋_GB2312"/>
          <w:sz w:val="28"/>
          <w:szCs w:val="28"/>
        </w:rPr>
      </w:pPr>
      <w:r>
        <w:rPr>
          <w:rFonts w:ascii="仿宋_GB2312" w:eastAsia="仿宋_GB2312" w:hint="eastAsia"/>
          <w:sz w:val="28"/>
          <w:szCs w:val="28"/>
        </w:rPr>
        <w:t>10</w:t>
      </w:r>
      <w:r w:rsidR="00295B87" w:rsidRPr="00FB1C4E">
        <w:rPr>
          <w:rFonts w:ascii="仿宋_GB2312" w:eastAsia="仿宋_GB2312" w:hint="eastAsia"/>
          <w:sz w:val="28"/>
          <w:szCs w:val="28"/>
        </w:rPr>
        <w:t>附则</w:t>
      </w:r>
    </w:p>
    <w:p w:rsidR="009F252B" w:rsidRPr="00FB1C4E" w:rsidRDefault="00295B87" w:rsidP="00295B87">
      <w:pPr>
        <w:adjustRightInd w:val="0"/>
        <w:snapToGrid w:val="0"/>
        <w:spacing w:line="360" w:lineRule="auto"/>
        <w:ind w:firstLineChars="196" w:firstLine="549"/>
        <w:rPr>
          <w:rFonts w:ascii="仿宋_GB2312" w:eastAsia="仿宋_GB2312"/>
          <w:sz w:val="28"/>
          <w:szCs w:val="28"/>
        </w:rPr>
      </w:pPr>
      <w:r w:rsidRPr="00FB1C4E">
        <w:rPr>
          <w:rFonts w:ascii="仿宋_GB2312" w:eastAsia="仿宋_GB2312" w:hint="eastAsia"/>
          <w:sz w:val="28"/>
          <w:szCs w:val="28"/>
        </w:rPr>
        <w:t>本细则编写单位:大连产品质量检验检测研究院有限公司</w:t>
      </w:r>
    </w:p>
    <w:p w:rsidR="009F252B" w:rsidRPr="00FB1C4E" w:rsidRDefault="00295B87">
      <w:pPr>
        <w:ind w:firstLineChars="200" w:firstLine="560"/>
        <w:rPr>
          <w:rFonts w:ascii="仿宋_GB2312" w:eastAsia="仿宋_GB2312"/>
        </w:rPr>
      </w:pPr>
      <w:r w:rsidRPr="00FB1C4E">
        <w:rPr>
          <w:rFonts w:ascii="仿宋_GB2312" w:eastAsia="仿宋_GB2312" w:hint="eastAsia"/>
          <w:sz w:val="28"/>
          <w:szCs w:val="28"/>
        </w:rPr>
        <w:t>本细则由</w:t>
      </w:r>
      <w:r w:rsidR="00FB1C4E">
        <w:rPr>
          <w:rFonts w:ascii="仿宋_GB2312" w:eastAsia="仿宋_GB2312" w:hint="eastAsia"/>
          <w:sz w:val="28"/>
          <w:szCs w:val="28"/>
        </w:rPr>
        <w:t>盘锦市</w:t>
      </w:r>
      <w:r w:rsidRPr="00FB1C4E">
        <w:rPr>
          <w:rFonts w:ascii="仿宋_GB2312" w:eastAsia="仿宋_GB2312" w:hint="eastAsia"/>
          <w:sz w:val="28"/>
          <w:szCs w:val="28"/>
        </w:rPr>
        <w:t>市场监督管理局管理。</w:t>
      </w:r>
    </w:p>
    <w:sectPr w:rsidR="009F252B" w:rsidRPr="00FB1C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16" w:rsidRDefault="00F14216" w:rsidP="00FB1C4E">
      <w:r>
        <w:separator/>
      </w:r>
    </w:p>
  </w:endnote>
  <w:endnote w:type="continuationSeparator" w:id="0">
    <w:p w:rsidR="00F14216" w:rsidRDefault="00F14216" w:rsidP="00FB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16" w:rsidRDefault="00F14216" w:rsidP="00FB1C4E">
      <w:r>
        <w:separator/>
      </w:r>
    </w:p>
  </w:footnote>
  <w:footnote w:type="continuationSeparator" w:id="0">
    <w:p w:rsidR="00F14216" w:rsidRDefault="00F14216" w:rsidP="00FB1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5F08C0"/>
    <w:multiLevelType w:val="multilevel"/>
    <w:tmpl w:val="CF5F08C0"/>
    <w:lvl w:ilvl="0">
      <w:start w:val="1"/>
      <w:numFmt w:val="chineseCounting"/>
      <w:pStyle w:val="1"/>
      <w:suff w:val="nothing"/>
      <w:lvlText w:val="%1、"/>
      <w:lvlJc w:val="left"/>
      <w:pPr>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FE432E"/>
    <w:rsid w:val="00164D4A"/>
    <w:rsid w:val="00295B87"/>
    <w:rsid w:val="003636FA"/>
    <w:rsid w:val="004E082F"/>
    <w:rsid w:val="009F252B"/>
    <w:rsid w:val="00A9086C"/>
    <w:rsid w:val="00BA005B"/>
    <w:rsid w:val="00C16764"/>
    <w:rsid w:val="00F14216"/>
    <w:rsid w:val="00FB1C4E"/>
    <w:rsid w:val="01A174F0"/>
    <w:rsid w:val="0C4F0BAB"/>
    <w:rsid w:val="0D066910"/>
    <w:rsid w:val="387C596A"/>
    <w:rsid w:val="47897F4F"/>
    <w:rsid w:val="56FE4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2" w:uiPriority="99"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4"/>
      <w:szCs w:val="24"/>
    </w:rPr>
  </w:style>
  <w:style w:type="paragraph" w:styleId="10">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link w:val="2Char"/>
    <w:semiHidden/>
    <w:unhideWhenUsed/>
    <w:qFormat/>
    <w:pPr>
      <w:keepNext/>
      <w:keepLines/>
      <w:spacing w:before="260" w:after="260" w:line="416" w:lineRule="auto"/>
      <w:outlineLvl w:val="1"/>
    </w:pPr>
    <w:rPr>
      <w:rFonts w:ascii="Arial" w:hAnsi="Arial"/>
      <w:b/>
      <w:bCs/>
      <w:kern w:val="0"/>
      <w:sz w:val="36"/>
      <w:szCs w:val="32"/>
    </w:rPr>
  </w:style>
  <w:style w:type="paragraph" w:styleId="3">
    <w:name w:val="heading 3"/>
    <w:basedOn w:val="a"/>
    <w:next w:val="a0"/>
    <w:semiHidden/>
    <w:unhideWhenUsed/>
    <w:qFormat/>
    <w:pPr>
      <w:tabs>
        <w:tab w:val="left" w:pos="851"/>
      </w:tabs>
      <w:autoSpaceDE w:val="0"/>
      <w:autoSpaceDN w:val="0"/>
      <w:adjustRightInd w:val="0"/>
      <w:snapToGrid w:val="0"/>
      <w:spacing w:line="360" w:lineRule="auto"/>
      <w:outlineLvl w:val="2"/>
    </w:pPr>
    <w:rPr>
      <w:rFonts w:ascii="宋体" w:hAnsi="宋体" w:cs="宋体"/>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
    <w:uiPriority w:val="99"/>
    <w:qFormat/>
    <w:pPr>
      <w:ind w:leftChars="200" w:left="100" w:hangingChars="200" w:hanging="200"/>
    </w:pPr>
  </w:style>
  <w:style w:type="paragraph" w:styleId="a0">
    <w:name w:val="Normal Indent"/>
    <w:basedOn w:val="a"/>
    <w:qFormat/>
    <w:pPr>
      <w:ind w:firstLineChars="200" w:firstLine="420"/>
    </w:pPr>
  </w:style>
  <w:style w:type="paragraph" w:customStyle="1" w:styleId="1">
    <w:name w:val="样式1"/>
    <w:basedOn w:val="20"/>
    <w:next w:val="a"/>
    <w:qFormat/>
    <w:pPr>
      <w:numPr>
        <w:numId w:val="1"/>
      </w:numPr>
    </w:pPr>
  </w:style>
  <w:style w:type="character" w:customStyle="1" w:styleId="1Char">
    <w:name w:val="标题 1 Char"/>
    <w:link w:val="10"/>
    <w:qFormat/>
    <w:rPr>
      <w:rFonts w:ascii="Calibri" w:eastAsia="宋体" w:hAnsi="Calibri"/>
      <w:b/>
      <w:bCs/>
      <w:kern w:val="44"/>
      <w:sz w:val="44"/>
      <w:szCs w:val="44"/>
    </w:rPr>
  </w:style>
  <w:style w:type="character" w:customStyle="1" w:styleId="2Char">
    <w:name w:val="标题 2 Char"/>
    <w:link w:val="20"/>
    <w:qFormat/>
    <w:rPr>
      <w:rFonts w:ascii="Arial" w:eastAsia="宋体" w:hAnsi="Arial"/>
      <w:b/>
      <w:bCs/>
      <w:sz w:val="36"/>
      <w:szCs w:val="32"/>
    </w:rPr>
  </w:style>
  <w:style w:type="paragraph" w:styleId="a4">
    <w:name w:val="header"/>
    <w:basedOn w:val="a"/>
    <w:link w:val="Char"/>
    <w:rsid w:val="00FB1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B1C4E"/>
    <w:rPr>
      <w:rFonts w:ascii="Times New Roman" w:eastAsia="宋体" w:hAnsi="Times New Roman" w:cs="Times New Roman"/>
      <w:kern w:val="2"/>
      <w:sz w:val="18"/>
      <w:szCs w:val="18"/>
    </w:rPr>
  </w:style>
  <w:style w:type="paragraph" w:styleId="a5">
    <w:name w:val="footer"/>
    <w:basedOn w:val="a"/>
    <w:link w:val="Char0"/>
    <w:rsid w:val="00FB1C4E"/>
    <w:pPr>
      <w:tabs>
        <w:tab w:val="center" w:pos="4153"/>
        <w:tab w:val="right" w:pos="8306"/>
      </w:tabs>
      <w:snapToGrid w:val="0"/>
      <w:jc w:val="left"/>
    </w:pPr>
    <w:rPr>
      <w:sz w:val="18"/>
      <w:szCs w:val="18"/>
    </w:rPr>
  </w:style>
  <w:style w:type="character" w:customStyle="1" w:styleId="Char0">
    <w:name w:val="页脚 Char"/>
    <w:basedOn w:val="a1"/>
    <w:link w:val="a5"/>
    <w:rsid w:val="00FB1C4E"/>
    <w:rPr>
      <w:rFonts w:ascii="Times New Roman" w:eastAsia="宋体" w:hAnsi="Times New Roman" w:cs="Times New Roman"/>
      <w:kern w:val="2"/>
      <w:sz w:val="18"/>
      <w:szCs w:val="18"/>
    </w:rPr>
  </w:style>
  <w:style w:type="paragraph" w:styleId="a6">
    <w:name w:val="Body Text Indent"/>
    <w:basedOn w:val="a"/>
    <w:link w:val="Char1"/>
    <w:qFormat/>
    <w:rsid w:val="00FB1C4E"/>
    <w:pPr>
      <w:spacing w:line="360" w:lineRule="auto"/>
      <w:ind w:firstLineChars="200" w:firstLine="480"/>
    </w:pPr>
    <w:rPr>
      <w:rFonts w:ascii="宋体" w:hAnsi="宋体"/>
      <w:szCs w:val="20"/>
    </w:rPr>
  </w:style>
  <w:style w:type="character" w:customStyle="1" w:styleId="Char1">
    <w:name w:val="正文文本缩进 Char"/>
    <w:basedOn w:val="a1"/>
    <w:link w:val="a6"/>
    <w:qFormat/>
    <w:rsid w:val="00FB1C4E"/>
    <w:rPr>
      <w:rFonts w:ascii="宋体" w:eastAsia="宋体" w:hAnsi="宋体" w:cs="Times New Roman"/>
      <w:kern w:val="2"/>
      <w:sz w:val="24"/>
    </w:rPr>
  </w:style>
  <w:style w:type="paragraph" w:customStyle="1" w:styleId="Style3">
    <w:name w:val="_Style 3"/>
    <w:basedOn w:val="a"/>
    <w:qFormat/>
    <w:rsid w:val="00FB1C4E"/>
    <w:pPr>
      <w:ind w:firstLineChars="200" w:firstLine="200"/>
    </w:pPr>
    <w:rPr>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List 2" w:uiPriority="99"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imes New Roman" w:eastAsia="宋体" w:hAnsi="Times New Roman" w:cs="Times New Roman"/>
      <w:kern w:val="2"/>
      <w:sz w:val="24"/>
      <w:szCs w:val="24"/>
    </w:rPr>
  </w:style>
  <w:style w:type="paragraph" w:styleId="10">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0">
    <w:name w:val="heading 2"/>
    <w:basedOn w:val="a"/>
    <w:next w:val="a"/>
    <w:link w:val="2Char"/>
    <w:semiHidden/>
    <w:unhideWhenUsed/>
    <w:qFormat/>
    <w:pPr>
      <w:keepNext/>
      <w:keepLines/>
      <w:spacing w:before="260" w:after="260" w:line="416" w:lineRule="auto"/>
      <w:outlineLvl w:val="1"/>
    </w:pPr>
    <w:rPr>
      <w:rFonts w:ascii="Arial" w:hAnsi="Arial"/>
      <w:b/>
      <w:bCs/>
      <w:kern w:val="0"/>
      <w:sz w:val="36"/>
      <w:szCs w:val="32"/>
    </w:rPr>
  </w:style>
  <w:style w:type="paragraph" w:styleId="3">
    <w:name w:val="heading 3"/>
    <w:basedOn w:val="a"/>
    <w:next w:val="a0"/>
    <w:semiHidden/>
    <w:unhideWhenUsed/>
    <w:qFormat/>
    <w:pPr>
      <w:tabs>
        <w:tab w:val="left" w:pos="851"/>
      </w:tabs>
      <w:autoSpaceDE w:val="0"/>
      <w:autoSpaceDN w:val="0"/>
      <w:adjustRightInd w:val="0"/>
      <w:snapToGrid w:val="0"/>
      <w:spacing w:line="360" w:lineRule="auto"/>
      <w:outlineLvl w:val="2"/>
    </w:pPr>
    <w:rPr>
      <w:rFonts w:ascii="宋体" w:hAnsi="宋体" w:cs="宋体"/>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2"/>
    <w:basedOn w:val="a"/>
    <w:uiPriority w:val="99"/>
    <w:qFormat/>
    <w:pPr>
      <w:ind w:leftChars="200" w:left="100" w:hangingChars="200" w:hanging="200"/>
    </w:pPr>
  </w:style>
  <w:style w:type="paragraph" w:styleId="a0">
    <w:name w:val="Normal Indent"/>
    <w:basedOn w:val="a"/>
    <w:qFormat/>
    <w:pPr>
      <w:ind w:firstLineChars="200" w:firstLine="420"/>
    </w:pPr>
  </w:style>
  <w:style w:type="paragraph" w:customStyle="1" w:styleId="1">
    <w:name w:val="样式1"/>
    <w:basedOn w:val="20"/>
    <w:next w:val="a"/>
    <w:qFormat/>
    <w:pPr>
      <w:numPr>
        <w:numId w:val="1"/>
      </w:numPr>
    </w:pPr>
  </w:style>
  <w:style w:type="character" w:customStyle="1" w:styleId="1Char">
    <w:name w:val="标题 1 Char"/>
    <w:link w:val="10"/>
    <w:qFormat/>
    <w:rPr>
      <w:rFonts w:ascii="Calibri" w:eastAsia="宋体" w:hAnsi="Calibri"/>
      <w:b/>
      <w:bCs/>
      <w:kern w:val="44"/>
      <w:sz w:val="44"/>
      <w:szCs w:val="44"/>
    </w:rPr>
  </w:style>
  <w:style w:type="character" w:customStyle="1" w:styleId="2Char">
    <w:name w:val="标题 2 Char"/>
    <w:link w:val="20"/>
    <w:qFormat/>
    <w:rPr>
      <w:rFonts w:ascii="Arial" w:eastAsia="宋体" w:hAnsi="Arial"/>
      <w:b/>
      <w:bCs/>
      <w:sz w:val="36"/>
      <w:szCs w:val="32"/>
    </w:rPr>
  </w:style>
  <w:style w:type="paragraph" w:styleId="a4">
    <w:name w:val="header"/>
    <w:basedOn w:val="a"/>
    <w:link w:val="Char"/>
    <w:rsid w:val="00FB1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B1C4E"/>
    <w:rPr>
      <w:rFonts w:ascii="Times New Roman" w:eastAsia="宋体" w:hAnsi="Times New Roman" w:cs="Times New Roman"/>
      <w:kern w:val="2"/>
      <w:sz w:val="18"/>
      <w:szCs w:val="18"/>
    </w:rPr>
  </w:style>
  <w:style w:type="paragraph" w:styleId="a5">
    <w:name w:val="footer"/>
    <w:basedOn w:val="a"/>
    <w:link w:val="Char0"/>
    <w:rsid w:val="00FB1C4E"/>
    <w:pPr>
      <w:tabs>
        <w:tab w:val="center" w:pos="4153"/>
        <w:tab w:val="right" w:pos="8306"/>
      </w:tabs>
      <w:snapToGrid w:val="0"/>
      <w:jc w:val="left"/>
    </w:pPr>
    <w:rPr>
      <w:sz w:val="18"/>
      <w:szCs w:val="18"/>
    </w:rPr>
  </w:style>
  <w:style w:type="character" w:customStyle="1" w:styleId="Char0">
    <w:name w:val="页脚 Char"/>
    <w:basedOn w:val="a1"/>
    <w:link w:val="a5"/>
    <w:rsid w:val="00FB1C4E"/>
    <w:rPr>
      <w:rFonts w:ascii="Times New Roman" w:eastAsia="宋体" w:hAnsi="Times New Roman" w:cs="Times New Roman"/>
      <w:kern w:val="2"/>
      <w:sz w:val="18"/>
      <w:szCs w:val="18"/>
    </w:rPr>
  </w:style>
  <w:style w:type="paragraph" w:styleId="a6">
    <w:name w:val="Body Text Indent"/>
    <w:basedOn w:val="a"/>
    <w:link w:val="Char1"/>
    <w:qFormat/>
    <w:rsid w:val="00FB1C4E"/>
    <w:pPr>
      <w:spacing w:line="360" w:lineRule="auto"/>
      <w:ind w:firstLineChars="200" w:firstLine="480"/>
    </w:pPr>
    <w:rPr>
      <w:rFonts w:ascii="宋体" w:hAnsi="宋体"/>
      <w:szCs w:val="20"/>
    </w:rPr>
  </w:style>
  <w:style w:type="character" w:customStyle="1" w:styleId="Char1">
    <w:name w:val="正文文本缩进 Char"/>
    <w:basedOn w:val="a1"/>
    <w:link w:val="a6"/>
    <w:qFormat/>
    <w:rsid w:val="00FB1C4E"/>
    <w:rPr>
      <w:rFonts w:ascii="宋体" w:eastAsia="宋体" w:hAnsi="宋体" w:cs="Times New Roman"/>
      <w:kern w:val="2"/>
      <w:sz w:val="24"/>
    </w:rPr>
  </w:style>
  <w:style w:type="paragraph" w:customStyle="1" w:styleId="Style3">
    <w:name w:val="_Style 3"/>
    <w:basedOn w:val="a"/>
    <w:qFormat/>
    <w:rsid w:val="00FB1C4E"/>
    <w:pPr>
      <w:ind w:firstLineChars="200" w:firstLine="20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365</Words>
  <Characters>2084</Characters>
  <Application>Microsoft Office Word</Application>
  <DocSecurity>0</DocSecurity>
  <Lines>17</Lines>
  <Paragraphs>4</Paragraphs>
  <ScaleCrop>false</ScaleCrop>
  <Company>China</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李玉亮</cp:lastModifiedBy>
  <cp:revision>6</cp:revision>
  <dcterms:created xsi:type="dcterms:W3CDTF">2021-03-23T07:06:00Z</dcterms:created>
  <dcterms:modified xsi:type="dcterms:W3CDTF">2021-05-14T06:42:00Z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7081218F927A455CB420C9F0AC26E566</vt:lpwstr>
  </property>
</Properties>
</file>