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55" w:rsidRDefault="003E6055" w:rsidP="003E6055">
      <w:pPr>
        <w:pStyle w:val="a5"/>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3E6055" w:rsidRDefault="003E6055" w:rsidP="003E6055"/>
    <w:p w:rsidR="003E6055" w:rsidRPr="000955B7" w:rsidRDefault="003E6055" w:rsidP="003E6055">
      <w:pPr>
        <w:sectPr w:rsidR="003E6055" w:rsidRPr="000955B7" w:rsidSect="00EB5FBC">
          <w:pgSz w:w="11906" w:h="16838" w:code="9"/>
          <w:pgMar w:top="1440" w:right="1077" w:bottom="1440" w:left="1077" w:header="851" w:footer="992" w:gutter="0"/>
          <w:cols w:space="425"/>
          <w:vAlign w:val="center"/>
          <w:docGrid w:type="lines" w:linePitch="312"/>
        </w:sectPr>
      </w:pPr>
    </w:p>
    <w:p w:rsidR="003E6055" w:rsidRDefault="003E6055" w:rsidP="003E6055">
      <w:pPr>
        <w:rPr>
          <w:rFonts w:ascii="仿宋" w:eastAsia="仿宋" w:hAnsi="仿宋" w:cs="仿宋_GB2312"/>
          <w:color w:val="FF0000"/>
          <w:szCs w:val="21"/>
        </w:rPr>
      </w:pPr>
    </w:p>
    <w:tbl>
      <w:tblPr>
        <w:tblW w:w="10000" w:type="dxa"/>
        <w:tblInd w:w="94" w:type="dxa"/>
        <w:tblLook w:val="04A0"/>
      </w:tblPr>
      <w:tblGrid>
        <w:gridCol w:w="2120"/>
        <w:gridCol w:w="7880"/>
      </w:tblGrid>
      <w:tr w:rsidR="003E6055" w:rsidRPr="008B7479" w:rsidTr="00377408">
        <w:trPr>
          <w:trHeight w:val="799"/>
        </w:trPr>
        <w:tc>
          <w:tcPr>
            <w:tcW w:w="2120" w:type="dxa"/>
            <w:tcBorders>
              <w:top w:val="single" w:sz="8" w:space="0" w:color="auto"/>
              <w:left w:val="single" w:sz="8" w:space="0" w:color="auto"/>
              <w:bottom w:val="nil"/>
              <w:right w:val="single" w:sz="4" w:space="0" w:color="auto"/>
            </w:tcBorders>
            <w:shd w:val="clear" w:color="auto" w:fill="auto"/>
            <w:vAlign w:val="center"/>
          </w:tcPr>
          <w:p w:rsidR="003E6055" w:rsidRPr="008B7479" w:rsidRDefault="003E6055" w:rsidP="00377408">
            <w:pPr>
              <w:widowControl/>
              <w:jc w:val="center"/>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项目名称</w:t>
            </w:r>
          </w:p>
        </w:tc>
        <w:tc>
          <w:tcPr>
            <w:tcW w:w="7880" w:type="dxa"/>
            <w:tcBorders>
              <w:top w:val="single" w:sz="8" w:space="0" w:color="auto"/>
              <w:left w:val="nil"/>
              <w:bottom w:val="nil"/>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盘锦市大洼区中医院消防改造工程</w:t>
            </w:r>
          </w:p>
        </w:tc>
      </w:tr>
      <w:tr w:rsidR="003E6055" w:rsidRPr="008B7479" w:rsidTr="00377408">
        <w:trPr>
          <w:trHeight w:val="799"/>
        </w:trPr>
        <w:tc>
          <w:tcPr>
            <w:tcW w:w="2120" w:type="dxa"/>
            <w:tcBorders>
              <w:top w:val="single" w:sz="8" w:space="0" w:color="auto"/>
              <w:left w:val="single" w:sz="8" w:space="0" w:color="auto"/>
              <w:bottom w:val="single" w:sz="8" w:space="0" w:color="auto"/>
              <w:right w:val="single" w:sz="4" w:space="0" w:color="auto"/>
            </w:tcBorders>
            <w:shd w:val="clear" w:color="auto" w:fill="auto"/>
            <w:vAlign w:val="center"/>
          </w:tcPr>
          <w:p w:rsidR="003E6055" w:rsidRPr="008B7479" w:rsidRDefault="003E6055" w:rsidP="00377408">
            <w:pPr>
              <w:widowControl/>
              <w:jc w:val="center"/>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用途说明</w:t>
            </w:r>
          </w:p>
        </w:tc>
        <w:tc>
          <w:tcPr>
            <w:tcW w:w="7880" w:type="dxa"/>
            <w:tcBorders>
              <w:top w:val="single" w:sz="8" w:space="0" w:color="auto"/>
              <w:left w:val="nil"/>
              <w:bottom w:val="single" w:sz="8" w:space="0" w:color="auto"/>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大洼区中医院消防系统升级改造</w:t>
            </w:r>
          </w:p>
        </w:tc>
      </w:tr>
      <w:tr w:rsidR="003E6055" w:rsidRPr="008B7479" w:rsidTr="00377408">
        <w:trPr>
          <w:trHeight w:val="7999"/>
        </w:trPr>
        <w:tc>
          <w:tcPr>
            <w:tcW w:w="2120" w:type="dxa"/>
            <w:vMerge w:val="restart"/>
            <w:tcBorders>
              <w:top w:val="nil"/>
              <w:left w:val="single" w:sz="8" w:space="0" w:color="auto"/>
              <w:bottom w:val="single" w:sz="8" w:space="0" w:color="auto"/>
              <w:right w:val="single" w:sz="8" w:space="0" w:color="auto"/>
            </w:tcBorders>
            <w:shd w:val="clear" w:color="auto" w:fill="auto"/>
          </w:tcPr>
          <w:p w:rsidR="003E6055" w:rsidRPr="008B7479" w:rsidRDefault="003E6055" w:rsidP="00377408">
            <w:pPr>
              <w:widowControl/>
              <w:jc w:val="center"/>
              <w:rPr>
                <w:rFonts w:ascii="仿宋_GB2312" w:eastAsia="仿宋_GB2312" w:hAnsi="宋体" w:cs="宋体"/>
                <w:b/>
                <w:bCs/>
                <w:color w:val="000000"/>
                <w:kern w:val="0"/>
                <w:sz w:val="24"/>
              </w:rPr>
            </w:pPr>
            <w:r w:rsidRPr="008B7479">
              <w:rPr>
                <w:rFonts w:ascii="仿宋_GB2312" w:eastAsia="仿宋_GB2312" w:hAnsi="宋体" w:cs="宋体" w:hint="eastAsia"/>
                <w:b/>
                <w:bCs/>
                <w:color w:val="000000"/>
                <w:kern w:val="0"/>
                <w:sz w:val="24"/>
              </w:rPr>
              <w:t xml:space="preserve">                                                                                                                                                              技术要求及参数     （包括附件、零配件及专用工具）</w:t>
            </w:r>
          </w:p>
        </w:tc>
        <w:tc>
          <w:tcPr>
            <w:tcW w:w="7880" w:type="dxa"/>
            <w:vMerge w:val="restart"/>
            <w:tcBorders>
              <w:top w:val="nil"/>
              <w:left w:val="single" w:sz="8" w:space="0" w:color="auto"/>
              <w:bottom w:val="single" w:sz="8" w:space="0" w:color="auto"/>
              <w:right w:val="single" w:sz="8" w:space="0" w:color="auto"/>
            </w:tcBorders>
            <w:shd w:val="clear" w:color="auto" w:fill="auto"/>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一、报警联动：</w:t>
            </w:r>
            <w:r w:rsidRPr="008B7479">
              <w:rPr>
                <w:rFonts w:ascii="仿宋_GB2312" w:eastAsia="仿宋_GB2312" w:hAnsi="宋体" w:cs="宋体" w:hint="eastAsia"/>
                <w:color w:val="000000"/>
                <w:kern w:val="0"/>
                <w:sz w:val="24"/>
              </w:rPr>
              <w:br/>
              <w:t>1、本工程系统形式为集中报警系统，设有火灾报警控制器；主电由消防电源AC220供给，控制器的自带蓄电池电源备用应急时间不小于180min。</w:t>
            </w:r>
            <w:r w:rsidRPr="008B7479">
              <w:rPr>
                <w:rFonts w:ascii="仿宋_GB2312" w:eastAsia="仿宋_GB2312" w:hAnsi="宋体" w:cs="宋体" w:hint="eastAsia"/>
                <w:color w:val="000000"/>
                <w:kern w:val="0"/>
                <w:sz w:val="24"/>
              </w:rPr>
              <w:br/>
              <w:t>2、在各房间，走道、楼梯间等处设置感烟探测器，探测器与灯具的水平净距应大于0.2m，探测器至墙壁、梁边的水平距离不应小于0.5m，探测器周围0.5m内，不应有遮挡物。空调送风口的水平距离不应小于1.5m，并宜接近回风口，至多孔送风顶棚孔口的水平距离不应小于0.5m。在主要出口处设手动报警按钮及火灾声光报警器。3、手动报警按钮底距地1.30m。4、在消火栓箱内设消火栓报警按钮。接线盒设在消火栓的开门侧，底距地1.80m。</w:t>
            </w:r>
            <w:r w:rsidRPr="008B7479">
              <w:rPr>
                <w:rFonts w:ascii="仿宋_GB2312" w:eastAsia="仿宋_GB2312" w:hAnsi="宋体" w:cs="宋体" w:hint="eastAsia"/>
                <w:color w:val="000000"/>
                <w:kern w:val="0"/>
                <w:sz w:val="24"/>
              </w:rPr>
              <w:br/>
              <w:t>5、平面图中所有火灾自动报警系统的供电线路、控制线路均采用耐火电线和电缆，穿热镀锌钢管，暗敷时，应穿管并应敷设在不燃性结构内且保护层厚度不应小于30mm。所用线槽及明敷设消防管线应做防火处理，其耐火极限不低于1.00h。</w:t>
            </w:r>
            <w:r w:rsidRPr="008B7479">
              <w:rPr>
                <w:rFonts w:ascii="仿宋_GB2312" w:eastAsia="仿宋_GB2312" w:hAnsi="宋体" w:cs="宋体" w:hint="eastAsia"/>
                <w:color w:val="000000"/>
                <w:kern w:val="0"/>
                <w:sz w:val="24"/>
              </w:rPr>
              <w:br/>
              <w:t>6、感烟探测器均吸顶安装，火灾声、光报警器安装高度底距地2.8m。</w:t>
            </w:r>
            <w:r w:rsidRPr="008B7479">
              <w:rPr>
                <w:rFonts w:ascii="仿宋_GB2312" w:eastAsia="仿宋_GB2312" w:hAnsi="宋体" w:cs="宋体" w:hint="eastAsia"/>
                <w:color w:val="000000"/>
                <w:kern w:val="0"/>
                <w:sz w:val="24"/>
              </w:rPr>
              <w:br/>
              <w:t>7．任一台火灾报警控制器所连接的火灾探测器、手动报警按钮和模块等设备总数和地址总数，均不应超过3200点，其中每一回路连接的设备总数不宜超过200点，且应留有不少于额定容量的10%，任一台消防联动控制器地址总数或火灾报警控制器（联动型）所控制的各类模块总数不应超过1600点，每一联动总线回路连接设备总数不宜超过100点，且应留有不少于额定容得10%的余量。</w:t>
            </w:r>
            <w:r w:rsidRPr="008B7479">
              <w:rPr>
                <w:rFonts w:ascii="仿宋_GB2312" w:eastAsia="仿宋_GB2312" w:hAnsi="宋体" w:cs="宋体" w:hint="eastAsia"/>
                <w:color w:val="000000"/>
                <w:kern w:val="0"/>
                <w:sz w:val="24"/>
              </w:rPr>
              <w:br/>
              <w:t xml:space="preserve"> 8．系统总线上应设置总线短路隔离器，每只总线短路隔离器保护的火灾探测器，手动火灾报警按钮盒模块等消防设备的总数不应超过32点；总线穿越防火分区时，应在穿越处设置总线短路隔离器。</w:t>
            </w:r>
            <w:r w:rsidRPr="008B7479">
              <w:rPr>
                <w:rFonts w:ascii="仿宋_GB2312" w:eastAsia="仿宋_GB2312" w:hAnsi="宋体" w:cs="宋体" w:hint="eastAsia"/>
                <w:color w:val="000000"/>
                <w:kern w:val="0"/>
                <w:sz w:val="24"/>
              </w:rPr>
              <w:br/>
              <w:t>9、消防报警回路管材采用B1级以上刚性塑料管。</w:t>
            </w:r>
            <w:r w:rsidRPr="008B7479">
              <w:rPr>
                <w:rFonts w:ascii="仿宋_GB2312" w:eastAsia="仿宋_GB2312" w:hAnsi="宋体" w:cs="宋体" w:hint="eastAsia"/>
                <w:color w:val="000000"/>
                <w:kern w:val="0"/>
                <w:sz w:val="24"/>
              </w:rPr>
              <w:br/>
            </w:r>
            <w:r w:rsidRPr="008B7479">
              <w:rPr>
                <w:rFonts w:ascii="仿宋_GB2312" w:eastAsia="仿宋_GB2312" w:hAnsi="宋体" w:cs="宋体" w:hint="eastAsia"/>
                <w:color w:val="000000"/>
                <w:kern w:val="0"/>
                <w:sz w:val="24"/>
              </w:rPr>
              <w:lastRenderedPageBreak/>
              <w:t>二、应急照明</w:t>
            </w:r>
            <w:r w:rsidRPr="008B7479">
              <w:rPr>
                <w:rFonts w:ascii="仿宋_GB2312" w:eastAsia="仿宋_GB2312" w:hAnsi="宋体" w:cs="宋体" w:hint="eastAsia"/>
                <w:color w:val="000000"/>
                <w:kern w:val="0"/>
                <w:sz w:val="24"/>
              </w:rPr>
              <w:br/>
              <w:t>1、本工程设有应急照明控制器。主电由消防电源AC220供给，控制器的自带蓄电池电源备用应急时间不小于180min.</w:t>
            </w:r>
            <w:r w:rsidRPr="008B7479">
              <w:rPr>
                <w:rFonts w:ascii="仿宋_GB2312" w:eastAsia="仿宋_GB2312" w:hAnsi="宋体" w:cs="宋体" w:hint="eastAsia"/>
                <w:color w:val="000000"/>
                <w:kern w:val="0"/>
                <w:sz w:val="24"/>
              </w:rPr>
              <w:br/>
              <w:t>2、根据消防应急照明和疏散指示系统技术标准GB51309-2018，本工程采用消防应急照明和疏散指示系统采用集中电源集中控制型系统。系统可24小时不间断的对设备进行巡检，保证了整个系统运行在最佳状态，避免火灾发生时的逃生盲区，此外，通过和消防报警设备的联动，获悉现场火警信息，正确调整逃生方向，使逃生人员安全、准确、迅速地选择安全通道逃生。</w:t>
            </w:r>
            <w:r w:rsidRPr="008B7479">
              <w:rPr>
                <w:rFonts w:ascii="仿宋_GB2312" w:eastAsia="仿宋_GB2312" w:hAnsi="宋体" w:cs="宋体" w:hint="eastAsia"/>
                <w:color w:val="000000"/>
                <w:kern w:val="0"/>
                <w:sz w:val="24"/>
              </w:rPr>
              <w:br/>
              <w:t>3、系统由应急照明控制器、应急照明集中电源装置和集中电源集中控制型消防应急灯具等组成。系统内设备及灯具均应为同一厂家生产制造供货，系统符合GB17945国标和GB51309国标和并具备公安部消防产品合格评定中心出具3C强制性认证证书及检验报告。</w:t>
            </w:r>
            <w:r w:rsidRPr="008B7479">
              <w:rPr>
                <w:rFonts w:ascii="仿宋_GB2312" w:eastAsia="仿宋_GB2312" w:hAnsi="宋体" w:cs="宋体" w:hint="eastAsia"/>
                <w:color w:val="000000"/>
                <w:kern w:val="0"/>
                <w:sz w:val="24"/>
              </w:rPr>
              <w:br/>
              <w:t>4、每台设备及灯具均具有独立地址码及控制芯片，可与控制器通过总线进行通信，真正实现“点式”控制，而非“段式”控制。</w:t>
            </w:r>
            <w:r w:rsidRPr="008B7479">
              <w:rPr>
                <w:rFonts w:ascii="仿宋_GB2312" w:eastAsia="仿宋_GB2312" w:hAnsi="宋体" w:cs="宋体" w:hint="eastAsia"/>
                <w:color w:val="000000"/>
                <w:kern w:val="0"/>
                <w:sz w:val="24"/>
              </w:rPr>
              <w:br/>
              <w:t>5、系统应能与火灾自动报警系统通信，自动获取火灾报警点信息或消防联动信号，系统自动进入应急状态。</w:t>
            </w:r>
            <w:r w:rsidRPr="008B7479">
              <w:rPr>
                <w:rFonts w:ascii="仿宋_GB2312" w:eastAsia="仿宋_GB2312" w:hAnsi="宋体" w:cs="宋体" w:hint="eastAsia"/>
                <w:color w:val="000000"/>
                <w:kern w:val="0"/>
                <w:sz w:val="24"/>
              </w:rPr>
              <w:br/>
              <w:t>6、应急照明控制器与应急照明集中电源的通信回路采用NH-RVSP-2*1.5mm -SC20/走消防耐火线槽。</w:t>
            </w:r>
            <w:r w:rsidRPr="008B7479">
              <w:rPr>
                <w:rFonts w:ascii="仿宋_GB2312" w:eastAsia="仿宋_GB2312" w:hAnsi="宋体" w:cs="宋体" w:hint="eastAsia"/>
                <w:color w:val="000000"/>
                <w:kern w:val="0"/>
                <w:sz w:val="24"/>
              </w:rPr>
              <w:br/>
              <w:t>7、应急照明集中电源取自消防电源AC220V/50HZ，输出为安全电压，切换时间：≤0.25S。火灾模式，接收控制器应急启动指令，可实现灯具应急点亮。非火灾模式，在正常照明电源断电后，可实现灯具应急点亮。</w:t>
            </w:r>
            <w:r w:rsidRPr="008B7479">
              <w:rPr>
                <w:rFonts w:ascii="仿宋_GB2312" w:eastAsia="仿宋_GB2312" w:hAnsi="宋体" w:cs="宋体" w:hint="eastAsia"/>
                <w:color w:val="000000"/>
                <w:kern w:val="0"/>
                <w:sz w:val="24"/>
              </w:rPr>
              <w:br/>
              <w:t>8、A型消防应急标志灯带独立地址、不自带电池。工作电压为安全电压，</w:t>
            </w:r>
            <w:r w:rsidRPr="008B7479">
              <w:rPr>
                <w:rFonts w:ascii="仿宋_GB2312" w:eastAsia="仿宋_GB2312" w:hAnsi="宋体" w:cs="宋体" w:hint="eastAsia"/>
                <w:color w:val="000000"/>
                <w:kern w:val="0"/>
                <w:sz w:val="24"/>
              </w:rPr>
              <w:lastRenderedPageBreak/>
              <w:t>采用宽电压范围设计，能实现巡检、常亮、频闪、灭灯等功能。</w:t>
            </w:r>
            <w:r w:rsidRPr="008B7479">
              <w:rPr>
                <w:rFonts w:ascii="仿宋_GB2312" w:eastAsia="仿宋_GB2312" w:hAnsi="宋体" w:cs="宋体" w:hint="eastAsia"/>
                <w:color w:val="000000"/>
                <w:kern w:val="0"/>
                <w:sz w:val="24"/>
              </w:rPr>
              <w:br/>
              <w:t>9、A型消防应急照明灯采用LED光源，带独立地址、不自带电池，DC24V直流供电。工作电压为安全电压，采用宽电压范围设计。非持续型工作模式，用于疏散照明，平时不点亮，不兼做日常照明，应急时由控制器主机通过总线控制强制点亮。</w:t>
            </w:r>
            <w:r w:rsidRPr="008B7479">
              <w:rPr>
                <w:rFonts w:ascii="仿宋_GB2312" w:eastAsia="仿宋_GB2312" w:hAnsi="宋体" w:cs="宋体" w:hint="eastAsia"/>
                <w:color w:val="000000"/>
                <w:kern w:val="0"/>
                <w:sz w:val="24"/>
              </w:rPr>
              <w:br/>
              <w:t>10、A型消防应急灯具通过二总线（即供电+通信合用二总线）接入本区域应急照明集中电源，穿金属管敷设保护。</w:t>
            </w:r>
            <w:r w:rsidRPr="008B7479">
              <w:rPr>
                <w:rFonts w:ascii="仿宋_GB2312" w:eastAsia="仿宋_GB2312" w:hAnsi="宋体" w:cs="宋体" w:hint="eastAsia"/>
                <w:color w:val="000000"/>
                <w:kern w:val="0"/>
                <w:sz w:val="24"/>
              </w:rPr>
              <w:br/>
              <w:t>11、消防联动需火灾报警系统提供标准接口及通信协议。</w:t>
            </w:r>
            <w:r w:rsidRPr="008B7479">
              <w:rPr>
                <w:rFonts w:ascii="仿宋_GB2312" w:eastAsia="仿宋_GB2312" w:hAnsi="宋体" w:cs="宋体" w:hint="eastAsia"/>
                <w:color w:val="000000"/>
                <w:kern w:val="0"/>
                <w:sz w:val="24"/>
              </w:rPr>
              <w:br/>
              <w:t>12、疏散走道、门厅的地面最低照度不应低于1.0Lx，楼梯间的地面最低照度不应低于5.0Lx，消防控制室、消防水箱间应急照明为100%正常照明；</w:t>
            </w:r>
            <w:r w:rsidRPr="008B7479">
              <w:rPr>
                <w:rFonts w:ascii="仿宋_GB2312" w:eastAsia="仿宋_GB2312" w:hAnsi="宋体" w:cs="宋体" w:hint="eastAsia"/>
                <w:color w:val="000000"/>
                <w:kern w:val="0"/>
                <w:sz w:val="24"/>
              </w:rPr>
              <w:br/>
              <w:t>13、应急照明配电线路为无卤低烟阻燃耐火型铜芯导体交联聚乙烯绝缘导线(WDZN-BYJ)，通信线路为耐火型铜芯聚氯乙烯绝缘聚氯乙烯护套屏蔽软电线电缆（NH-RVSP）,暗敷时应穿SC管并应敷设在不燃性结构内且保护层厚度不应小30mm。明敷设时应敷设在有防火保护的金属管或有防火保护的封闭式金属线槽内。</w:t>
            </w:r>
            <w:r w:rsidRPr="008B7479">
              <w:rPr>
                <w:rFonts w:ascii="仿宋_GB2312" w:eastAsia="仿宋_GB2312" w:hAnsi="宋体" w:cs="宋体" w:hint="eastAsia"/>
                <w:color w:val="000000"/>
                <w:kern w:val="0"/>
                <w:sz w:val="24"/>
              </w:rPr>
              <w:br/>
              <w:t>三、消火栓系统</w:t>
            </w:r>
            <w:r w:rsidRPr="008B7479">
              <w:rPr>
                <w:rFonts w:ascii="仿宋_GB2312" w:eastAsia="仿宋_GB2312" w:hAnsi="宋体" w:cs="宋体" w:hint="eastAsia"/>
                <w:color w:val="000000"/>
                <w:kern w:val="0"/>
                <w:sz w:val="24"/>
              </w:rPr>
              <w:br/>
              <w:t>1、本建筑室内消防用水量20L/s，室外消防用水量为25L/s,火灾延续时间2h；喷淋系统用水量30L/s，火灾延续时间1h。</w:t>
            </w:r>
            <w:r w:rsidRPr="008B7479">
              <w:rPr>
                <w:rFonts w:ascii="仿宋_GB2312" w:eastAsia="仿宋_GB2312" w:hAnsi="宋体" w:cs="宋体" w:hint="eastAsia"/>
                <w:color w:val="000000"/>
                <w:kern w:val="0"/>
                <w:sz w:val="24"/>
              </w:rPr>
              <w:br/>
              <w:t>2、、室内消火栓系统给水由区内消防水池、泵房提供，消防水池有效容积252m3，贮存室内消火栓及喷淋系统用水。消防水池、泵房另行设计，所选水泵流量及扬程需满足本楼消防要求。本楼屋顶水箱间设置消防水箱，有效容积18m3，并设置有增压稳压设施，以满足消火栓及喷淋系统最不利点处的静水压力的要求。室外消防由市政给水管网供给。</w:t>
            </w:r>
            <w:r w:rsidRPr="008B7479">
              <w:rPr>
                <w:rFonts w:ascii="仿宋_GB2312" w:eastAsia="仿宋_GB2312" w:hAnsi="宋体" w:cs="宋体" w:hint="eastAsia"/>
                <w:color w:val="000000"/>
                <w:kern w:val="0"/>
                <w:sz w:val="24"/>
              </w:rPr>
              <w:br/>
              <w:t>3、室内消火栓布置保证任何部位有两只水枪充实水柱同时到达，本设计</w:t>
            </w:r>
            <w:r w:rsidRPr="008B7479">
              <w:rPr>
                <w:rFonts w:ascii="仿宋_GB2312" w:eastAsia="仿宋_GB2312" w:hAnsi="宋体" w:cs="宋体" w:hint="eastAsia"/>
                <w:color w:val="000000"/>
                <w:kern w:val="0"/>
                <w:sz w:val="24"/>
              </w:rPr>
              <w:lastRenderedPageBreak/>
              <w:t>水枪充实水柱采用消火栓保护半径29m。消火栓采用SN65型。栓箱内应设有DN65尼龙衬胶水带一条，长度25mQZ19直流水枪一个。</w:t>
            </w:r>
            <w:r w:rsidRPr="008B7479">
              <w:rPr>
                <w:rFonts w:ascii="仿宋_GB2312" w:eastAsia="仿宋_GB2312" w:hAnsi="宋体" w:cs="宋体" w:hint="eastAsia"/>
                <w:color w:val="000000"/>
                <w:kern w:val="0"/>
                <w:sz w:val="24"/>
              </w:rPr>
              <w:br/>
              <w:t>3、4、消火栓系统管道采用热浸镀锌钢管，DN≤50螺纹连接，DN&gt;50采用沟槽式连接。明装部分外刷银粉二道，埋地部分作加强级防腐。</w:t>
            </w:r>
            <w:r w:rsidRPr="008B7479">
              <w:rPr>
                <w:rFonts w:ascii="仿宋_GB2312" w:eastAsia="仿宋_GB2312" w:hAnsi="宋体" w:cs="宋体" w:hint="eastAsia"/>
                <w:color w:val="000000"/>
                <w:kern w:val="0"/>
                <w:sz w:val="24"/>
              </w:rPr>
              <w:br/>
              <w:t>四、喷淋系统</w:t>
            </w:r>
            <w:r w:rsidRPr="008B7479">
              <w:rPr>
                <w:rFonts w:ascii="仿宋_GB2312" w:eastAsia="仿宋_GB2312" w:hAnsi="宋体" w:cs="宋体" w:hint="eastAsia"/>
                <w:color w:val="000000"/>
                <w:kern w:val="0"/>
                <w:sz w:val="24"/>
              </w:rPr>
              <w:br/>
              <w:t>1、该工程设置危险等级为中危险级，采用湿式自动喷水灭火系统。</w:t>
            </w:r>
            <w:r w:rsidRPr="008B7479">
              <w:rPr>
                <w:rFonts w:ascii="仿宋_GB2312" w:eastAsia="仿宋_GB2312" w:hAnsi="宋体" w:cs="宋体" w:hint="eastAsia"/>
                <w:color w:val="000000"/>
                <w:kern w:val="0"/>
                <w:sz w:val="24"/>
              </w:rPr>
              <w:br/>
              <w:t>2、设计基本参数：设计喷水强度6L/min.m2，作用面积160m2。设计流量30L/s，入口设计压力0.68MPa。消防长轴深井泵Q=50L/s H=86m N=75KW一用一备。</w:t>
            </w:r>
            <w:r w:rsidRPr="008B7479">
              <w:rPr>
                <w:rFonts w:ascii="仿宋_GB2312" w:eastAsia="仿宋_GB2312" w:hAnsi="宋体" w:cs="宋体" w:hint="eastAsia"/>
                <w:color w:val="000000"/>
                <w:kern w:val="0"/>
                <w:sz w:val="24"/>
              </w:rPr>
              <w:br/>
              <w:t>3、喷头：采用吊顶型喷头，动作温度68°C，流量系数K=80。</w:t>
            </w:r>
            <w:r w:rsidRPr="008B7479">
              <w:rPr>
                <w:rFonts w:ascii="仿宋_GB2312" w:eastAsia="仿宋_GB2312" w:hAnsi="宋体" w:cs="宋体" w:hint="eastAsia"/>
                <w:color w:val="000000"/>
                <w:kern w:val="0"/>
                <w:sz w:val="24"/>
              </w:rPr>
              <w:br/>
              <w:t>4、阀门：采用湿式报警阀组，安装应在供水管网试压、冲洗合格后进行，阀组进出口阀门采用信号蝶阀。</w:t>
            </w:r>
            <w:r w:rsidRPr="008B7479">
              <w:rPr>
                <w:rFonts w:ascii="仿宋_GB2312" w:eastAsia="仿宋_GB2312" w:hAnsi="宋体" w:cs="宋体" w:hint="eastAsia"/>
                <w:color w:val="000000"/>
                <w:kern w:val="0"/>
                <w:sz w:val="24"/>
              </w:rPr>
              <w:br/>
              <w:t>5、喷淋系统管道采用热浸镀锌钢管，DN≤50丝接，DN&gt;50沟槽式连接，刷银粉二道，埋地做加强级防腐。</w:t>
            </w:r>
            <w:r w:rsidRPr="008B7479">
              <w:rPr>
                <w:rFonts w:ascii="仿宋_GB2312" w:eastAsia="仿宋_GB2312" w:hAnsi="宋体" w:cs="宋体" w:hint="eastAsia"/>
                <w:color w:val="000000"/>
                <w:kern w:val="0"/>
                <w:sz w:val="24"/>
              </w:rPr>
              <w:br/>
              <w:t>五、消防泵房及外网</w:t>
            </w:r>
            <w:r w:rsidRPr="008B7479">
              <w:rPr>
                <w:rFonts w:ascii="仿宋_GB2312" w:eastAsia="仿宋_GB2312" w:hAnsi="宋体" w:cs="宋体" w:hint="eastAsia"/>
                <w:color w:val="000000"/>
                <w:kern w:val="0"/>
                <w:sz w:val="24"/>
              </w:rPr>
              <w:br/>
              <w:t>1.本项目室内消防用水量20L/s，室外消防用水量为25L/s,火灾延续时间2h；喷淋系统用水量30L/s，火灾延续时间1h。消防水源利用主楼南侧原消防水池（500m3），通过两根DN300连通管与新建消防泵房吸水池连接。消防主泵采用消防长轴深井泵，供应主楼室内消火栓及喷淋系统给水。室外消防通过原消防水池上设置的取水口及市政消火栓供给。消防水池进水、溢流、排污等均利用原消防水池设施。</w:t>
            </w:r>
            <w:r w:rsidRPr="008B7479">
              <w:rPr>
                <w:rFonts w:ascii="仿宋_GB2312" w:eastAsia="仿宋_GB2312" w:hAnsi="宋体" w:cs="宋体" w:hint="eastAsia"/>
                <w:color w:val="000000"/>
                <w:kern w:val="0"/>
                <w:sz w:val="24"/>
              </w:rPr>
              <w:br/>
              <w:t>4、管材：消防给水管道均采用内外热浸镀锌钢管，DN≤50丝接，DN&gt;50卡箍连接；水池连通管采用无缝钢管，焊接连接。</w:t>
            </w:r>
            <w:r w:rsidRPr="008B7479">
              <w:rPr>
                <w:rFonts w:ascii="仿宋_GB2312" w:eastAsia="仿宋_GB2312" w:hAnsi="宋体" w:cs="宋体" w:hint="eastAsia"/>
                <w:color w:val="000000"/>
                <w:kern w:val="0"/>
                <w:sz w:val="24"/>
              </w:rPr>
              <w:br/>
              <w:t>5、阀门：闸阀采用不锈钢材质，蝶阀采用法兰蝶阀，水泵出水管采用微阻缓闭消声止回阀。</w:t>
            </w:r>
            <w:r w:rsidRPr="008B7479">
              <w:rPr>
                <w:rFonts w:ascii="仿宋_GB2312" w:eastAsia="仿宋_GB2312" w:hAnsi="宋体" w:cs="宋体" w:hint="eastAsia"/>
                <w:color w:val="000000"/>
                <w:kern w:val="0"/>
                <w:sz w:val="24"/>
              </w:rPr>
              <w:br/>
            </w:r>
            <w:r w:rsidRPr="008B7479">
              <w:rPr>
                <w:rFonts w:ascii="仿宋_GB2312" w:eastAsia="仿宋_GB2312" w:hAnsi="宋体" w:cs="宋体" w:hint="eastAsia"/>
                <w:color w:val="000000"/>
                <w:kern w:val="0"/>
                <w:sz w:val="24"/>
              </w:rPr>
              <w:lastRenderedPageBreak/>
              <w:t>6、防腐：明装金属管道刷银粉两道，埋地金属管道均做加强级防腐。</w:t>
            </w:r>
            <w:r w:rsidRPr="008B7479">
              <w:rPr>
                <w:rFonts w:ascii="仿宋_GB2312" w:eastAsia="仿宋_GB2312" w:hAnsi="宋体" w:cs="宋体" w:hint="eastAsia"/>
                <w:color w:val="000000"/>
                <w:kern w:val="0"/>
                <w:sz w:val="24"/>
              </w:rPr>
              <w:br/>
              <w:t>六、消防泵房电气部分</w:t>
            </w:r>
            <w:r w:rsidRPr="008B7479">
              <w:rPr>
                <w:rFonts w:ascii="仿宋_GB2312" w:eastAsia="仿宋_GB2312" w:hAnsi="宋体" w:cs="宋体" w:hint="eastAsia"/>
                <w:color w:val="000000"/>
                <w:kern w:val="0"/>
                <w:sz w:val="24"/>
              </w:rPr>
              <w:br/>
              <w:t>1、负荷分类及容量：消防设备、应急照明、按二级负荷供电；二级负荷采用双电源末端配电箱互投。本工程共有2个电源进线，一路为电网供电,另一路为备用柴油发动机.其计算容量参见供电系统图。施工参见12D101-5《110kV及以下电缆敷设》。</w:t>
            </w:r>
            <w:r w:rsidRPr="008B7479">
              <w:rPr>
                <w:rFonts w:ascii="仿宋_GB2312" w:eastAsia="仿宋_GB2312" w:hAnsi="宋体" w:cs="宋体" w:hint="eastAsia"/>
                <w:color w:val="000000"/>
                <w:kern w:val="0"/>
                <w:sz w:val="24"/>
              </w:rPr>
              <w:br/>
              <w:t>七、导线选择及敷设</w:t>
            </w:r>
            <w:r w:rsidRPr="008B7479">
              <w:rPr>
                <w:rFonts w:ascii="仿宋_GB2312" w:eastAsia="仿宋_GB2312" w:hAnsi="宋体" w:cs="宋体" w:hint="eastAsia"/>
                <w:color w:val="000000"/>
                <w:kern w:val="0"/>
                <w:sz w:val="24"/>
              </w:rPr>
              <w:br/>
              <w:t>1、自动力箱引出的电缆采用NHYJV型。穿镀锌钢管地面暗敷。</w:t>
            </w:r>
            <w:r w:rsidRPr="008B7479">
              <w:rPr>
                <w:rFonts w:ascii="仿宋_GB2312" w:eastAsia="仿宋_GB2312" w:hAnsi="宋体" w:cs="宋体" w:hint="eastAsia"/>
                <w:color w:val="000000"/>
                <w:kern w:val="0"/>
                <w:sz w:val="24"/>
              </w:rPr>
              <w:br/>
              <w:t>2、照明线选用ZRBV-0.75kV聚氯乙烯绝缘导线。导线均穿钢管沿墙及楼板暗敷。照明线采用3x2.5mm，钢管采用SC20；</w:t>
            </w:r>
            <w:r w:rsidRPr="008B7479">
              <w:rPr>
                <w:rFonts w:ascii="仿宋_GB2312" w:eastAsia="仿宋_GB2312" w:hAnsi="宋体" w:cs="宋体" w:hint="eastAsia"/>
                <w:color w:val="000000"/>
                <w:kern w:val="0"/>
                <w:sz w:val="24"/>
              </w:rPr>
              <w:br/>
              <w:t>3、室外管线埋深1000mm。</w:t>
            </w:r>
            <w:r w:rsidRPr="008B7479">
              <w:rPr>
                <w:rFonts w:ascii="仿宋_GB2312" w:eastAsia="仿宋_GB2312" w:hAnsi="宋体" w:cs="宋体" w:hint="eastAsia"/>
                <w:color w:val="000000"/>
                <w:kern w:val="0"/>
                <w:sz w:val="24"/>
              </w:rPr>
              <w:br/>
              <w:t>八、配电设备安装</w:t>
            </w:r>
            <w:r w:rsidRPr="008B7479">
              <w:rPr>
                <w:rFonts w:ascii="仿宋_GB2312" w:eastAsia="仿宋_GB2312" w:hAnsi="宋体" w:cs="宋体" w:hint="eastAsia"/>
                <w:color w:val="000000"/>
                <w:kern w:val="0"/>
                <w:sz w:val="24"/>
              </w:rPr>
              <w:br/>
              <w:t xml:space="preserve">1、动力箱、双电源切换箱安装方式见系统图要求. 暗装照明配电箱底边距地1.4m； </w:t>
            </w:r>
            <w:r w:rsidRPr="008B7479">
              <w:rPr>
                <w:rFonts w:ascii="仿宋_GB2312" w:eastAsia="仿宋_GB2312" w:hAnsi="宋体" w:cs="宋体" w:hint="eastAsia"/>
                <w:color w:val="000000"/>
                <w:kern w:val="0"/>
                <w:sz w:val="24"/>
              </w:rPr>
              <w:br/>
              <w:t>2、照明开关1.3m；</w:t>
            </w:r>
            <w:r w:rsidRPr="008B7479">
              <w:rPr>
                <w:rFonts w:ascii="仿宋_GB2312" w:eastAsia="仿宋_GB2312" w:hAnsi="宋体" w:cs="宋体" w:hint="eastAsia"/>
                <w:color w:val="000000"/>
                <w:kern w:val="0"/>
                <w:sz w:val="24"/>
              </w:rPr>
              <w:br/>
              <w:t>3、本工程接地型式采用TN-C-S系统，电源在进户处做重复接地,要求接地电阻不大于1欧姆。本工程打人工接地极，接地极采用∠50x5x2500热镀锌角钢，接地线采用-40x4热镀锌扁钢，接地极间距5m，距建筑物3m，接地极顶端距地1m。接地电阻如达不到要求时，应补加接地体施工参见辽2002D502。</w:t>
            </w:r>
            <w:r w:rsidRPr="008B7479">
              <w:rPr>
                <w:rFonts w:ascii="仿宋_GB2312" w:eastAsia="仿宋_GB2312" w:hAnsi="宋体" w:cs="宋体" w:hint="eastAsia"/>
                <w:color w:val="000000"/>
                <w:kern w:val="0"/>
                <w:sz w:val="24"/>
              </w:rPr>
              <w:br/>
              <w:t>4、建筑物做总等电位联结，在电源进户处设总等电位端子箱，安装高度为底边对地0.5m，并将配电箱的PE母排、进入建筑物的各种金属管道、建筑物的金属构件等与MEB箱做连接。联结线采用-40x4镀锌扁钢。所有电气设备外露可导电部分、电缆金属外皮、保护钢管、支架、设备外壳等做可靠接地。</w:t>
            </w:r>
            <w:r w:rsidRPr="008B7479">
              <w:rPr>
                <w:rFonts w:ascii="仿宋_GB2312" w:eastAsia="仿宋_GB2312" w:hAnsi="宋体" w:cs="宋体" w:hint="eastAsia"/>
                <w:color w:val="000000"/>
                <w:kern w:val="0"/>
                <w:sz w:val="24"/>
              </w:rPr>
              <w:br/>
              <w:t>5、消防泵房内出水干管上的压力开关直接启动消防长轴深井泵。消防水泵应能手动启停和自动启动，消防水泵不应设置自动停泵功能，停泵应由具有管理权限的工作人员根据火灾扑救情况确定。消防水泵控制柜其防护等级不应低于IP55。消防水泵控制柜设置机械应急启泵功能，在控制柜内的控制线路发生故障时由有管理权限的人员在紧急时启动消防水泵。机械应急启动时，确保消防水泵在报警后5.0min内正常工作。</w:t>
            </w:r>
            <w:r w:rsidRPr="008B7479">
              <w:rPr>
                <w:rFonts w:ascii="仿宋_GB2312" w:eastAsia="仿宋_GB2312" w:hAnsi="宋体" w:cs="宋体" w:hint="eastAsia"/>
                <w:color w:val="000000"/>
                <w:kern w:val="0"/>
                <w:sz w:val="24"/>
              </w:rPr>
              <w:br/>
              <w:t>6、布线：所有联动控制线，报警总线、电源线及其它控制线穿金属钢管沿楼板及墙暗敷，且保护层的厚度不宜小于30mm。</w:t>
            </w:r>
            <w:r w:rsidRPr="008B7479">
              <w:rPr>
                <w:rFonts w:ascii="仿宋_GB2312" w:eastAsia="仿宋_GB2312" w:hAnsi="宋体" w:cs="宋体" w:hint="eastAsia"/>
                <w:color w:val="000000"/>
                <w:kern w:val="0"/>
                <w:sz w:val="24"/>
              </w:rPr>
              <w:br/>
              <w:t>7、设备安装：接线箱暗装，底边对地1.6m。消防电话分机1.3m。</w:t>
            </w:r>
            <w:r w:rsidRPr="008B7479">
              <w:rPr>
                <w:rFonts w:ascii="仿宋_GB2312" w:eastAsia="仿宋_GB2312" w:hAnsi="宋体" w:cs="宋体" w:hint="eastAsia"/>
                <w:color w:val="000000"/>
                <w:kern w:val="0"/>
                <w:sz w:val="24"/>
              </w:rPr>
              <w:br/>
              <w:t>8、消防泵房内的钢管外涂防火涂料.消防泵房电控箱、电源箱应做防火处理,并有明显标志。</w:t>
            </w:r>
          </w:p>
        </w:tc>
      </w:tr>
      <w:tr w:rsidR="003E6055" w:rsidRPr="008B7479" w:rsidTr="00377408">
        <w:trPr>
          <w:trHeight w:val="7380"/>
        </w:trPr>
        <w:tc>
          <w:tcPr>
            <w:tcW w:w="2120" w:type="dxa"/>
            <w:vMerge/>
            <w:tcBorders>
              <w:top w:val="nil"/>
              <w:left w:val="single" w:sz="8" w:space="0" w:color="auto"/>
              <w:bottom w:val="single" w:sz="8" w:space="0" w:color="auto"/>
              <w:right w:val="single" w:sz="8" w:space="0" w:color="auto"/>
            </w:tcBorders>
            <w:vAlign w:val="center"/>
          </w:tcPr>
          <w:p w:rsidR="003E6055" w:rsidRPr="008B7479" w:rsidRDefault="003E6055" w:rsidP="00377408">
            <w:pPr>
              <w:widowControl/>
              <w:jc w:val="left"/>
              <w:rPr>
                <w:rFonts w:ascii="仿宋_GB2312" w:eastAsia="仿宋_GB2312" w:hAnsi="宋体" w:cs="宋体"/>
                <w:b/>
                <w:bCs/>
                <w:color w:val="000000"/>
                <w:kern w:val="0"/>
                <w:sz w:val="24"/>
              </w:rPr>
            </w:pPr>
          </w:p>
        </w:tc>
        <w:tc>
          <w:tcPr>
            <w:tcW w:w="7880" w:type="dxa"/>
            <w:vMerge/>
            <w:tcBorders>
              <w:top w:val="nil"/>
              <w:left w:val="single" w:sz="8" w:space="0" w:color="auto"/>
              <w:bottom w:val="single" w:sz="8" w:space="0" w:color="auto"/>
              <w:right w:val="single" w:sz="8" w:space="0" w:color="auto"/>
            </w:tcBorders>
            <w:vAlign w:val="center"/>
          </w:tcPr>
          <w:p w:rsidR="003E6055" w:rsidRPr="008B7479" w:rsidRDefault="003E6055" w:rsidP="00377408">
            <w:pPr>
              <w:widowControl/>
              <w:jc w:val="left"/>
              <w:rPr>
                <w:rFonts w:ascii="仿宋_GB2312" w:eastAsia="仿宋_GB2312" w:hAnsi="宋体" w:cs="宋体"/>
                <w:color w:val="000000"/>
                <w:kern w:val="0"/>
                <w:sz w:val="24"/>
              </w:rPr>
            </w:pPr>
          </w:p>
        </w:tc>
      </w:tr>
      <w:tr w:rsidR="003E6055" w:rsidRPr="008B7479" w:rsidTr="00377408">
        <w:trPr>
          <w:trHeight w:val="7639"/>
        </w:trPr>
        <w:tc>
          <w:tcPr>
            <w:tcW w:w="2120" w:type="dxa"/>
            <w:vMerge/>
            <w:tcBorders>
              <w:top w:val="nil"/>
              <w:left w:val="single" w:sz="8" w:space="0" w:color="auto"/>
              <w:bottom w:val="single" w:sz="8" w:space="0" w:color="auto"/>
              <w:right w:val="single" w:sz="8" w:space="0" w:color="auto"/>
            </w:tcBorders>
            <w:vAlign w:val="center"/>
          </w:tcPr>
          <w:p w:rsidR="003E6055" w:rsidRPr="008B7479" w:rsidRDefault="003E6055" w:rsidP="00377408">
            <w:pPr>
              <w:widowControl/>
              <w:jc w:val="left"/>
              <w:rPr>
                <w:rFonts w:ascii="仿宋_GB2312" w:eastAsia="仿宋_GB2312" w:hAnsi="宋体" w:cs="宋体"/>
                <w:b/>
                <w:bCs/>
                <w:color w:val="000000"/>
                <w:kern w:val="0"/>
                <w:sz w:val="24"/>
              </w:rPr>
            </w:pPr>
          </w:p>
        </w:tc>
        <w:tc>
          <w:tcPr>
            <w:tcW w:w="7880" w:type="dxa"/>
            <w:vMerge/>
            <w:tcBorders>
              <w:top w:val="nil"/>
              <w:left w:val="single" w:sz="8" w:space="0" w:color="auto"/>
              <w:bottom w:val="single" w:sz="8" w:space="0" w:color="auto"/>
              <w:right w:val="single" w:sz="8" w:space="0" w:color="auto"/>
            </w:tcBorders>
            <w:vAlign w:val="center"/>
          </w:tcPr>
          <w:p w:rsidR="003E6055" w:rsidRPr="008B7479" w:rsidRDefault="003E6055" w:rsidP="00377408">
            <w:pPr>
              <w:widowControl/>
              <w:jc w:val="left"/>
              <w:rPr>
                <w:rFonts w:ascii="仿宋_GB2312" w:eastAsia="仿宋_GB2312" w:hAnsi="宋体" w:cs="宋体"/>
                <w:color w:val="000000"/>
                <w:kern w:val="0"/>
                <w:sz w:val="24"/>
              </w:rPr>
            </w:pPr>
          </w:p>
        </w:tc>
      </w:tr>
      <w:tr w:rsidR="003E6055" w:rsidRPr="008B7479" w:rsidTr="00377408">
        <w:trPr>
          <w:trHeight w:val="7962"/>
        </w:trPr>
        <w:tc>
          <w:tcPr>
            <w:tcW w:w="2120" w:type="dxa"/>
            <w:vMerge/>
            <w:tcBorders>
              <w:top w:val="nil"/>
              <w:left w:val="single" w:sz="8" w:space="0" w:color="auto"/>
              <w:bottom w:val="single" w:sz="8" w:space="0" w:color="auto"/>
              <w:right w:val="single" w:sz="8" w:space="0" w:color="auto"/>
            </w:tcBorders>
            <w:vAlign w:val="center"/>
          </w:tcPr>
          <w:p w:rsidR="003E6055" w:rsidRPr="008B7479" w:rsidRDefault="003E6055" w:rsidP="00377408">
            <w:pPr>
              <w:widowControl/>
              <w:jc w:val="left"/>
              <w:rPr>
                <w:rFonts w:ascii="仿宋_GB2312" w:eastAsia="仿宋_GB2312" w:hAnsi="宋体" w:cs="宋体"/>
                <w:b/>
                <w:bCs/>
                <w:color w:val="000000"/>
                <w:kern w:val="0"/>
                <w:sz w:val="24"/>
              </w:rPr>
            </w:pPr>
          </w:p>
        </w:tc>
        <w:tc>
          <w:tcPr>
            <w:tcW w:w="7880" w:type="dxa"/>
            <w:vMerge/>
            <w:tcBorders>
              <w:top w:val="nil"/>
              <w:left w:val="single" w:sz="8" w:space="0" w:color="auto"/>
              <w:bottom w:val="single" w:sz="8" w:space="0" w:color="auto"/>
              <w:right w:val="single" w:sz="8" w:space="0" w:color="auto"/>
            </w:tcBorders>
            <w:vAlign w:val="center"/>
          </w:tcPr>
          <w:p w:rsidR="003E6055" w:rsidRPr="008B7479" w:rsidRDefault="003E6055" w:rsidP="00377408">
            <w:pPr>
              <w:widowControl/>
              <w:jc w:val="left"/>
              <w:rPr>
                <w:rFonts w:ascii="仿宋_GB2312" w:eastAsia="仿宋_GB2312" w:hAnsi="宋体" w:cs="宋体"/>
                <w:color w:val="000000"/>
                <w:kern w:val="0"/>
                <w:sz w:val="24"/>
              </w:rPr>
            </w:pPr>
          </w:p>
        </w:tc>
      </w:tr>
      <w:tr w:rsidR="003E6055" w:rsidRPr="008B7479" w:rsidTr="00377408">
        <w:trPr>
          <w:trHeight w:val="8179"/>
        </w:trPr>
        <w:tc>
          <w:tcPr>
            <w:tcW w:w="2120" w:type="dxa"/>
            <w:tcBorders>
              <w:top w:val="nil"/>
              <w:left w:val="single" w:sz="8" w:space="0" w:color="auto"/>
              <w:bottom w:val="single" w:sz="8" w:space="0" w:color="auto"/>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b/>
                <w:bCs/>
                <w:color w:val="000000"/>
                <w:kern w:val="0"/>
                <w:sz w:val="24"/>
              </w:rPr>
            </w:pPr>
            <w:r w:rsidRPr="008B7479">
              <w:rPr>
                <w:rFonts w:ascii="仿宋_GB2312" w:eastAsia="仿宋_GB2312" w:hAnsi="宋体" w:cs="宋体" w:hint="eastAsia"/>
                <w:b/>
                <w:bCs/>
                <w:color w:val="000000"/>
                <w:kern w:val="0"/>
                <w:sz w:val="24"/>
              </w:rPr>
              <w:lastRenderedPageBreak/>
              <w:t xml:space="preserve">　</w:t>
            </w:r>
          </w:p>
        </w:tc>
        <w:tc>
          <w:tcPr>
            <w:tcW w:w="7880" w:type="dxa"/>
            <w:vMerge/>
            <w:tcBorders>
              <w:top w:val="nil"/>
              <w:left w:val="single" w:sz="8" w:space="0" w:color="auto"/>
              <w:bottom w:val="single" w:sz="8" w:space="0" w:color="auto"/>
              <w:right w:val="single" w:sz="8" w:space="0" w:color="auto"/>
            </w:tcBorders>
            <w:vAlign w:val="center"/>
          </w:tcPr>
          <w:p w:rsidR="003E6055" w:rsidRPr="008B7479" w:rsidRDefault="003E6055" w:rsidP="00377408">
            <w:pPr>
              <w:widowControl/>
              <w:jc w:val="left"/>
              <w:rPr>
                <w:rFonts w:ascii="仿宋_GB2312" w:eastAsia="仿宋_GB2312" w:hAnsi="宋体" w:cs="宋体"/>
                <w:color w:val="000000"/>
                <w:kern w:val="0"/>
                <w:sz w:val="24"/>
              </w:rPr>
            </w:pPr>
          </w:p>
        </w:tc>
      </w:tr>
      <w:tr w:rsidR="003E6055" w:rsidRPr="008B7479" w:rsidTr="00377408">
        <w:trPr>
          <w:trHeight w:val="582"/>
        </w:trPr>
        <w:tc>
          <w:tcPr>
            <w:tcW w:w="2120" w:type="dxa"/>
            <w:tcBorders>
              <w:top w:val="nil"/>
              <w:left w:val="single" w:sz="8" w:space="0" w:color="auto"/>
              <w:bottom w:val="nil"/>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lastRenderedPageBreak/>
              <w:t>技术服务条件</w:t>
            </w:r>
          </w:p>
        </w:tc>
        <w:tc>
          <w:tcPr>
            <w:tcW w:w="7880" w:type="dxa"/>
            <w:tcBorders>
              <w:top w:val="nil"/>
              <w:left w:val="nil"/>
              <w:bottom w:val="single" w:sz="8" w:space="0" w:color="auto"/>
              <w:right w:val="single" w:sz="8" w:space="0" w:color="auto"/>
            </w:tcBorders>
            <w:shd w:val="clear" w:color="auto" w:fill="auto"/>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消防设施专业承包二级以上（含二级）</w:t>
            </w:r>
          </w:p>
        </w:tc>
      </w:tr>
      <w:tr w:rsidR="003E6055" w:rsidRPr="008B7479" w:rsidTr="00377408">
        <w:trPr>
          <w:trHeight w:val="525"/>
        </w:trPr>
        <w:tc>
          <w:tcPr>
            <w:tcW w:w="2120" w:type="dxa"/>
            <w:tcBorders>
              <w:top w:val="single" w:sz="8" w:space="0" w:color="auto"/>
              <w:left w:val="single" w:sz="8" w:space="0" w:color="auto"/>
              <w:bottom w:val="single" w:sz="8" w:space="0" w:color="auto"/>
              <w:right w:val="single" w:sz="8" w:space="0" w:color="auto"/>
            </w:tcBorders>
            <w:shd w:val="clear" w:color="auto" w:fill="auto"/>
            <w:vAlign w:val="center"/>
          </w:tcPr>
          <w:p w:rsidR="003E6055" w:rsidRPr="008B7479" w:rsidRDefault="003E6055" w:rsidP="00377408">
            <w:pPr>
              <w:widowControl/>
              <w:jc w:val="center"/>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完成日期</w:t>
            </w:r>
          </w:p>
        </w:tc>
        <w:tc>
          <w:tcPr>
            <w:tcW w:w="7880" w:type="dxa"/>
            <w:tcBorders>
              <w:top w:val="nil"/>
              <w:left w:val="nil"/>
              <w:bottom w:val="single" w:sz="8" w:space="0" w:color="auto"/>
              <w:right w:val="single" w:sz="8" w:space="0" w:color="auto"/>
            </w:tcBorders>
            <w:shd w:val="clear" w:color="auto" w:fill="auto"/>
            <w:vAlign w:val="center"/>
          </w:tcPr>
          <w:p w:rsidR="003E6055" w:rsidRPr="008B7479" w:rsidRDefault="003E6055" w:rsidP="00377408">
            <w:pPr>
              <w:widowControl/>
              <w:jc w:val="left"/>
              <w:rPr>
                <w:rFonts w:ascii="宋体" w:hAnsi="宋体" w:cs="宋体"/>
                <w:color w:val="000000"/>
                <w:kern w:val="0"/>
                <w:sz w:val="24"/>
              </w:rPr>
            </w:pPr>
            <w:r w:rsidRPr="008B7479">
              <w:rPr>
                <w:rFonts w:ascii="宋体" w:hAnsi="宋体" w:cs="宋体" w:hint="eastAsia"/>
                <w:color w:val="000000"/>
                <w:kern w:val="0"/>
                <w:sz w:val="24"/>
              </w:rPr>
              <w:t>合同签订后40天完成</w:t>
            </w:r>
          </w:p>
        </w:tc>
      </w:tr>
      <w:tr w:rsidR="003E6055" w:rsidRPr="008B7479" w:rsidTr="00377408">
        <w:trPr>
          <w:trHeight w:val="435"/>
        </w:trPr>
        <w:tc>
          <w:tcPr>
            <w:tcW w:w="2120" w:type="dxa"/>
            <w:tcBorders>
              <w:top w:val="nil"/>
              <w:left w:val="single" w:sz="8" w:space="0" w:color="auto"/>
              <w:bottom w:val="single" w:sz="8" w:space="0" w:color="auto"/>
              <w:right w:val="single" w:sz="8" w:space="0" w:color="auto"/>
            </w:tcBorders>
            <w:shd w:val="clear" w:color="auto" w:fill="auto"/>
            <w:vAlign w:val="center"/>
          </w:tcPr>
          <w:p w:rsidR="003E6055" w:rsidRPr="008B7479" w:rsidRDefault="003E6055" w:rsidP="00377408">
            <w:pPr>
              <w:widowControl/>
              <w:jc w:val="center"/>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地点</w:t>
            </w:r>
          </w:p>
        </w:tc>
        <w:tc>
          <w:tcPr>
            <w:tcW w:w="7880" w:type="dxa"/>
            <w:tcBorders>
              <w:top w:val="nil"/>
              <w:left w:val="nil"/>
              <w:bottom w:val="single" w:sz="8" w:space="0" w:color="auto"/>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盘锦市大洼区中医院</w:t>
            </w:r>
          </w:p>
        </w:tc>
      </w:tr>
      <w:tr w:rsidR="003E6055" w:rsidRPr="008B7479" w:rsidTr="00377408">
        <w:trPr>
          <w:trHeight w:val="480"/>
        </w:trPr>
        <w:tc>
          <w:tcPr>
            <w:tcW w:w="2120" w:type="dxa"/>
            <w:tcBorders>
              <w:top w:val="nil"/>
              <w:left w:val="single" w:sz="8" w:space="0" w:color="auto"/>
              <w:bottom w:val="single" w:sz="8" w:space="0" w:color="auto"/>
              <w:right w:val="single" w:sz="8" w:space="0" w:color="auto"/>
            </w:tcBorders>
            <w:shd w:val="clear" w:color="auto" w:fill="auto"/>
            <w:vAlign w:val="center"/>
          </w:tcPr>
          <w:p w:rsidR="003E6055" w:rsidRPr="008B7479" w:rsidRDefault="003E6055" w:rsidP="00377408">
            <w:pPr>
              <w:widowControl/>
              <w:jc w:val="center"/>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特殊要求</w:t>
            </w:r>
          </w:p>
        </w:tc>
        <w:tc>
          <w:tcPr>
            <w:tcW w:w="7880" w:type="dxa"/>
            <w:tcBorders>
              <w:top w:val="nil"/>
              <w:left w:val="nil"/>
              <w:bottom w:val="single" w:sz="8" w:space="0" w:color="auto"/>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 xml:space="preserve">本项目需现场踏勘，领取施工图纸。联系人：贾滨泽 电话：15942788444 </w:t>
            </w:r>
          </w:p>
        </w:tc>
      </w:tr>
      <w:tr w:rsidR="003E6055" w:rsidRPr="008B7479" w:rsidTr="00377408">
        <w:trPr>
          <w:trHeight w:val="660"/>
        </w:trPr>
        <w:tc>
          <w:tcPr>
            <w:tcW w:w="2120" w:type="dxa"/>
            <w:tcBorders>
              <w:top w:val="nil"/>
              <w:left w:val="single" w:sz="8" w:space="0" w:color="auto"/>
              <w:bottom w:val="single" w:sz="8" w:space="0" w:color="auto"/>
              <w:right w:val="single" w:sz="8" w:space="0" w:color="auto"/>
            </w:tcBorders>
            <w:shd w:val="clear" w:color="auto" w:fill="auto"/>
            <w:vAlign w:val="center"/>
          </w:tcPr>
          <w:p w:rsidR="003E6055" w:rsidRPr="008B7479" w:rsidRDefault="003E6055" w:rsidP="00377408">
            <w:pPr>
              <w:widowControl/>
              <w:jc w:val="center"/>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lastRenderedPageBreak/>
              <w:t>验收标准</w:t>
            </w:r>
          </w:p>
        </w:tc>
        <w:tc>
          <w:tcPr>
            <w:tcW w:w="7880" w:type="dxa"/>
            <w:tcBorders>
              <w:top w:val="nil"/>
              <w:left w:val="nil"/>
              <w:bottom w:val="single" w:sz="8" w:space="0" w:color="auto"/>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符合应急管理局、消防部门要求</w:t>
            </w:r>
          </w:p>
        </w:tc>
      </w:tr>
      <w:tr w:rsidR="003E6055" w:rsidRPr="008B7479" w:rsidTr="00377408">
        <w:trPr>
          <w:trHeight w:val="630"/>
        </w:trPr>
        <w:tc>
          <w:tcPr>
            <w:tcW w:w="2120" w:type="dxa"/>
            <w:tcBorders>
              <w:top w:val="nil"/>
              <w:left w:val="single" w:sz="8" w:space="0" w:color="auto"/>
              <w:bottom w:val="single" w:sz="8" w:space="0" w:color="auto"/>
              <w:right w:val="single" w:sz="8" w:space="0" w:color="auto"/>
            </w:tcBorders>
            <w:shd w:val="clear" w:color="auto" w:fill="auto"/>
            <w:vAlign w:val="center"/>
          </w:tcPr>
          <w:p w:rsidR="003E6055" w:rsidRPr="008B7479" w:rsidRDefault="003E6055" w:rsidP="00377408">
            <w:pPr>
              <w:widowControl/>
              <w:jc w:val="center"/>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质量保证</w:t>
            </w:r>
          </w:p>
        </w:tc>
        <w:tc>
          <w:tcPr>
            <w:tcW w:w="7880" w:type="dxa"/>
            <w:tcBorders>
              <w:top w:val="nil"/>
              <w:left w:val="nil"/>
              <w:bottom w:val="single" w:sz="8" w:space="0" w:color="auto"/>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两年</w:t>
            </w:r>
          </w:p>
        </w:tc>
      </w:tr>
      <w:tr w:rsidR="003E6055" w:rsidRPr="008B7479" w:rsidTr="00377408">
        <w:trPr>
          <w:trHeight w:val="705"/>
        </w:trPr>
        <w:tc>
          <w:tcPr>
            <w:tcW w:w="2120" w:type="dxa"/>
            <w:tcBorders>
              <w:top w:val="nil"/>
              <w:left w:val="single" w:sz="8" w:space="0" w:color="auto"/>
              <w:bottom w:val="single" w:sz="8" w:space="0" w:color="auto"/>
              <w:right w:val="single" w:sz="8" w:space="0" w:color="auto"/>
            </w:tcBorders>
            <w:shd w:val="clear" w:color="auto" w:fill="auto"/>
            <w:vAlign w:val="center"/>
          </w:tcPr>
          <w:p w:rsidR="003E6055" w:rsidRPr="008B7479" w:rsidRDefault="003E6055" w:rsidP="00377408">
            <w:pPr>
              <w:widowControl/>
              <w:jc w:val="center"/>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其它</w:t>
            </w:r>
          </w:p>
        </w:tc>
        <w:tc>
          <w:tcPr>
            <w:tcW w:w="7880" w:type="dxa"/>
            <w:tcBorders>
              <w:top w:val="nil"/>
              <w:left w:val="nil"/>
              <w:bottom w:val="single" w:sz="8" w:space="0" w:color="auto"/>
              <w:right w:val="single" w:sz="8" w:space="0" w:color="auto"/>
            </w:tcBorders>
            <w:shd w:val="clear" w:color="auto" w:fill="auto"/>
            <w:vAlign w:val="center"/>
          </w:tcPr>
          <w:p w:rsidR="003E6055" w:rsidRPr="008B7479" w:rsidRDefault="003E6055" w:rsidP="00377408">
            <w:pPr>
              <w:widowControl/>
              <w:jc w:val="left"/>
              <w:rPr>
                <w:rFonts w:ascii="仿宋_GB2312" w:eastAsia="仿宋_GB2312" w:hAnsi="宋体" w:cs="宋体"/>
                <w:color w:val="000000"/>
                <w:kern w:val="0"/>
                <w:sz w:val="24"/>
              </w:rPr>
            </w:pPr>
            <w:r w:rsidRPr="008B7479">
              <w:rPr>
                <w:rFonts w:ascii="仿宋_GB2312" w:eastAsia="仿宋_GB2312" w:hAnsi="宋体" w:cs="宋体" w:hint="eastAsia"/>
                <w:color w:val="000000"/>
                <w:kern w:val="0"/>
                <w:sz w:val="24"/>
              </w:rPr>
              <w:t xml:space="preserve">　</w:t>
            </w:r>
          </w:p>
        </w:tc>
      </w:tr>
    </w:tbl>
    <w:p w:rsidR="003E6055" w:rsidRDefault="003E6055" w:rsidP="003E6055">
      <w:pPr>
        <w:ind w:firstLineChars="200" w:firstLine="420"/>
        <w:rPr>
          <w:rFonts w:ascii="仿宋" w:eastAsia="仿宋" w:hAnsi="仿宋" w:cs="仿宋_GB2312"/>
          <w:color w:val="FF0000"/>
          <w:szCs w:val="21"/>
        </w:rPr>
      </w:pPr>
    </w:p>
    <w:p w:rsidR="004B1C84" w:rsidRDefault="004B1C84"/>
    <w:sectPr w:rsidR="004B1C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84" w:rsidRDefault="004B1C84" w:rsidP="003E6055">
      <w:r>
        <w:separator/>
      </w:r>
    </w:p>
  </w:endnote>
  <w:endnote w:type="continuationSeparator" w:id="1">
    <w:p w:rsidR="004B1C84" w:rsidRDefault="004B1C84" w:rsidP="003E60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84" w:rsidRDefault="004B1C84" w:rsidP="003E6055">
      <w:r>
        <w:separator/>
      </w:r>
    </w:p>
  </w:footnote>
  <w:footnote w:type="continuationSeparator" w:id="1">
    <w:p w:rsidR="004B1C84" w:rsidRDefault="004B1C84" w:rsidP="003E60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055"/>
    <w:rsid w:val="003E6055"/>
    <w:rsid w:val="004B1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60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6055"/>
    <w:rPr>
      <w:sz w:val="18"/>
      <w:szCs w:val="18"/>
    </w:rPr>
  </w:style>
  <w:style w:type="paragraph" w:styleId="a4">
    <w:name w:val="footer"/>
    <w:basedOn w:val="a"/>
    <w:link w:val="Char0"/>
    <w:uiPriority w:val="99"/>
    <w:semiHidden/>
    <w:unhideWhenUsed/>
    <w:rsid w:val="003E60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6055"/>
    <w:rPr>
      <w:sz w:val="18"/>
      <w:szCs w:val="18"/>
    </w:rPr>
  </w:style>
  <w:style w:type="paragraph" w:styleId="a5">
    <w:name w:val="Title"/>
    <w:basedOn w:val="a"/>
    <w:next w:val="a"/>
    <w:link w:val="Char1"/>
    <w:qFormat/>
    <w:rsid w:val="003E6055"/>
    <w:pPr>
      <w:spacing w:before="240" w:after="60"/>
      <w:jc w:val="center"/>
      <w:outlineLvl w:val="0"/>
    </w:pPr>
    <w:rPr>
      <w:rFonts w:ascii="Cambria" w:eastAsia="方正小标宋简体" w:hAnsi="Cambria"/>
      <w:b/>
      <w:bCs/>
      <w:sz w:val="32"/>
      <w:szCs w:val="32"/>
    </w:rPr>
  </w:style>
  <w:style w:type="character" w:customStyle="1" w:styleId="Char1">
    <w:name w:val="标题 Char"/>
    <w:basedOn w:val="a0"/>
    <w:link w:val="a5"/>
    <w:rsid w:val="003E6055"/>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619</Words>
  <Characters>3532</Characters>
  <Application>Microsoft Office Word</Application>
  <DocSecurity>0</DocSecurity>
  <Lines>29</Lines>
  <Paragraphs>8</Paragraphs>
  <ScaleCrop>false</ScaleCrop>
  <Company>Microsoft</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2021-06-07T07:48:00Z</dcterms:created>
  <dcterms:modified xsi:type="dcterms:W3CDTF">2021-06-07T07:49:00Z</dcterms:modified>
</cp:coreProperties>
</file>