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rFonts w:ascii="宋体" w:hAnsi="宋体"/>
          <w:b/>
          <w:sz w:val="52"/>
          <w:szCs w:val="52"/>
        </w:rPr>
      </w:pPr>
      <w:r>
        <w:rPr>
          <w:rFonts w:hint="eastAsia" w:ascii="宋体" w:hAnsi="宋体"/>
          <w:b/>
          <w:sz w:val="52"/>
          <w:szCs w:val="52"/>
        </w:rPr>
        <w:t>盘锦市双台子区房屋征收安置事务服务中心2019年度部门决算</w:t>
      </w:r>
    </w:p>
    <w:p>
      <w:pPr>
        <w:spacing w:line="540" w:lineRule="exact"/>
        <w:jc w:val="center"/>
        <w:rPr>
          <w:b/>
          <w:sz w:val="44"/>
          <w:szCs w:val="44"/>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rPr>
      </w:pPr>
    </w:p>
    <w:p>
      <w:pPr>
        <w:spacing w:line="540" w:lineRule="exact"/>
        <w:jc w:val="center"/>
        <w:rPr>
          <w:b/>
          <w:sz w:val="44"/>
          <w:szCs w:val="44"/>
        </w:rPr>
      </w:pPr>
      <w:r>
        <w:rPr>
          <w:rFonts w:hint="eastAsia"/>
          <w:b/>
          <w:sz w:val="44"/>
          <w:szCs w:val="44"/>
        </w:rPr>
        <w:t>目录</w:t>
      </w:r>
    </w:p>
    <w:p>
      <w:pPr>
        <w:spacing w:line="540" w:lineRule="exact"/>
        <w:rPr>
          <w:b/>
          <w:sz w:val="44"/>
          <w:szCs w:val="44"/>
          <w:u w:val="single"/>
        </w:rPr>
      </w:pPr>
    </w:p>
    <w:p>
      <w:pPr>
        <w:spacing w:line="540" w:lineRule="exact"/>
        <w:rPr>
          <w:b/>
          <w:sz w:val="44"/>
          <w:szCs w:val="44"/>
          <w:u w:val="single"/>
        </w:rPr>
      </w:pPr>
    </w:p>
    <w:p>
      <w:pPr>
        <w:spacing w:line="540" w:lineRule="exact"/>
        <w:rPr>
          <w:rFonts w:ascii="黑体" w:hAnsi="黑体" w:eastAsia="黑体"/>
          <w:sz w:val="32"/>
          <w:szCs w:val="32"/>
        </w:rPr>
      </w:pPr>
      <w:r>
        <w:rPr>
          <w:rFonts w:hint="eastAsia" w:ascii="黑体" w:hAnsi="黑体" w:eastAsia="黑体"/>
          <w:sz w:val="32"/>
          <w:szCs w:val="32"/>
        </w:rPr>
        <w:t>第一部分双台子区房屋征收安置事务服务中心概况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ascii="黑体" w:hAnsi="黑体" w:eastAsia="黑体"/>
          <w:sz w:val="32"/>
          <w:szCs w:val="32"/>
        </w:rPr>
      </w:pPr>
      <w:r>
        <w:rPr>
          <w:rFonts w:hint="eastAsia" w:ascii="黑体" w:hAnsi="黑体" w:eastAsia="黑体"/>
          <w:sz w:val="32"/>
          <w:szCs w:val="32"/>
        </w:rPr>
        <w:t>第二部分双台子区房屋征收安置事务服务中心2019年度部门决算报表</w:t>
      </w:r>
    </w:p>
    <w:p>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2019年度收入支出决算总表</w:t>
      </w:r>
    </w:p>
    <w:p>
      <w:pPr>
        <w:spacing w:line="540" w:lineRule="exact"/>
        <w:rPr>
          <w:rFonts w:ascii="仿宋_GB2312" w:eastAsia="仿宋_GB2312"/>
          <w:sz w:val="32"/>
          <w:szCs w:val="32"/>
        </w:rPr>
      </w:pPr>
      <w:r>
        <w:rPr>
          <w:rFonts w:hint="eastAsia" w:ascii="仿宋_GB2312" w:eastAsia="仿宋_GB2312"/>
          <w:sz w:val="32"/>
          <w:szCs w:val="32"/>
        </w:rPr>
        <w:t>二、2019</w:t>
      </w:r>
      <w:r>
        <w:rPr>
          <w:rFonts w:hint="eastAsia" w:ascii="仿宋_GB2312" w:hAnsi="仿宋" w:eastAsia="仿宋_GB2312"/>
          <w:sz w:val="32"/>
          <w:szCs w:val="32"/>
        </w:rPr>
        <w:t>年度</w:t>
      </w:r>
      <w:r>
        <w:rPr>
          <w:rFonts w:hint="eastAsia" w:ascii="仿宋_GB2312" w:eastAsia="仿宋_GB2312"/>
          <w:sz w:val="32"/>
          <w:szCs w:val="32"/>
        </w:rPr>
        <w:t>收入决算表</w:t>
      </w:r>
    </w:p>
    <w:p>
      <w:pPr>
        <w:spacing w:line="540" w:lineRule="exact"/>
        <w:rPr>
          <w:rFonts w:ascii="仿宋_GB2312" w:eastAsia="仿宋_GB2312"/>
          <w:sz w:val="32"/>
          <w:szCs w:val="32"/>
        </w:rPr>
      </w:pPr>
      <w:r>
        <w:rPr>
          <w:rFonts w:hint="eastAsia" w:ascii="仿宋_GB2312" w:eastAsia="仿宋_GB2312"/>
          <w:sz w:val="32"/>
          <w:szCs w:val="32"/>
        </w:rPr>
        <w:t>三、2019</w:t>
      </w:r>
      <w:r>
        <w:rPr>
          <w:rFonts w:hint="eastAsia" w:ascii="仿宋_GB2312" w:hAnsi="仿宋" w:eastAsia="仿宋_GB2312"/>
          <w:sz w:val="32"/>
          <w:szCs w:val="32"/>
        </w:rPr>
        <w:t>年度</w:t>
      </w:r>
      <w:r>
        <w:rPr>
          <w:rFonts w:hint="eastAsia" w:ascii="仿宋_GB2312" w:eastAsia="仿宋_GB2312"/>
          <w:sz w:val="32"/>
          <w:szCs w:val="32"/>
        </w:rPr>
        <w:t>支出决算表</w:t>
      </w:r>
    </w:p>
    <w:p>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2019年度财政拨款收入支出决算表</w:t>
      </w:r>
    </w:p>
    <w:p>
      <w:pPr>
        <w:spacing w:line="540" w:lineRule="exact"/>
        <w:rPr>
          <w:rFonts w:ascii="仿宋_GB2312" w:eastAsia="仿宋_GB2312"/>
          <w:sz w:val="32"/>
          <w:szCs w:val="32"/>
        </w:rPr>
      </w:pPr>
      <w:r>
        <w:rPr>
          <w:rFonts w:hint="eastAsia" w:ascii="仿宋_GB2312" w:eastAsia="仿宋_GB2312"/>
          <w:sz w:val="32"/>
          <w:szCs w:val="32"/>
        </w:rPr>
        <w:t>五、</w:t>
      </w:r>
      <w:r>
        <w:rPr>
          <w:rFonts w:ascii="仿宋_GB2312" w:eastAsia="仿宋_GB2312"/>
          <w:sz w:val="32"/>
          <w:szCs w:val="32"/>
        </w:rPr>
        <w:t>2019年度</w:t>
      </w:r>
      <w:r>
        <w:rPr>
          <w:rFonts w:hint="eastAsia" w:ascii="仿宋_GB2312" w:eastAsia="仿宋_GB2312"/>
          <w:sz w:val="32"/>
          <w:szCs w:val="32"/>
        </w:rPr>
        <w:t>一般公共预算</w:t>
      </w:r>
      <w:r>
        <w:rPr>
          <w:rFonts w:ascii="仿宋_GB2312" w:eastAsia="仿宋_GB2312"/>
          <w:sz w:val="32"/>
          <w:szCs w:val="32"/>
        </w:rPr>
        <w:t>财政拨款收入支出决算表</w:t>
      </w:r>
    </w:p>
    <w:p>
      <w:pPr>
        <w:spacing w:line="540" w:lineRule="exact"/>
        <w:rPr>
          <w:rFonts w:ascii="仿宋_GB2312" w:eastAsia="仿宋_GB2312"/>
          <w:sz w:val="32"/>
          <w:szCs w:val="32"/>
        </w:rPr>
      </w:pPr>
      <w:r>
        <w:rPr>
          <w:rFonts w:hint="eastAsia" w:ascii="仿宋_GB2312" w:eastAsia="仿宋_GB2312"/>
          <w:sz w:val="32"/>
          <w:szCs w:val="32"/>
        </w:rPr>
        <w:t>六、</w:t>
      </w:r>
      <w:r>
        <w:rPr>
          <w:rFonts w:ascii="仿宋_GB2312" w:eastAsia="仿宋_GB2312"/>
          <w:sz w:val="32"/>
          <w:szCs w:val="32"/>
        </w:rPr>
        <w:t>2019年度</w:t>
      </w:r>
      <w:r>
        <w:rPr>
          <w:rFonts w:hint="eastAsia" w:ascii="仿宋_GB2312" w:eastAsia="仿宋_GB2312"/>
          <w:sz w:val="32"/>
          <w:szCs w:val="32"/>
        </w:rPr>
        <w:t>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2019年度政府性基金预算财政拨款收入支出决算表</w:t>
      </w:r>
    </w:p>
    <w:p>
      <w:pPr>
        <w:spacing w:line="540" w:lineRule="exact"/>
        <w:ind w:left="640" w:hanging="640" w:hangingChars="200"/>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2019</w:t>
      </w:r>
      <w:r>
        <w:rPr>
          <w:rFonts w:hint="eastAsia" w:ascii="仿宋_GB2312" w:hAnsi="仿宋" w:eastAsia="仿宋_GB2312"/>
          <w:sz w:val="32"/>
          <w:szCs w:val="32"/>
        </w:rPr>
        <w:t>年度</w:t>
      </w:r>
      <w:r>
        <w:rPr>
          <w:rFonts w:hint="eastAsia" w:ascii="仿宋_GB2312" w:eastAsia="仿宋_GB2312"/>
          <w:sz w:val="32"/>
          <w:szCs w:val="32"/>
        </w:rPr>
        <w:t>一般公共预算财政拨款“三公”经费支出决算表</w:t>
      </w:r>
    </w:p>
    <w:p>
      <w:pPr>
        <w:spacing w:line="540" w:lineRule="exact"/>
        <w:rPr>
          <w:rFonts w:ascii="黑体" w:hAnsi="黑体" w:eastAsia="黑体"/>
          <w:sz w:val="32"/>
          <w:szCs w:val="32"/>
        </w:rPr>
      </w:pPr>
      <w:r>
        <w:rPr>
          <w:rFonts w:hint="eastAsia" w:ascii="黑体" w:hAnsi="黑体" w:eastAsia="黑体"/>
          <w:sz w:val="32"/>
          <w:szCs w:val="32"/>
        </w:rPr>
        <w:t>第三部分双台子区房屋征收安置事务服务中心2019年度部门决算情况说明</w:t>
      </w:r>
    </w:p>
    <w:p>
      <w:pPr>
        <w:spacing w:line="540" w:lineRule="exact"/>
        <w:rPr>
          <w:rFonts w:ascii="黑体" w:hAnsi="黑体" w:eastAsia="黑体"/>
          <w:sz w:val="32"/>
          <w:szCs w:val="32"/>
        </w:rPr>
      </w:pPr>
      <w:r>
        <w:rPr>
          <w:rFonts w:hint="eastAsia" w:ascii="黑体" w:hAnsi="黑体" w:eastAsia="黑体"/>
          <w:sz w:val="32"/>
          <w:szCs w:val="32"/>
        </w:rPr>
        <w:t>第四部分名词解释</w:t>
      </w:r>
    </w:p>
    <w:p>
      <w:pPr>
        <w:spacing w:line="540" w:lineRule="exact"/>
        <w:jc w:val="center"/>
        <w:rPr>
          <w:rFonts w:ascii="黑体" w:hAnsi="黑体" w:eastAsia="黑体"/>
          <w:b/>
          <w:sz w:val="44"/>
          <w:szCs w:val="44"/>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r>
        <w:rPr>
          <w:rFonts w:hint="eastAsia" w:ascii="宋体" w:hAnsi="宋体"/>
          <w:b/>
          <w:sz w:val="36"/>
          <w:szCs w:val="36"/>
        </w:rPr>
        <w:t>第一部分 双台子区房屋征收安置事务服务中心概况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eastAsia="黑体"/>
          <w:sz w:val="32"/>
          <w:szCs w:val="32"/>
        </w:rPr>
        <w:t>一、主要职责</w:t>
      </w:r>
    </w:p>
    <w:p>
      <w:pPr>
        <w:spacing w:line="540" w:lineRule="exact"/>
        <w:ind w:firstLine="640" w:firstLineChars="200"/>
        <w:jc w:val="left"/>
        <w:rPr>
          <w:rFonts w:ascii="仿宋_GB2312" w:eastAsia="仿宋_GB2312"/>
          <w:sz w:val="32"/>
          <w:szCs w:val="32"/>
        </w:rPr>
      </w:pPr>
      <w:r>
        <w:rPr>
          <w:rFonts w:hint="eastAsia" w:ascii="仿宋" w:hAnsi="仿宋" w:eastAsia="仿宋"/>
          <w:sz w:val="32"/>
          <w:szCs w:val="32"/>
        </w:rPr>
        <w:t>负责辖区内房屋征收项目的具体实施和承办相关征收手续工作；负责制定房屋回迁安置方案；负责征收安置总量及征收补偿安置资金的测算工作；负责组织征收项目评估工作；负责征收过程中的安全生产工作；负责征收档案归档和移交工作；负责信访接待等工作。</w:t>
      </w:r>
    </w:p>
    <w:p>
      <w:pPr>
        <w:spacing w:line="540" w:lineRule="exact"/>
        <w:ind w:firstLine="640" w:firstLineChars="200"/>
        <w:jc w:val="left"/>
        <w:rPr>
          <w:rFonts w:ascii="黑体" w:eastAsia="黑体"/>
          <w:sz w:val="32"/>
          <w:szCs w:val="32"/>
        </w:rPr>
      </w:pPr>
      <w:r>
        <w:rPr>
          <w:rFonts w:hint="eastAsia" w:ascii="黑体" w:eastAsia="黑体"/>
          <w:sz w:val="32"/>
          <w:szCs w:val="32"/>
        </w:rPr>
        <w:t>二、部门决算单位构成</w:t>
      </w:r>
    </w:p>
    <w:p>
      <w:pPr>
        <w:spacing w:line="360" w:lineRule="auto"/>
        <w:ind w:firstLine="624" w:firstLineChars="195"/>
        <w:rPr>
          <w:rFonts w:ascii="仿宋" w:hAnsi="仿宋" w:eastAsia="仿宋" w:cs="仿宋"/>
          <w:sz w:val="32"/>
        </w:rPr>
      </w:pPr>
      <w:r>
        <w:rPr>
          <w:rFonts w:hint="eastAsia" w:ascii="仿宋" w:hAnsi="仿宋" w:eastAsia="仿宋" w:cs="仿宋"/>
          <w:sz w:val="32"/>
        </w:rPr>
        <w:t>纳入盘锦市双台子区房屋征收安置事务服务中心2020年度部门预算编制范围的二级预算单位包括：</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1、区辽河房屋征收安置事务分中心</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2、区建设房屋征收安置事务分中心</w:t>
      </w:r>
    </w:p>
    <w:p>
      <w:pPr>
        <w:spacing w:line="540" w:lineRule="exact"/>
        <w:ind w:firstLine="640" w:firstLineChars="200"/>
        <w:jc w:val="left"/>
        <w:rPr>
          <w:rFonts w:ascii="仿宋" w:hAnsi="仿宋" w:eastAsia="仿宋" w:cs="仿宋"/>
          <w:sz w:val="32"/>
        </w:rPr>
      </w:pPr>
      <w:r>
        <w:rPr>
          <w:rFonts w:hint="eastAsia" w:ascii="仿宋" w:hAnsi="仿宋" w:eastAsia="仿宋"/>
          <w:sz w:val="32"/>
          <w:szCs w:val="32"/>
        </w:rPr>
        <w:t>3、区红旗房屋征收安置事务分中心</w:t>
      </w:r>
    </w:p>
    <w:p>
      <w:pPr>
        <w:spacing w:line="540" w:lineRule="exact"/>
        <w:ind w:firstLine="640" w:firstLineChars="200"/>
        <w:jc w:val="left"/>
        <w:rPr>
          <w:rFonts w:ascii="仿宋" w:hAnsi="仿宋" w:eastAsia="仿宋" w:cs="仿宋"/>
          <w:sz w:val="32"/>
        </w:rPr>
      </w:pPr>
      <w:r>
        <w:rPr>
          <w:rFonts w:hint="eastAsia" w:ascii="仿宋" w:hAnsi="仿宋" w:eastAsia="仿宋" w:cs="仿宋"/>
          <w:sz w:val="32"/>
        </w:rPr>
        <w:t>4、区铁东房屋征收安置事务分中心</w:t>
      </w:r>
    </w:p>
    <w:p>
      <w:pPr>
        <w:spacing w:line="540" w:lineRule="exact"/>
        <w:ind w:firstLine="643" w:firstLineChars="200"/>
        <w:jc w:val="left"/>
        <w:rPr>
          <w:rFonts w:ascii="仿宋_GB2312" w:eastAsia="仿宋_GB2312"/>
          <w:b/>
          <w:sz w:val="32"/>
          <w:szCs w:val="32"/>
        </w:rPr>
      </w:pPr>
    </w:p>
    <w:p>
      <w:pPr>
        <w:spacing w:line="540" w:lineRule="exact"/>
        <w:ind w:firstLine="640" w:firstLineChars="200"/>
        <w:jc w:val="left"/>
        <w:rPr>
          <w:rFonts w:ascii="仿宋_GB2312" w:eastAsia="仿宋_GB2312"/>
          <w:sz w:val="32"/>
          <w:szCs w:val="32"/>
        </w:rPr>
      </w:pPr>
      <w:r>
        <w:rPr>
          <w:rFonts w:ascii="仿宋_GB2312" w:eastAsia="仿宋_GB2312"/>
          <w:sz w:val="32"/>
          <w:szCs w:val="32"/>
        </w:rPr>
        <w:br w:type="page"/>
      </w:r>
    </w:p>
    <w:p>
      <w:pPr>
        <w:spacing w:line="540" w:lineRule="exact"/>
        <w:jc w:val="center"/>
        <w:rPr>
          <w:rFonts w:ascii="宋体" w:hAnsi="宋体"/>
          <w:b/>
          <w:sz w:val="36"/>
          <w:szCs w:val="36"/>
        </w:rPr>
      </w:pPr>
      <w:r>
        <w:rPr>
          <w:rFonts w:hint="eastAsia" w:ascii="宋体" w:hAnsi="宋体"/>
          <w:b/>
          <w:sz w:val="36"/>
          <w:szCs w:val="36"/>
        </w:rPr>
        <w:t>第三部分双台子区房屋征收安置事务服务中心2019年度部门决算情况说明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黑体" w:eastAsia="黑体"/>
          <w:sz w:val="32"/>
          <w:szCs w:val="32"/>
        </w:rPr>
        <w:t>一、收入支出决算总体情况</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（一）收入总计836.5万元，包括：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1.财政拨款收入836.5万元，占</w:t>
      </w:r>
      <w:r>
        <w:rPr>
          <w:rFonts w:ascii="仿宋_GB2312" w:hAnsi="宋体" w:eastAsia="仿宋_GB2312"/>
          <w:sz w:val="32"/>
          <w:szCs w:val="32"/>
        </w:rPr>
        <w:t>收入总计的</w:t>
      </w:r>
      <w:r>
        <w:rPr>
          <w:rFonts w:hint="eastAsia" w:ascii="仿宋_GB2312" w:hAnsi="宋体" w:eastAsia="仿宋_GB2312"/>
          <w:sz w:val="32"/>
          <w:szCs w:val="32"/>
        </w:rPr>
        <w:t>100</w:t>
      </w:r>
      <w:r>
        <w:rPr>
          <w:rFonts w:ascii="仿宋_GB2312" w:hAnsi="宋体" w:eastAsia="仿宋_GB2312"/>
          <w:sz w:val="32"/>
          <w:szCs w:val="32"/>
        </w:rPr>
        <w:t>%</w:t>
      </w:r>
      <w:r>
        <w:rPr>
          <w:rFonts w:hint="eastAsia" w:ascii="仿宋_GB2312" w:hAnsi="宋体" w:eastAsia="仿宋_GB2312"/>
          <w:sz w:val="32"/>
          <w:szCs w:val="32"/>
        </w:rPr>
        <w:t>。其中：公共预算财政拨款收入836.5万元，政府性基金收入0万元。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5.附属单位上缴收入0万元，占收入总计的0%。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7.用事业基金弥补收支差额0万元，占收入总计的0%。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8.上年结转和结余0万元，占收入总计的0%。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与上年相比，今年收入减少545.33万元，降低39.46%，主要原因：</w:t>
      </w:r>
      <w:r>
        <w:rPr>
          <w:rFonts w:hint="eastAsia" w:ascii="仿宋_GB2312" w:hAnsi="黑体" w:eastAsia="仿宋_GB2312"/>
          <w:sz w:val="32"/>
          <w:szCs w:val="32"/>
        </w:rPr>
        <w:t>本年没有支出</w:t>
      </w:r>
      <w:r>
        <w:rPr>
          <w:rFonts w:hint="eastAsia" w:ascii="仿宋_GB2312" w:hAnsi="宋体" w:eastAsia="仿宋_GB2312"/>
          <w:sz w:val="32"/>
          <w:szCs w:val="32"/>
        </w:rPr>
        <w:t>棚改服务费。</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（二）支出总计833.67万元，包括：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1.基本支出437.94万元，占支出总计的52.53%。主要是为保障机构正常运转、完成日常工作任务而发生的各项支出，其中：工资福利支出385.86万元，商品和服务支出52.08万元。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2.项目支出395.73万元，占支出总计的47.47%。主要包括拆迁征收补偿等业务支出。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3.上缴上级支出0万元，占支出总计的0%。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4.经营支出0万元，占支出总计的0%。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5.对附属单位补助支出0万元，占支出总计的0%。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与上年相比，今年支出减少548.16万元，降低39.66%，主要原因：</w:t>
      </w:r>
      <w:r>
        <w:rPr>
          <w:rFonts w:hint="eastAsia" w:ascii="仿宋_GB2312" w:hAnsi="黑体" w:eastAsia="仿宋_GB2312"/>
          <w:sz w:val="32"/>
          <w:szCs w:val="32"/>
        </w:rPr>
        <w:t>本年没有支出</w:t>
      </w:r>
      <w:r>
        <w:rPr>
          <w:rFonts w:hint="eastAsia" w:ascii="仿宋_GB2312" w:hAnsi="宋体" w:eastAsia="仿宋_GB2312"/>
          <w:sz w:val="32"/>
          <w:szCs w:val="32"/>
        </w:rPr>
        <w:t>棚改服务费。</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（三）年末结转和结余2.83万元。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主要是年末支付支票未到账等原因形成的结余。与上年相比，今年结转结余增加2.83万元。</w:t>
      </w:r>
    </w:p>
    <w:p>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2019年度财政拨款支出833.67万元，其中：基本支出437.94万元，项目支出395.73万元。与</w:t>
      </w:r>
      <w:r>
        <w:rPr>
          <w:rFonts w:ascii="仿宋_GB2312" w:hAnsi="宋体" w:eastAsia="仿宋_GB2312"/>
          <w:sz w:val="32"/>
          <w:szCs w:val="32"/>
        </w:rPr>
        <w:t>上年相比，</w:t>
      </w:r>
      <w:r>
        <w:rPr>
          <w:rFonts w:hint="eastAsia" w:ascii="仿宋_GB2312" w:hAnsi="宋体" w:eastAsia="仿宋_GB2312"/>
          <w:sz w:val="32"/>
          <w:szCs w:val="32"/>
        </w:rPr>
        <w:t>财政拨款支出减少548.16万元，降低39.66%，主要原因：</w:t>
      </w:r>
      <w:r>
        <w:rPr>
          <w:rFonts w:hint="eastAsia" w:ascii="仿宋_GB2312" w:hAnsi="黑体" w:eastAsia="仿宋_GB2312"/>
          <w:sz w:val="32"/>
          <w:szCs w:val="32"/>
        </w:rPr>
        <w:t>本年没有支出</w:t>
      </w:r>
      <w:r>
        <w:rPr>
          <w:rFonts w:hint="eastAsia" w:ascii="仿宋_GB2312" w:hAnsi="宋体" w:eastAsia="仿宋_GB2312"/>
          <w:sz w:val="32"/>
          <w:szCs w:val="32"/>
        </w:rPr>
        <w:t>棚改服务费。与年初预算相比，2019财政拨款支出完成年初预算的67.88%，其中：基本支出完成年初预算的109.41%，项目完成年初预算的47.8%。</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（二）具体情况。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2019年度财政拨款支出833.67万元，按支出功能分类科目分，包括：一般公共服务支出0万元，占0</w:t>
      </w:r>
      <w:r>
        <w:rPr>
          <w:rFonts w:ascii="仿宋_GB2312" w:hAnsi="宋体" w:eastAsia="仿宋_GB2312"/>
          <w:sz w:val="32"/>
          <w:szCs w:val="32"/>
        </w:rPr>
        <w:t>%</w:t>
      </w:r>
      <w:r>
        <w:rPr>
          <w:rFonts w:hint="eastAsia" w:ascii="仿宋_GB2312" w:hAnsi="宋体" w:eastAsia="仿宋_GB2312"/>
          <w:sz w:val="32"/>
          <w:szCs w:val="32"/>
        </w:rPr>
        <w:t>；社会保障和就业支出46.51万元，占5.58%；医疗卫生与计划生育支出10.06万元，占1.21%；节能环保支出0万元，占0%；城乡社区支出745.92万元，占89.48%；农林水支出0万元，占0%；交通运输支出0万元，占0%；资源勘探信息等支出0万元，占0%；援助其他地区支出0万元，占0%；国土海洋气象等支出0万元，占0%；住房保障支出31.17万元，占3.73%。</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1.一般公共服务支出0万元，具体包括：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（1）行政运行</w:t>
      </w:r>
      <w:r>
        <w:rPr>
          <w:rFonts w:ascii="仿宋_GB2312" w:hAnsi="宋体" w:eastAsia="仿宋_GB2312"/>
          <w:sz w:val="32"/>
          <w:szCs w:val="32"/>
        </w:rPr>
        <w:t>0</w:t>
      </w:r>
      <w:r>
        <w:rPr>
          <w:rFonts w:hint="eastAsia" w:ascii="仿宋_GB2312" w:hAnsi="宋体" w:eastAsia="仿宋_GB2312"/>
          <w:sz w:val="32"/>
          <w:szCs w:val="32"/>
        </w:rPr>
        <w:t>万元，主要是</w:t>
      </w:r>
      <w:r>
        <w:rPr>
          <w:rFonts w:ascii="仿宋_GB2312" w:hAnsi="宋体" w:eastAsia="仿宋_GB2312"/>
          <w:sz w:val="32"/>
          <w:szCs w:val="32"/>
        </w:rPr>
        <w:t>0</w:t>
      </w:r>
      <w:r>
        <w:rPr>
          <w:rFonts w:hint="eastAsia" w:ascii="仿宋_GB2312" w:hAnsi="宋体" w:eastAsia="仿宋_GB2312"/>
          <w:sz w:val="32"/>
          <w:szCs w:val="32"/>
        </w:rPr>
        <w:t>等支出，完成年初预算的</w:t>
      </w:r>
      <w:r>
        <w:rPr>
          <w:rFonts w:ascii="仿宋_GB2312" w:hAnsi="宋体" w:eastAsia="仿宋_GB2312"/>
          <w:sz w:val="32"/>
          <w:szCs w:val="32"/>
        </w:rPr>
        <w:t>0</w:t>
      </w:r>
      <w:r>
        <w:rPr>
          <w:rFonts w:hint="eastAsia" w:ascii="仿宋_GB2312" w:hAnsi="宋体" w:eastAsia="仿宋_GB2312"/>
          <w:sz w:val="32"/>
          <w:szCs w:val="32"/>
        </w:rPr>
        <w:t>%，决算数小于（大于）年初预算数的原因主要是</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（2）一般行政管理事务</w:t>
      </w:r>
      <w:r>
        <w:rPr>
          <w:rFonts w:ascii="仿宋_GB2312" w:hAnsi="宋体" w:eastAsia="仿宋_GB2312"/>
          <w:sz w:val="32"/>
          <w:szCs w:val="32"/>
        </w:rPr>
        <w:t>0</w:t>
      </w:r>
      <w:r>
        <w:rPr>
          <w:rFonts w:hint="eastAsia" w:ascii="仿宋_GB2312" w:hAnsi="宋体" w:eastAsia="仿宋_GB2312"/>
          <w:sz w:val="32"/>
          <w:szCs w:val="32"/>
        </w:rPr>
        <w:t>万元，主要是</w:t>
      </w:r>
      <w:r>
        <w:rPr>
          <w:rFonts w:ascii="仿宋_GB2312" w:hAnsi="宋体" w:eastAsia="仿宋_GB2312"/>
          <w:sz w:val="32"/>
          <w:szCs w:val="32"/>
        </w:rPr>
        <w:t>0</w:t>
      </w:r>
      <w:r>
        <w:rPr>
          <w:rFonts w:hint="eastAsia" w:ascii="仿宋_GB2312" w:hAnsi="宋体" w:eastAsia="仿宋_GB2312"/>
          <w:sz w:val="32"/>
          <w:szCs w:val="32"/>
        </w:rPr>
        <w:t>等支出，完成年初预算的</w:t>
      </w:r>
      <w:r>
        <w:rPr>
          <w:rFonts w:ascii="仿宋_GB2312" w:hAnsi="宋体" w:eastAsia="仿宋_GB2312"/>
          <w:sz w:val="32"/>
          <w:szCs w:val="32"/>
        </w:rPr>
        <w:t>0</w:t>
      </w:r>
      <w:r>
        <w:rPr>
          <w:rFonts w:hint="eastAsia" w:ascii="仿宋_GB2312" w:hAnsi="宋体" w:eastAsia="仿宋_GB2312"/>
          <w:sz w:val="32"/>
          <w:szCs w:val="32"/>
        </w:rPr>
        <w:t>%，决算数小于（大于）年初预算数的原因主要是</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（3）预算改革业务</w:t>
      </w:r>
      <w:r>
        <w:rPr>
          <w:rFonts w:ascii="仿宋_GB2312" w:hAnsi="宋体" w:eastAsia="仿宋_GB2312"/>
          <w:sz w:val="32"/>
          <w:szCs w:val="32"/>
        </w:rPr>
        <w:t>0</w:t>
      </w:r>
      <w:r>
        <w:rPr>
          <w:rFonts w:hint="eastAsia" w:ascii="仿宋_GB2312" w:hAnsi="宋体" w:eastAsia="仿宋_GB2312"/>
          <w:sz w:val="32"/>
          <w:szCs w:val="32"/>
        </w:rPr>
        <w:t>万元，主要是</w:t>
      </w:r>
      <w:r>
        <w:rPr>
          <w:rFonts w:ascii="仿宋_GB2312" w:hAnsi="宋体" w:eastAsia="仿宋_GB2312"/>
          <w:sz w:val="32"/>
          <w:szCs w:val="32"/>
        </w:rPr>
        <w:t>0</w:t>
      </w:r>
      <w:r>
        <w:rPr>
          <w:rFonts w:hint="eastAsia" w:ascii="仿宋_GB2312" w:hAnsi="宋体" w:eastAsia="仿宋_GB2312"/>
          <w:sz w:val="32"/>
          <w:szCs w:val="32"/>
        </w:rPr>
        <w:t>等支出，完成年初预算的</w:t>
      </w:r>
      <w:r>
        <w:rPr>
          <w:rFonts w:ascii="仿宋_GB2312" w:hAnsi="宋体" w:eastAsia="仿宋_GB2312"/>
          <w:sz w:val="32"/>
          <w:szCs w:val="32"/>
        </w:rPr>
        <w:t>0</w:t>
      </w:r>
      <w:r>
        <w:rPr>
          <w:rFonts w:hint="eastAsia" w:ascii="仿宋_GB2312" w:hAnsi="宋体" w:eastAsia="仿宋_GB2312"/>
          <w:sz w:val="32"/>
          <w:szCs w:val="32"/>
        </w:rPr>
        <w:t>%，决算数小于（大于）年初预算数的原因主要是</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（4）财政国库业务</w:t>
      </w:r>
      <w:r>
        <w:rPr>
          <w:rFonts w:ascii="仿宋_GB2312" w:hAnsi="宋体" w:eastAsia="仿宋_GB2312"/>
          <w:sz w:val="32"/>
          <w:szCs w:val="32"/>
        </w:rPr>
        <w:t>0</w:t>
      </w:r>
      <w:r>
        <w:rPr>
          <w:rFonts w:hint="eastAsia" w:ascii="仿宋_GB2312" w:hAnsi="宋体" w:eastAsia="仿宋_GB2312"/>
          <w:sz w:val="32"/>
          <w:szCs w:val="32"/>
        </w:rPr>
        <w:t>万元，主要是</w:t>
      </w:r>
      <w:r>
        <w:rPr>
          <w:rFonts w:ascii="仿宋_GB2312" w:hAnsi="宋体" w:eastAsia="仿宋_GB2312"/>
          <w:sz w:val="32"/>
          <w:szCs w:val="32"/>
        </w:rPr>
        <w:t>0</w:t>
      </w:r>
      <w:r>
        <w:rPr>
          <w:rFonts w:hint="eastAsia" w:ascii="仿宋_GB2312" w:hAnsi="宋体" w:eastAsia="仿宋_GB2312"/>
          <w:sz w:val="32"/>
          <w:szCs w:val="32"/>
        </w:rPr>
        <w:t>等支出，完成年初预算的</w:t>
      </w:r>
      <w:r>
        <w:rPr>
          <w:rFonts w:ascii="仿宋_GB2312" w:hAnsi="宋体" w:eastAsia="仿宋_GB2312"/>
          <w:sz w:val="32"/>
          <w:szCs w:val="32"/>
        </w:rPr>
        <w:t>0</w:t>
      </w:r>
      <w:r>
        <w:rPr>
          <w:rFonts w:hint="eastAsia" w:ascii="仿宋_GB2312" w:hAnsi="宋体" w:eastAsia="仿宋_GB2312"/>
          <w:sz w:val="32"/>
          <w:szCs w:val="32"/>
        </w:rPr>
        <w:t>%，决算数小于（大于）年初预算数的原因主要是</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（5）信息化建设</w:t>
      </w:r>
      <w:r>
        <w:rPr>
          <w:rFonts w:ascii="仿宋_GB2312" w:hAnsi="宋体" w:eastAsia="仿宋_GB2312"/>
          <w:sz w:val="32"/>
          <w:szCs w:val="32"/>
        </w:rPr>
        <w:t>0</w:t>
      </w:r>
      <w:r>
        <w:rPr>
          <w:rFonts w:hint="eastAsia" w:ascii="仿宋_GB2312" w:hAnsi="宋体" w:eastAsia="仿宋_GB2312"/>
          <w:sz w:val="32"/>
          <w:szCs w:val="32"/>
        </w:rPr>
        <w:t>万元，主要是</w:t>
      </w:r>
      <w:r>
        <w:rPr>
          <w:rFonts w:ascii="仿宋_GB2312" w:hAnsi="宋体" w:eastAsia="仿宋_GB2312"/>
          <w:sz w:val="32"/>
          <w:szCs w:val="32"/>
        </w:rPr>
        <w:t>0</w:t>
      </w:r>
      <w:r>
        <w:rPr>
          <w:rFonts w:hint="eastAsia" w:ascii="仿宋_GB2312" w:hAnsi="宋体" w:eastAsia="仿宋_GB2312"/>
          <w:sz w:val="32"/>
          <w:szCs w:val="32"/>
        </w:rPr>
        <w:t>等支出，完成年初预算的</w:t>
      </w:r>
      <w:r>
        <w:rPr>
          <w:rFonts w:ascii="仿宋_GB2312" w:hAnsi="宋体" w:eastAsia="仿宋_GB2312"/>
          <w:sz w:val="32"/>
          <w:szCs w:val="32"/>
        </w:rPr>
        <w:t>0</w:t>
      </w:r>
      <w:r>
        <w:rPr>
          <w:rFonts w:hint="eastAsia" w:ascii="仿宋_GB2312" w:hAnsi="宋体" w:eastAsia="仿宋_GB2312"/>
          <w:sz w:val="32"/>
          <w:szCs w:val="32"/>
        </w:rPr>
        <w:t>%，决算数小于（大于）年初预算数的原因主要是</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（6）事业运行</w:t>
      </w:r>
      <w:r>
        <w:rPr>
          <w:rFonts w:ascii="仿宋_GB2312" w:hAnsi="宋体" w:eastAsia="仿宋_GB2312"/>
          <w:sz w:val="32"/>
          <w:szCs w:val="32"/>
        </w:rPr>
        <w:t>0</w:t>
      </w:r>
      <w:r>
        <w:rPr>
          <w:rFonts w:hint="eastAsia" w:ascii="仿宋_GB2312" w:hAnsi="宋体" w:eastAsia="仿宋_GB2312"/>
          <w:sz w:val="32"/>
          <w:szCs w:val="32"/>
        </w:rPr>
        <w:t>万元，主要是</w:t>
      </w:r>
      <w:r>
        <w:rPr>
          <w:rFonts w:ascii="仿宋_GB2312" w:hAnsi="宋体" w:eastAsia="仿宋_GB2312"/>
          <w:sz w:val="32"/>
          <w:szCs w:val="32"/>
        </w:rPr>
        <w:t>0</w:t>
      </w:r>
      <w:r>
        <w:rPr>
          <w:rFonts w:hint="eastAsia" w:ascii="仿宋_GB2312" w:hAnsi="宋体" w:eastAsia="仿宋_GB2312"/>
          <w:sz w:val="32"/>
          <w:szCs w:val="32"/>
        </w:rPr>
        <w:t>等支出，完成年初预算的</w:t>
      </w:r>
      <w:r>
        <w:rPr>
          <w:rFonts w:ascii="仿宋_GB2312" w:hAnsi="宋体" w:eastAsia="仿宋_GB2312"/>
          <w:sz w:val="32"/>
          <w:szCs w:val="32"/>
        </w:rPr>
        <w:t>0</w:t>
      </w:r>
      <w:r>
        <w:rPr>
          <w:rFonts w:hint="eastAsia" w:ascii="仿宋_GB2312" w:hAnsi="宋体" w:eastAsia="仿宋_GB2312"/>
          <w:sz w:val="32"/>
          <w:szCs w:val="32"/>
        </w:rPr>
        <w:t>%，决算数小于（大于）年初预算数的原因主要是</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（7）其他财政事务支出</w:t>
      </w:r>
      <w:r>
        <w:rPr>
          <w:rFonts w:ascii="仿宋_GB2312" w:hAnsi="宋体" w:eastAsia="仿宋_GB2312"/>
          <w:sz w:val="32"/>
          <w:szCs w:val="32"/>
        </w:rPr>
        <w:t>0</w:t>
      </w:r>
      <w:r>
        <w:rPr>
          <w:rFonts w:hint="eastAsia" w:ascii="仿宋_GB2312" w:hAnsi="宋体" w:eastAsia="仿宋_GB2312"/>
          <w:sz w:val="32"/>
          <w:szCs w:val="32"/>
        </w:rPr>
        <w:t>万元，主要是</w:t>
      </w:r>
      <w:r>
        <w:rPr>
          <w:rFonts w:ascii="仿宋_GB2312" w:hAnsi="宋体" w:eastAsia="仿宋_GB2312"/>
          <w:sz w:val="32"/>
          <w:szCs w:val="32"/>
        </w:rPr>
        <w:t>0</w:t>
      </w:r>
      <w:r>
        <w:rPr>
          <w:rFonts w:hint="eastAsia" w:ascii="仿宋_GB2312" w:hAnsi="宋体" w:eastAsia="仿宋_GB2312"/>
          <w:sz w:val="32"/>
          <w:szCs w:val="32"/>
        </w:rPr>
        <w:t>等支出，完成年初预算的</w:t>
      </w:r>
      <w:r>
        <w:rPr>
          <w:rFonts w:ascii="仿宋_GB2312" w:hAnsi="宋体" w:eastAsia="仿宋_GB2312"/>
          <w:sz w:val="32"/>
          <w:szCs w:val="32"/>
        </w:rPr>
        <w:t>0</w:t>
      </w:r>
      <w:r>
        <w:rPr>
          <w:rFonts w:hint="eastAsia" w:ascii="仿宋_GB2312" w:hAnsi="宋体" w:eastAsia="仿宋_GB2312"/>
          <w:sz w:val="32"/>
          <w:szCs w:val="32"/>
        </w:rPr>
        <w:t>%，决算数小于（大于）年初预算数的原因主要是</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2.社会保障和就业支出46.51万元，具体包括：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（1）归口管理的行政单位离退休0万元，主要是0等支出，完成年初预算的0%。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（2）事业单位离退休0万元，主要是0等支出，完成年初预算的0%。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（3）机关事业单位基本养老保险缴费45.24万元，主要是养老保险等支出，完成年初预算的100%，决算数等于年初预算数。</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（4）死亡抚恤0万元，主要是0等支出，完成年初预算的0%。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（5）伤残抚恤0万元，主要是0等支出，完成年初预算的0%。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（6）其他社会保障和就业支出1.27万元，主要是失业保险等支出，完成年初预算的100%，决算数等于年初预算数。</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3.卫生健康支出10.06万元，包括：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（1）行政单位医疗0万元，主要是0等支出，完成年初预算的0%。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（2）事业单位医疗10.06万元，主要是医疗保险等支出，完成年初预算的100%，决算数等于年初预算数。</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4.农林水事务支出0万元</w:t>
      </w:r>
      <w:r>
        <w:rPr>
          <w:rFonts w:hint="eastAsia" w:ascii="仿宋_GB2312" w:hAnsi="宋体" w:eastAsia="仿宋_GB2312"/>
          <w:sz w:val="32"/>
          <w:szCs w:val="32"/>
          <w:lang w:eastAsia="zh-CN"/>
        </w:rPr>
        <w:t>。</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5.金融支出0万元</w:t>
      </w:r>
      <w:r>
        <w:rPr>
          <w:rFonts w:hint="eastAsia" w:ascii="仿宋_GB2312" w:hAnsi="宋体" w:eastAsia="仿宋_GB2312"/>
          <w:sz w:val="32"/>
          <w:szCs w:val="32"/>
          <w:lang w:eastAsia="zh-CN"/>
        </w:rPr>
        <w:t>。</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6.自然资源海洋气象等支出0万元</w:t>
      </w:r>
      <w:r>
        <w:rPr>
          <w:rFonts w:hint="eastAsia" w:ascii="仿宋_GB2312" w:hAnsi="宋体" w:eastAsia="仿宋_GB2312"/>
          <w:sz w:val="32"/>
          <w:szCs w:val="32"/>
          <w:lang w:eastAsia="zh-CN"/>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7.城乡社区支出745.92万元，具体包括：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其他城乡社区管理事务支出745.92万元，主要是事业编制人员工资、办公费、印刷费、公车运行维护费、咨询费、维护费、劳务费、拆迁补偿等支出，完成年初预算的65.57%，决算数小于年初预算数的原因主要是</w:t>
      </w:r>
      <w:bookmarkStart w:id="0" w:name="_GoBack"/>
      <w:bookmarkEnd w:id="0"/>
      <w:r>
        <w:rPr>
          <w:rFonts w:hint="eastAsia" w:ascii="仿宋_GB2312" w:hAnsi="黑体" w:eastAsia="仿宋_GB2312"/>
          <w:sz w:val="32"/>
          <w:szCs w:val="32"/>
        </w:rPr>
        <w:t>本年没有支付</w:t>
      </w:r>
      <w:r>
        <w:rPr>
          <w:rFonts w:hint="eastAsia" w:ascii="仿宋_GB2312" w:hAnsi="宋体" w:eastAsia="仿宋_GB2312"/>
          <w:sz w:val="32"/>
          <w:szCs w:val="32"/>
        </w:rPr>
        <w:t>棚改服务费。</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8.住房保障支出31.17万元，具体包括：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住房公积金31.17万元，主要是职工住房公积金等支出，完成年初预算的100%，决算数等于年初预算数。</w:t>
      </w:r>
    </w:p>
    <w:p>
      <w:pPr>
        <w:spacing w:line="540" w:lineRule="exact"/>
        <w:ind w:firstLine="660"/>
        <w:rPr>
          <w:rFonts w:ascii="黑体" w:hAnsi="黑体" w:eastAsia="黑体"/>
          <w:sz w:val="32"/>
          <w:szCs w:val="32"/>
        </w:rPr>
      </w:pPr>
      <w:r>
        <w:rPr>
          <w:rFonts w:hint="eastAsia" w:ascii="黑体" w:hAnsi="黑体" w:eastAsia="黑体"/>
          <w:sz w:val="32"/>
          <w:szCs w:val="32"/>
        </w:rPr>
        <w:t>三、一般公共预算财政拨款“三公”经费支出决算情况</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2019年度一般公共预算财政拨款安排的“三公”经费支出16.82万元，完成年初预算的80.09%，决算数小于年初预算数的主要原因是因经费不足限制车辆公务外出。其中：因公出国（境）费0万元，公务接待费0万元，公务用车购置及运行维护费16.82万元。</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1.因公出国（境）费0万元，2019年参加出国（境）团组0个，累计0人次。。</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2.公务接待费0万元，2019年国内公务接待累计0批次，0人，0万元。</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rPr>
        <w:t>16.82万元，比上年减少3.3万元，下降16.4%，主要是因经费不足限制车辆公务外出等原因。</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公务用车购置费0万元,当年购置公务用车0辆。</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公务用车运行维护费16.82万元，主要用于车辆加油、车辆维修、车辆保险等。截至年末使用</w:t>
      </w:r>
      <w:r>
        <w:rPr>
          <w:rFonts w:ascii="仿宋_GB2312" w:hAnsi="宋体" w:eastAsia="仿宋_GB2312"/>
          <w:sz w:val="32"/>
          <w:szCs w:val="32"/>
        </w:rPr>
        <w:t>一般公共预算财政拨款开支的</w:t>
      </w:r>
      <w:r>
        <w:rPr>
          <w:rFonts w:hint="eastAsia" w:ascii="仿宋_GB2312" w:hAnsi="宋体" w:eastAsia="仿宋_GB2312"/>
          <w:sz w:val="32"/>
          <w:szCs w:val="32"/>
        </w:rPr>
        <w:t>公务用车保有量7辆。</w:t>
      </w:r>
    </w:p>
    <w:p>
      <w:pPr>
        <w:spacing w:line="540" w:lineRule="exact"/>
        <w:ind w:firstLine="645"/>
        <w:rPr>
          <w:rFonts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2019年度一般公共预算财政拨款基本支出473.94万元，其中：人员经费385.86万元，主要包括基本工资、津贴补贴、奖金、其他社会保障缴费、机关事业单位基本养老保险缴费、其他工资福利支出、离休费、退休费、抚恤金、生活补助、奖励金、住房公积金、采暖补贴、其他对个人和家庭补助的支出；日常公用经费52.08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2019年盘锦市双台子区房屋征收安置事务服务中心机关运行经费支出0万元。</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2019年政府采购支出总额0万元，其中：政府采购货物支出0万元，政府采购工程支出0万元，政府采购服务支出0万元。</w:t>
      </w:r>
      <w:r>
        <w:rPr>
          <w:rFonts w:hint="eastAsia" w:ascii="仿宋_GB2312" w:eastAsia="仿宋_GB2312"/>
          <w:sz w:val="32"/>
          <w:szCs w:val="32"/>
        </w:rPr>
        <w:t>授予中小企业合同金额0万元，占政府采购支出总额的0%，其中：授予小微企业合同金额0万元，占政府采购支出总额的0%。</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截至2019年12月31日，共有车辆7辆，其中：我中心一般公务用车3辆、下设分中心一般公务用车4辆。</w:t>
      </w:r>
    </w:p>
    <w:p>
      <w:pPr>
        <w:spacing w:line="54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（四）预算绩效管理工作开展情况。</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根据财政预算管理要求，我中心组织对2019年度预算项目支出全面开展绩效自评，共涉及预算支出项目</w:t>
      </w:r>
      <w:r>
        <w:rPr>
          <w:rFonts w:hint="eastAsia" w:ascii="仿宋_GB2312" w:hAnsi="黑体" w:eastAsia="仿宋_GB2312"/>
          <w:sz w:val="32"/>
          <w:szCs w:val="32"/>
        </w:rPr>
        <w:t>0</w:t>
      </w:r>
      <w:r>
        <w:rPr>
          <w:rFonts w:hint="eastAsia" w:ascii="仿宋_GB2312" w:hAnsi="宋体" w:eastAsia="仿宋_GB2312" w:cs="宋体"/>
          <w:sz w:val="32"/>
          <w:szCs w:val="32"/>
        </w:rPr>
        <w:t>个，涉及资金</w:t>
      </w:r>
      <w:r>
        <w:rPr>
          <w:rFonts w:hint="eastAsia" w:ascii="仿宋_GB2312" w:hAnsi="黑体" w:eastAsia="仿宋_GB2312"/>
          <w:sz w:val="32"/>
          <w:szCs w:val="32"/>
        </w:rPr>
        <w:t>0</w:t>
      </w:r>
      <w:r>
        <w:rPr>
          <w:rFonts w:hint="eastAsia" w:ascii="仿宋_GB2312" w:hAnsi="宋体" w:eastAsia="仿宋_GB2312" w:cs="宋体"/>
          <w:sz w:val="32"/>
          <w:szCs w:val="32"/>
        </w:rPr>
        <w:t>万元，自评覆盖率（开展绩效自评的项目数/年初批复绩效目标的项目数）达到</w:t>
      </w:r>
      <w:r>
        <w:rPr>
          <w:rFonts w:hint="eastAsia" w:ascii="仿宋_GB2312" w:hAnsi="黑体" w:eastAsia="仿宋_GB2312"/>
          <w:sz w:val="32"/>
          <w:szCs w:val="32"/>
        </w:rPr>
        <w:t>0</w:t>
      </w:r>
      <w:r>
        <w:rPr>
          <w:rFonts w:hint="eastAsia" w:ascii="仿宋_GB2312" w:hAnsi="宋体" w:eastAsia="仿宋_GB2312" w:cs="宋体"/>
          <w:sz w:val="32"/>
          <w:szCs w:val="32"/>
        </w:rPr>
        <w:t>%，自评平均分（开展绩效自评的项目分数总和/开展绩效自评的项目数）</w:t>
      </w:r>
      <w:r>
        <w:rPr>
          <w:rFonts w:hint="eastAsia" w:ascii="仿宋_GB2312" w:hAnsi="黑体" w:eastAsia="仿宋_GB2312"/>
          <w:sz w:val="32"/>
          <w:szCs w:val="32"/>
        </w:rPr>
        <w:t>0</w:t>
      </w:r>
      <w:r>
        <w:rPr>
          <w:rFonts w:hint="eastAsia" w:ascii="仿宋_GB2312" w:hAnsi="宋体" w:eastAsia="仿宋_GB2312" w:cs="宋体"/>
          <w:sz w:val="32"/>
          <w:szCs w:val="32"/>
        </w:rPr>
        <w:t>分。</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通过绩效自评发现预算项目管理主要存在以下问题：</w:t>
      </w:r>
      <w:r>
        <w:rPr>
          <w:rFonts w:hint="eastAsia" w:ascii="黑体" w:hAnsi="黑体" w:eastAsia="黑体" w:cs="宋体"/>
          <w:sz w:val="32"/>
          <w:szCs w:val="32"/>
        </w:rPr>
        <w:t>一是</w:t>
      </w:r>
      <w:r>
        <w:rPr>
          <w:rFonts w:hint="eastAsia" w:ascii="仿宋_GB2312" w:hAnsi="黑体" w:eastAsia="仿宋_GB2312" w:cs="宋体"/>
          <w:sz w:val="32"/>
          <w:szCs w:val="32"/>
        </w:rPr>
        <w:t>单位认识不到位，重视程度不够。单位项目业务股室与财务股室没有形成有效合作机制，分管业务领导对预算绩效重视不够</w:t>
      </w:r>
      <w:r>
        <w:rPr>
          <w:rFonts w:hint="eastAsia" w:ascii="仿宋_GB2312" w:hAnsi="宋体" w:eastAsia="仿宋_GB2312" w:cs="宋体"/>
          <w:sz w:val="32"/>
          <w:szCs w:val="32"/>
        </w:rPr>
        <w:t>;</w:t>
      </w:r>
      <w:r>
        <w:rPr>
          <w:rFonts w:hint="eastAsia" w:ascii="黑体" w:hAnsi="黑体" w:eastAsia="黑体" w:cs="宋体"/>
          <w:sz w:val="32"/>
          <w:szCs w:val="32"/>
        </w:rPr>
        <w:t>二是</w:t>
      </w:r>
      <w:r>
        <w:rPr>
          <w:rFonts w:ascii="仿宋_GB2312" w:hAnsi="黑体" w:eastAsia="仿宋_GB2312"/>
          <w:sz w:val="32"/>
          <w:szCs w:val="32"/>
        </w:rPr>
        <w:t>前期论证不充分，与实际情况存在偏差</w:t>
      </w:r>
      <w:r>
        <w:rPr>
          <w:rFonts w:hint="eastAsia" w:ascii="仿宋_GB2312" w:hAnsi="宋体" w:eastAsia="仿宋_GB2312" w:cs="宋体"/>
          <w:sz w:val="32"/>
          <w:szCs w:val="32"/>
        </w:rPr>
        <w:t>。下一步将采取以下措施加以改进：</w:t>
      </w:r>
      <w:r>
        <w:rPr>
          <w:rFonts w:hint="eastAsia" w:ascii="黑体" w:hAnsi="黑体" w:eastAsia="黑体" w:cs="宋体"/>
          <w:sz w:val="32"/>
          <w:szCs w:val="32"/>
        </w:rPr>
        <w:t>一是</w:t>
      </w:r>
      <w:r>
        <w:rPr>
          <w:rFonts w:ascii="仿宋_GB2312" w:hAnsi="黑体" w:eastAsia="仿宋_GB2312"/>
          <w:sz w:val="32"/>
          <w:szCs w:val="32"/>
        </w:rPr>
        <w:t>提高预算绩效意识</w:t>
      </w:r>
      <w:r>
        <w:rPr>
          <w:rFonts w:hint="eastAsia" w:ascii="仿宋_GB2312" w:hAnsi="黑体" w:eastAsia="仿宋_GB2312"/>
          <w:sz w:val="32"/>
          <w:szCs w:val="32"/>
        </w:rPr>
        <w:t>，</w:t>
      </w:r>
      <w:r>
        <w:rPr>
          <w:rFonts w:ascii="仿宋_GB2312" w:hAnsi="黑体" w:eastAsia="仿宋_GB2312"/>
          <w:sz w:val="32"/>
          <w:szCs w:val="32"/>
        </w:rPr>
        <w:t>主动加强绩效管理，不断增强绩效意识</w:t>
      </w:r>
      <w:r>
        <w:rPr>
          <w:rFonts w:hint="eastAsia" w:ascii="仿宋_GB2312" w:hAnsi="宋体" w:eastAsia="仿宋_GB2312" w:cs="宋体"/>
          <w:sz w:val="32"/>
          <w:szCs w:val="32"/>
        </w:rPr>
        <w:t>;</w:t>
      </w:r>
      <w:r>
        <w:rPr>
          <w:rFonts w:hint="eastAsia" w:ascii="黑体" w:hAnsi="黑体" w:eastAsia="黑体" w:cs="宋体"/>
          <w:sz w:val="32"/>
          <w:szCs w:val="32"/>
        </w:rPr>
        <w:t>二是</w:t>
      </w:r>
      <w:r>
        <w:rPr>
          <w:rFonts w:ascii="仿宋_GB2312" w:hAnsi="黑体" w:eastAsia="仿宋_GB2312"/>
          <w:sz w:val="32"/>
          <w:szCs w:val="32"/>
        </w:rPr>
        <w:t>加大预算执行中对绩效指标的监控力</w:t>
      </w:r>
      <w:r>
        <w:rPr>
          <w:rFonts w:hint="eastAsia" w:ascii="仿宋_GB2312" w:hAnsi="黑体" w:eastAsia="仿宋_GB2312"/>
          <w:sz w:val="32"/>
          <w:szCs w:val="32"/>
        </w:rPr>
        <w:t>度。</w:t>
      </w:r>
    </w:p>
    <w:p>
      <w:pPr>
        <w:spacing w:line="540" w:lineRule="exact"/>
        <w:ind w:firstLine="640" w:firstLineChars="200"/>
        <w:rPr>
          <w:rFonts w:ascii="仿宋_GB2312" w:hAnsi="宋体" w:eastAsia="仿宋_GB2312" w:cs="宋体"/>
          <w:sz w:val="32"/>
          <w:szCs w:val="32"/>
        </w:rPr>
      </w:pPr>
    </w:p>
    <w:p>
      <w:pPr>
        <w:spacing w:line="540" w:lineRule="exact"/>
        <w:jc w:val="center"/>
        <w:rPr>
          <w:rFonts w:ascii="宋体" w:hAnsi="宋体"/>
          <w:b/>
          <w:sz w:val="36"/>
          <w:szCs w:val="36"/>
        </w:rPr>
      </w:pPr>
      <w:r>
        <w:rPr>
          <w:rFonts w:ascii="宋体" w:hAnsi="宋体"/>
          <w:b/>
          <w:sz w:val="36"/>
          <w:szCs w:val="36"/>
        </w:rPr>
        <w:br w:type="page"/>
      </w:r>
      <w:r>
        <w:rPr>
          <w:rFonts w:hint="eastAsia" w:ascii="宋体" w:hAnsi="宋体"/>
          <w:b/>
          <w:sz w:val="36"/>
          <w:szCs w:val="36"/>
        </w:rPr>
        <w:t>第四部分 名词解释</w:t>
      </w:r>
    </w:p>
    <w:p>
      <w:pPr>
        <w:spacing w:line="540" w:lineRule="exact"/>
        <w:jc w:val="center"/>
        <w:rPr>
          <w:rFonts w:ascii="宋体" w:hAnsi="宋体"/>
          <w:b/>
          <w:sz w:val="36"/>
          <w:szCs w:val="36"/>
        </w:rPr>
      </w:pP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7.用事业基金弥补收支差额：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15.一般公共服务（类）财政事务（款）行政运行（项）：</w:t>
      </w:r>
      <w:r>
        <w:rPr>
          <w:rFonts w:hint="eastAsia" w:ascii="仿宋_GB2312" w:eastAsia="仿宋_GB2312"/>
          <w:sz w:val="32"/>
          <w:szCs w:val="32"/>
        </w:rPr>
        <w:t>反映行政单位（包括实行公务员管理的事业单位）的基本支出。</w:t>
      </w:r>
    </w:p>
    <w:p>
      <w:pPr>
        <w:spacing w:line="540" w:lineRule="exact"/>
        <w:rPr>
          <w:sz w:val="32"/>
          <w:szCs w:val="32"/>
        </w:rPr>
      </w:pPr>
    </w:p>
    <w:p>
      <w:pPr>
        <w:spacing w:line="540" w:lineRule="exact"/>
        <w:rPr>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B3395"/>
    <w:rsid w:val="000178DB"/>
    <w:rsid w:val="000462FE"/>
    <w:rsid w:val="00086F11"/>
    <w:rsid w:val="000F5521"/>
    <w:rsid w:val="00140074"/>
    <w:rsid w:val="0019420D"/>
    <w:rsid w:val="00334843"/>
    <w:rsid w:val="003352E4"/>
    <w:rsid w:val="003467D1"/>
    <w:rsid w:val="003C5169"/>
    <w:rsid w:val="00404A85"/>
    <w:rsid w:val="00440176"/>
    <w:rsid w:val="00470862"/>
    <w:rsid w:val="004A214E"/>
    <w:rsid w:val="004E28CE"/>
    <w:rsid w:val="00596762"/>
    <w:rsid w:val="005D2629"/>
    <w:rsid w:val="00602846"/>
    <w:rsid w:val="006B68E7"/>
    <w:rsid w:val="006D1A0D"/>
    <w:rsid w:val="00711919"/>
    <w:rsid w:val="00764307"/>
    <w:rsid w:val="007925D1"/>
    <w:rsid w:val="008130DB"/>
    <w:rsid w:val="00822C85"/>
    <w:rsid w:val="0084280C"/>
    <w:rsid w:val="0086309C"/>
    <w:rsid w:val="0086459A"/>
    <w:rsid w:val="008A532D"/>
    <w:rsid w:val="008B6F33"/>
    <w:rsid w:val="008B7A68"/>
    <w:rsid w:val="00951944"/>
    <w:rsid w:val="00981211"/>
    <w:rsid w:val="00A1651E"/>
    <w:rsid w:val="00A16702"/>
    <w:rsid w:val="00A218C5"/>
    <w:rsid w:val="00A7650A"/>
    <w:rsid w:val="00AB3395"/>
    <w:rsid w:val="00AC1F83"/>
    <w:rsid w:val="00B02F14"/>
    <w:rsid w:val="00B04303"/>
    <w:rsid w:val="00B34E83"/>
    <w:rsid w:val="00B55EED"/>
    <w:rsid w:val="00B611E9"/>
    <w:rsid w:val="00B64D0B"/>
    <w:rsid w:val="00B7512E"/>
    <w:rsid w:val="00B921A2"/>
    <w:rsid w:val="00C527AF"/>
    <w:rsid w:val="00C56FF8"/>
    <w:rsid w:val="00C93AC1"/>
    <w:rsid w:val="00CA20E8"/>
    <w:rsid w:val="00CE0C75"/>
    <w:rsid w:val="00D50902"/>
    <w:rsid w:val="00D631E6"/>
    <w:rsid w:val="00D77285"/>
    <w:rsid w:val="00D92A45"/>
    <w:rsid w:val="00D93D68"/>
    <w:rsid w:val="00DB5154"/>
    <w:rsid w:val="00E62AAA"/>
    <w:rsid w:val="00E731B3"/>
    <w:rsid w:val="00E95DC4"/>
    <w:rsid w:val="00EE11E2"/>
    <w:rsid w:val="00F16F6A"/>
    <w:rsid w:val="00F85A17"/>
    <w:rsid w:val="00FA1967"/>
    <w:rsid w:val="00FC2AD4"/>
    <w:rsid w:val="61653D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rFonts w:ascii="Times New Roman" w:hAnsi="Times New Roman" w:eastAsia="宋体" w:cs="Times New Roman"/>
      <w:sz w:val="18"/>
      <w:szCs w:val="18"/>
    </w:rPr>
  </w:style>
  <w:style w:type="character" w:customStyle="1" w:styleId="8">
    <w:name w:val="页脚 Char"/>
    <w:basedOn w:val="6"/>
    <w:link w:val="3"/>
    <w:semiHidden/>
    <w:uiPriority w:val="99"/>
    <w:rPr>
      <w:rFonts w:ascii="Times New Roman" w:hAnsi="Times New Roman" w:eastAsia="宋体" w:cs="Times New Roman"/>
      <w:sz w:val="18"/>
      <w:szCs w:val="18"/>
    </w:rPr>
  </w:style>
  <w:style w:type="character" w:customStyle="1" w:styleId="9">
    <w:name w:val="批注框文本 Char"/>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761</Words>
  <Characters>4338</Characters>
  <Lines>36</Lines>
  <Paragraphs>10</Paragraphs>
  <TotalTime>4</TotalTime>
  <ScaleCrop>false</ScaleCrop>
  <LinksUpToDate>false</LinksUpToDate>
  <CharactersWithSpaces>5089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2020-08-26T06:42:00Z</dcterms:created>
  <dc:creator>微软用户</dc:creator>
  <cp:lastModifiedBy>cz</cp:lastModifiedBy>
  <cp:lastPrinted>2020-08-26T06:34:00Z</cp:lastPrinted>
  <dcterms:modified xsi:type="dcterms:W3CDTF">2021-06-02T10:48:47Z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