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宋体" w:hAnsi="宋体"/>
          <w:b/>
          <w:sz w:val="52"/>
          <w:szCs w:val="52"/>
        </w:rPr>
      </w:pPr>
      <w:r>
        <w:rPr>
          <w:rFonts w:hint="eastAsia" w:ascii="宋体" w:hAnsi="宋体"/>
          <w:b/>
          <w:sz w:val="52"/>
          <w:szCs w:val="52"/>
        </w:rPr>
        <w:t>中共盘锦市双台子区委机构编制委员会办公室2019年度部门决算</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b/>
          <w:sz w:val="44"/>
          <w:szCs w:val="44"/>
          <w:u w:val="single"/>
        </w:rPr>
      </w:pPr>
    </w:p>
    <w:p>
      <w:pPr>
        <w:spacing w:line="540" w:lineRule="exact"/>
        <w:ind w:left="2240" w:hanging="2240" w:hangingChars="700"/>
        <w:rPr>
          <w:rFonts w:ascii="黑体" w:hAnsi="黑体" w:eastAsia="黑体"/>
          <w:sz w:val="32"/>
          <w:szCs w:val="32"/>
        </w:rPr>
      </w:pPr>
      <w:r>
        <w:rPr>
          <w:rFonts w:hint="eastAsia" w:ascii="黑体" w:hAnsi="黑体" w:eastAsia="黑体"/>
          <w:sz w:val="32"/>
          <w:szCs w:val="32"/>
        </w:rPr>
        <w:t>第一部分    中共盘锦市双台子区委机构编制委员会办公室概况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ind w:left="1920" w:hanging="1920" w:hangingChars="600"/>
        <w:rPr>
          <w:rFonts w:ascii="黑体" w:hAnsi="黑体" w:eastAsia="黑体"/>
          <w:sz w:val="32"/>
          <w:szCs w:val="32"/>
        </w:rPr>
      </w:pPr>
      <w:r>
        <w:rPr>
          <w:rFonts w:hint="eastAsia" w:ascii="黑体" w:hAnsi="黑体" w:eastAsia="黑体"/>
          <w:sz w:val="32"/>
          <w:szCs w:val="32"/>
        </w:rPr>
        <w:t>第二部分    中共盘锦市双台子区委机构编制委员会办公室2019年度部门决算报表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2019年度收入支出决算总表</w:t>
      </w:r>
    </w:p>
    <w:p>
      <w:pPr>
        <w:spacing w:line="540" w:lineRule="exact"/>
        <w:rPr>
          <w:rFonts w:ascii="仿宋_GB2312" w:eastAsia="仿宋_GB2312"/>
          <w:sz w:val="32"/>
          <w:szCs w:val="32"/>
        </w:rPr>
      </w:pPr>
      <w:r>
        <w:rPr>
          <w:rFonts w:hint="eastAsia" w:ascii="仿宋_GB2312" w:eastAsia="仿宋_GB2312"/>
          <w:sz w:val="32"/>
          <w:szCs w:val="32"/>
        </w:rPr>
        <w:t>二、2019</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三、2019</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2019年度财政拨款收入支出决算表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2019年度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2019年度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2019年度政府性基金预算财政拨款收入支出决算表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2019</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ind w:left="1920" w:hanging="1920" w:hangingChars="600"/>
        <w:rPr>
          <w:rFonts w:ascii="黑体" w:hAnsi="黑体" w:eastAsia="黑体"/>
          <w:sz w:val="32"/>
          <w:szCs w:val="32"/>
        </w:rPr>
      </w:pPr>
      <w:r>
        <w:rPr>
          <w:rFonts w:hint="eastAsia" w:ascii="黑体" w:hAnsi="黑体" w:eastAsia="黑体"/>
          <w:sz w:val="32"/>
          <w:szCs w:val="32"/>
        </w:rPr>
        <w:t>第三部分    中共盘锦市双台子区委机构编制委员会办公室2019年度部门决算情况说明</w:t>
      </w:r>
    </w:p>
    <w:p>
      <w:pPr>
        <w:spacing w:line="540" w:lineRule="exact"/>
        <w:rPr>
          <w:rFonts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 xml:space="preserve">第一部分 </w:t>
      </w:r>
      <w:r>
        <w:rPr>
          <w:rFonts w:hint="eastAsia" w:ascii="黑体" w:hAnsi="黑体" w:eastAsia="黑体"/>
          <w:sz w:val="32"/>
          <w:szCs w:val="32"/>
        </w:rPr>
        <w:t>中共盘锦市双台子区委机构编制委员会办公室</w:t>
      </w:r>
      <w:r>
        <w:rPr>
          <w:rFonts w:hint="eastAsia" w:ascii="宋体" w:hAnsi="宋体"/>
          <w:b/>
          <w:sz w:val="36"/>
          <w:szCs w:val="36"/>
        </w:rPr>
        <w:t>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1.在区委、区政府和区机构编制委员会领导下，负责全区各级党委、政府，人大、政协、法院、检察院和人民团体机关及事业单位机构改革和机构编制管理工作。</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贯彻执行党中央、国务院关于行政管理体制和机构改革、机构编制管理的方针政策、法律法规，拟订全区行政管理体制和机构改革总体方案、机构编制管理的政策和规范性文件并监督实施，指导全区各级行政管理体制和机构改革、机构编制管理工作。</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3.负责全区各级机关和事业单位机构编制总量管理和实名制管理，拟订全区各级机关行政编制分配方案和全区事业单位编制总量控制方案。</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4.拟订区级机关机构改革方案并组织实施，审核区级机关各部门和各机关机构改革方案。</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5.按照管理权限，负责区各级机关机构设置、职责配置、人员编制、领导职数的审核和审批，协调区级机关各部门之间的职责分工。</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6.拟订区直事业单位机构改革方案并组织实施，配合行业管理体制改革，做好相关事业单位机构改革工作。</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7.按照管理权限，负责全区事业单位机构设置、职责配置、人员编制、编制结构、领导职数、经费渠道等事项的审核和审批，贯彻执行上级机构编制部门制定的事业单位编制标准。</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8.监督检查全区行政管理体制和机构改革方案以及机构编制执行情况，建立机构编制工作考核评估制度，会同有关部门查处机构编制违法违纪行为。</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9.建立和完善全区事业单位法人登记制度，依法对全区事业单位进行登记管理。</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10.负责拟订区政府行政审批制度改革方案；指导政府行政审批制度改革工作。</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11.承办区委、区政府和区机构编制委员会交办的其他事项。</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纳入中共盘锦市双台子区委机构编制委员会办公室2019年部门决算编制范围的二级预算单位包括：</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1.双台子区政务和公益机构管理服务中心</w:t>
      </w:r>
    </w:p>
    <w:p>
      <w:pPr>
        <w:spacing w:line="540" w:lineRule="exact"/>
        <w:ind w:firstLine="640" w:firstLineChars="200"/>
        <w:jc w:val="left"/>
        <w:rPr>
          <w:rFonts w:ascii="仿宋_GB2312" w:eastAsia="仿宋_GB2312"/>
          <w:sz w:val="32"/>
          <w:szCs w:val="32"/>
        </w:rPr>
      </w:pPr>
      <w:r>
        <w:rPr>
          <w:rFonts w:ascii="仿宋_GB2312" w:eastAsia="仿宋_GB2312"/>
          <w:sz w:val="32"/>
          <w:szCs w:val="32"/>
        </w:rPr>
        <w:br w:type="page"/>
      </w:r>
    </w:p>
    <w:p>
      <w:pPr>
        <w:spacing w:line="540" w:lineRule="exact"/>
        <w:jc w:val="center"/>
        <w:rPr>
          <w:rFonts w:ascii="宋体" w:hAnsi="宋体"/>
          <w:b/>
          <w:sz w:val="36"/>
          <w:szCs w:val="36"/>
        </w:rPr>
      </w:pPr>
      <w:r>
        <w:rPr>
          <w:rFonts w:hint="eastAsia" w:ascii="宋体" w:hAnsi="宋体"/>
          <w:b/>
          <w:sz w:val="36"/>
          <w:szCs w:val="36"/>
        </w:rPr>
        <w:t>第三部分 中共盘锦市双台子区委机构编制委员会办公室2019年度部门决算情况说明</w:t>
      </w:r>
    </w:p>
    <w:p>
      <w:pPr>
        <w:spacing w:line="540" w:lineRule="exact"/>
        <w:rPr>
          <w:rFonts w:ascii="宋体" w:hAnsi="宋体"/>
          <w:b/>
          <w:sz w:val="36"/>
          <w:szCs w:val="36"/>
        </w:rPr>
      </w:pPr>
    </w:p>
    <w:p>
      <w:pPr>
        <w:spacing w:line="540" w:lineRule="exact"/>
        <w:ind w:firstLine="660"/>
        <w:rPr>
          <w:rFonts w:ascii="楷体_GB2312" w:hAnsi="宋体" w:eastAsia="楷体_GB2312"/>
          <w:b/>
          <w:sz w:val="32"/>
          <w:szCs w:val="32"/>
        </w:rPr>
      </w:pPr>
      <w:r>
        <w:rPr>
          <w:rFonts w:hint="eastAsia" w:ascii="黑体" w:hAnsi="黑体" w:eastAsia="黑体"/>
          <w:sz w:val="32"/>
          <w:szCs w:val="32"/>
        </w:rPr>
        <w:t>一、收入支出决算124.21</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1.财政拨款收入124.21万元，占</w:t>
      </w:r>
      <w:r>
        <w:rPr>
          <w:rFonts w:ascii="仿宋_GB2312" w:hAnsi="宋体" w:eastAsia="仿宋_GB2312"/>
          <w:sz w:val="32"/>
          <w:szCs w:val="32"/>
        </w:rPr>
        <w:t>收入总计的</w:t>
      </w:r>
      <w:r>
        <w:rPr>
          <w:rFonts w:hint="eastAsia" w:ascii="仿宋_GB2312" w:hAnsi="宋体" w:eastAsia="仿宋_GB2312"/>
          <w:sz w:val="32"/>
          <w:szCs w:val="32"/>
        </w:rPr>
        <w:t>100</w:t>
      </w:r>
      <w:r>
        <w:rPr>
          <w:rFonts w:ascii="仿宋_GB2312" w:hAnsi="宋体" w:eastAsia="仿宋_GB2312"/>
          <w:sz w:val="32"/>
          <w:szCs w:val="32"/>
        </w:rPr>
        <w:t>%</w:t>
      </w:r>
      <w:r>
        <w:rPr>
          <w:rFonts w:hint="eastAsia" w:ascii="仿宋_GB2312" w:hAnsi="宋体" w:eastAsia="仿宋_GB2312"/>
          <w:sz w:val="32"/>
          <w:szCs w:val="32"/>
        </w:rPr>
        <w:t>。其中：公共预算财政拨款收入124.21万元，政府性基金收入0万元。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与上年相比，今年收入减少6.67万元，降低0.51%，主要原因：人员调整。</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（二）支出总计123.9万元，包括：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123.9万元，占支出总计的100%。主要是为保障机构正常运转、完成日常工作任务而发生的各项支出，其中：一般公共服务支出90.26万元，社会保障和就业支出13.36万元，卫生健康支出2.71万元，住房保障支出17.59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2.项目支出0万元，占支出总计的0%。主要包括0等业务支出。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3.上缴上级支出0万元，占支出总计的0%。主要包括0等业务支出。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4.经营支出0万元，占支出总计的0%。主要包括0等业务支出。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5.对附属单位补助支出0万元，占支出总计的0%。主要包括0等业务支出。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与上年相比，今年支出减少6.89万元，降低0.53%，主要原因：人员调整。</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（三）年末结转和结余0.3万元。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主要是年末财政拨款结转和结余等原因形成的结余。上年没有结余。</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2019年度财政拨款支出123.9万元，其中：基本支出123.9万元，项目支出0万元。与</w:t>
      </w:r>
      <w:r>
        <w:rPr>
          <w:rFonts w:ascii="仿宋_GB2312" w:hAnsi="宋体" w:eastAsia="仿宋_GB2312"/>
          <w:sz w:val="32"/>
          <w:szCs w:val="32"/>
        </w:rPr>
        <w:t>上年相比，</w:t>
      </w:r>
      <w:r>
        <w:rPr>
          <w:rFonts w:hint="eastAsia" w:ascii="仿宋_GB2312" w:hAnsi="宋体" w:eastAsia="仿宋_GB2312"/>
          <w:sz w:val="32"/>
          <w:szCs w:val="32"/>
        </w:rPr>
        <w:t>财政拨款支出减少6.89万元，降低0.53%，主要原因：人员调整。与年初预算相比，2019财政拨款支出完成年初预算的110%，其中：基本支出完成年初预算的110%，项目完成年初预算的0%。</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2019年度财政拨款支出123.9万元，按支出功能分类科目分，包括：一般公共服务支出90.26万元，占72.84</w:t>
      </w:r>
      <w:r>
        <w:rPr>
          <w:rFonts w:ascii="仿宋_GB2312" w:hAnsi="宋体" w:eastAsia="仿宋_GB2312"/>
          <w:sz w:val="32"/>
          <w:szCs w:val="32"/>
        </w:rPr>
        <w:t>%</w:t>
      </w:r>
      <w:r>
        <w:rPr>
          <w:rFonts w:hint="eastAsia" w:ascii="仿宋_GB2312" w:hAnsi="宋体" w:eastAsia="仿宋_GB2312"/>
          <w:sz w:val="32"/>
          <w:szCs w:val="32"/>
        </w:rPr>
        <w:t>；社会保障和就业支出13.36万元，占10.78%；卫生健康支出2.71万元，占0.22%；节能环保支出0万元，占0%；农林水支出0万元，占0%；交通运输支出0万元，占0%；资源勘探信息等支出0万元，占0%；援助其他地区支出0万元，占0%；国土海洋气象等支出0万元，占0%；住房保障支出17.59万元，占14.20%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1.一般公共服务支出90.26万元，具体包括：</w:t>
      </w:r>
    </w:p>
    <w:p>
      <w:pPr>
        <w:ind w:firstLine="640" w:firstLineChars="200"/>
        <w:rPr>
          <w:rFonts w:ascii="仿宋_GB2312" w:hAnsi="宋体" w:eastAsia="仿宋_GB2312"/>
          <w:sz w:val="32"/>
          <w:szCs w:val="32"/>
        </w:rPr>
      </w:pPr>
      <w:r>
        <w:rPr>
          <w:rFonts w:hint="eastAsia" w:ascii="仿宋_GB2312" w:hAnsi="宋体" w:eastAsia="仿宋_GB2312"/>
          <w:sz w:val="32"/>
          <w:szCs w:val="32"/>
        </w:rPr>
        <w:t>（1）行政运行38.72万元，主要是是行政编</w:t>
      </w:r>
      <w:r>
        <w:rPr>
          <w:rFonts w:hint="eastAsia" w:ascii="仿宋_GB2312" w:eastAsia="仿宋_GB2312" w:cs="仿宋_GB2312"/>
          <w:sz w:val="32"/>
          <w:szCs w:val="32"/>
        </w:rPr>
        <w:t>人员工资、办公费、印刷费等</w:t>
      </w:r>
      <w:r>
        <w:rPr>
          <w:rFonts w:hint="eastAsia" w:ascii="仿宋_GB2312" w:hAnsi="宋体" w:eastAsia="仿宋_GB2312"/>
          <w:sz w:val="32"/>
          <w:szCs w:val="32"/>
        </w:rPr>
        <w:t>支出，完成年初预算的42.89%，决算数大于年初预算数的原因主要是基本工资及津贴补贴上调。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（2）一般行政管理事务0万元，主要是0等支出，完成年初预算的0%，决算数小于（大于）年初预算数的原因主要是0。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（3）预算改革业务0万元，主要是0等支出，完成年初预算的</w:t>
      </w:r>
      <w:r>
        <w:rPr>
          <w:rFonts w:ascii="仿宋_GB2312" w:hAnsi="宋体" w:eastAsia="仿宋_GB2312"/>
          <w:sz w:val="32"/>
          <w:szCs w:val="32"/>
        </w:rPr>
        <w:t>XX</w:t>
      </w:r>
      <w:r>
        <w:rPr>
          <w:rFonts w:hint="eastAsia" w:ascii="仿宋_GB2312" w:hAnsi="宋体" w:eastAsia="仿宋_GB2312"/>
          <w:sz w:val="32"/>
          <w:szCs w:val="32"/>
        </w:rPr>
        <w:t>%，决算数小于（大于）年初预算数的原因主要是0。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（4）财政国库业务0万元，主要是0等支出，完成年初预算的0%，决算数小于（大于）年初预算数的原因主要是</w:t>
      </w:r>
      <w:r>
        <w:rPr>
          <w:rFonts w:ascii="仿宋_GB2312" w:hAnsi="宋体" w:eastAsia="仿宋_GB2312"/>
          <w:sz w:val="32"/>
          <w:szCs w:val="32"/>
        </w:rPr>
        <w:t>XX</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（5）信息化建设0万元，主要是0等支出，完成年初预算的</w:t>
      </w:r>
      <w:r>
        <w:rPr>
          <w:rFonts w:ascii="仿宋_GB2312" w:hAnsi="宋体" w:eastAsia="仿宋_GB2312"/>
          <w:sz w:val="32"/>
          <w:szCs w:val="32"/>
        </w:rPr>
        <w:t>XX</w:t>
      </w:r>
      <w:r>
        <w:rPr>
          <w:rFonts w:hint="eastAsia" w:ascii="仿宋_GB2312" w:hAnsi="宋体" w:eastAsia="仿宋_GB2312"/>
          <w:sz w:val="32"/>
          <w:szCs w:val="32"/>
        </w:rPr>
        <w:t>%，决算数小于（大于）年初预算数的原因主要是0。</w:t>
      </w:r>
    </w:p>
    <w:p>
      <w:pPr>
        <w:ind w:firstLine="640" w:firstLineChars="200"/>
        <w:rPr>
          <w:rFonts w:ascii="仿宋_GB2312" w:hAnsi="宋体" w:eastAsia="仿宋_GB2312"/>
          <w:sz w:val="32"/>
          <w:szCs w:val="32"/>
        </w:rPr>
      </w:pPr>
      <w:r>
        <w:rPr>
          <w:rFonts w:hint="eastAsia" w:ascii="仿宋_GB2312" w:hAnsi="宋体" w:eastAsia="仿宋_GB2312"/>
          <w:sz w:val="32"/>
          <w:szCs w:val="32"/>
        </w:rPr>
        <w:t>（6）事业运行51.54万元，主要是事业编人员工资等支出，完成年初预算的57.10%，决算数大于年初预算数的原因主要是基本工资及津贴补贴上调。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（7）其他财政事务支出0万元，主要是0等支出，完成年初预算的0%，决算数小于（大于）年初预算数的原因主要是0。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2.社会保障和就业支出13.36万元，具体包括：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（1）归口管理的行政单位离退休0万元，主要是0等支出，完成年初预算的0%，决算数小于（大于）年初预算数的原因主要是0。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（2）事业单位离退休0万元，主要是0等支出，完成年初预算的0%，决算数小于（大于）年初预算数的原因主要是0。</w:t>
      </w:r>
    </w:p>
    <w:p>
      <w:pPr>
        <w:ind w:firstLine="640" w:firstLineChars="200"/>
        <w:rPr>
          <w:rFonts w:ascii="仿宋_GB2312" w:hAnsi="宋体" w:eastAsia="仿宋_GB2312"/>
          <w:sz w:val="32"/>
          <w:szCs w:val="32"/>
        </w:rPr>
      </w:pPr>
      <w:r>
        <w:rPr>
          <w:rFonts w:hint="eastAsia" w:ascii="仿宋_GB2312" w:hAnsi="宋体" w:eastAsia="仿宋_GB2312"/>
          <w:sz w:val="32"/>
          <w:szCs w:val="32"/>
        </w:rPr>
        <w:t>（3）机关事业单位基本养老保险缴费13.08万元，主要是单位职工养老保险、医疗保险、职业年金等支出，完成年初预算的10.53%，决算数大于年初预算数的原因是基本工资及津贴补贴上调。</w:t>
      </w:r>
    </w:p>
    <w:p>
      <w:pPr>
        <w:ind w:firstLine="640" w:firstLineChars="200"/>
        <w:rPr>
          <w:rFonts w:ascii="仿宋_GB2312" w:hAnsi="宋体" w:eastAsia="仿宋_GB2312"/>
          <w:sz w:val="32"/>
          <w:szCs w:val="32"/>
        </w:rPr>
      </w:pPr>
      <w:r>
        <w:rPr>
          <w:rFonts w:hint="eastAsia" w:ascii="仿宋_GB2312" w:hAnsi="宋体" w:eastAsia="仿宋_GB2312"/>
          <w:sz w:val="32"/>
          <w:szCs w:val="32"/>
        </w:rPr>
        <w:t>（4）其他社会保障和就业支出0.28万元，决算数大于年初预算数的原因是基本工资及津贴补贴上调。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3.卫生健康支出2.71万元，包括：</w:t>
      </w:r>
    </w:p>
    <w:p>
      <w:pPr>
        <w:ind w:firstLine="640" w:firstLineChars="200"/>
        <w:rPr>
          <w:rFonts w:ascii="仿宋_GB2312" w:hAnsi="宋体" w:eastAsia="仿宋_GB2312"/>
          <w:sz w:val="32"/>
          <w:szCs w:val="32"/>
        </w:rPr>
      </w:pPr>
      <w:r>
        <w:rPr>
          <w:rFonts w:hint="eastAsia" w:ascii="仿宋_GB2312" w:hAnsi="宋体" w:eastAsia="仿宋_GB2312"/>
          <w:sz w:val="32"/>
          <w:szCs w:val="32"/>
        </w:rPr>
        <w:t>（1）行政单位医疗0.86万元，主要是医疗保险等支出，年初无此项预算。</w:t>
      </w:r>
    </w:p>
    <w:p>
      <w:pPr>
        <w:ind w:firstLine="640" w:firstLineChars="200"/>
        <w:rPr>
          <w:rFonts w:ascii="仿宋_GB2312" w:hAnsi="宋体" w:eastAsia="仿宋_GB2312"/>
          <w:sz w:val="32"/>
          <w:szCs w:val="32"/>
        </w:rPr>
      </w:pPr>
      <w:r>
        <w:rPr>
          <w:rFonts w:hint="eastAsia" w:ascii="仿宋_GB2312" w:hAnsi="宋体" w:eastAsia="仿宋_GB2312"/>
          <w:sz w:val="32"/>
          <w:szCs w:val="32"/>
        </w:rPr>
        <w:t>（2）事业单位医疗1.85万元，主要是医疗保险等支出，年初无此项预算。</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4.农林水事务支出0万元，具体包括：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其他农业支出0万元，主要是0等支出，完成年初预算的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%，决算数小于（大于）年初预算数的原因主要是0。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5.金融支出0万元，具体包括：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其他金融支出0万元，主要是0等支出，完成年初预算的0%，决算数小于（大于）年初预算数的原因主要是0。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6.自然资源海洋气象等支出0万元，具体包括：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其他自然资源事务支出0万元，主要是0等支出，完成年初预算的0%。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7.住房保障支出17.59万元，具体包括：</w:t>
      </w:r>
    </w:p>
    <w:p>
      <w:pPr>
        <w:ind w:firstLine="640" w:firstLineChars="200"/>
        <w:rPr>
          <w:rFonts w:ascii="仿宋_GB2312" w:hAnsi="宋体" w:eastAsia="仿宋_GB2312"/>
          <w:sz w:val="32"/>
          <w:szCs w:val="32"/>
        </w:rPr>
      </w:pPr>
      <w:r>
        <w:rPr>
          <w:rFonts w:hint="eastAsia" w:ascii="仿宋_GB2312" w:hAnsi="宋体" w:eastAsia="仿宋_GB2312"/>
          <w:sz w:val="32"/>
          <w:szCs w:val="32"/>
        </w:rPr>
        <w:t>住房公积金17.59万元，主要是住房公积金等支出，完成年初预算的14.16%，决算数大于年初预算数的原因主要是基本工资及津贴补贴上调。</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2019年度一般公共预算财政拨款安排的“三公”经费支出0万元，完成年初预算的0%。其中：因公出国（境）费0万元，公务接待费0万元，公务用车购置及运行维护费0万元。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1.因公出国（境）费0万元，主要用于0等，2019年参加出国（境）团组0个，累计0人次。2019年因公出国（境）费比上年减少（增加）0万元，下降（增长）0%，主要是0等原因。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2.公务接待费0万元，主要用于0等，2019年国内公务接待累计0批次，0人，0万元。2019年公务接待费比上年减少（增加）0万元，下降（增长）0%，主要是0等原因。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0万元，比上年减少（增加）0万元，下降（增长）0%，主要是0等原因。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公务用车购置费0万元，主要用于0等,当年购置公务用车0辆。</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公务用车运行维护费0万元，主要用于0等。截至年末使用</w:t>
      </w:r>
      <w:r>
        <w:rPr>
          <w:rFonts w:ascii="仿宋_GB2312" w:hAnsi="宋体" w:eastAsia="仿宋_GB2312"/>
          <w:sz w:val="32"/>
          <w:szCs w:val="32"/>
        </w:rPr>
        <w:t>一般公共预算财政拨款开支的</w:t>
      </w:r>
      <w:r>
        <w:rPr>
          <w:rFonts w:hint="eastAsia" w:ascii="仿宋_GB2312" w:hAnsi="宋体" w:eastAsia="仿宋_GB2312"/>
          <w:sz w:val="32"/>
          <w:szCs w:val="32"/>
        </w:rPr>
        <w:t>公务用车保有量0辆。</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2019年度一般公共预算财政拨款基本支出123.9万元，其中：人员经费116.16万元，主要包括基本工资、津贴补贴、奖金、其他社会保障缴费、机关事业单位基本养老保险缴费、其他工资福利支出、离休费、退休费、抚恤金、生活补助、奖励金、住房公积金、采暖补贴、其他对个人和家庭补助的支出；日常公用经费7.75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2019年机关运行经费支出7.74万元，比上年减少5.99万元，降低13.17%，主要原因是人员调整。</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2019年政府采购支出总额0万元，其中：政府采购货物支出0万元，政府采购工程支出0万元，政府采购服务支出0万元。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截至2019年12月31日，区委编办共有车辆0辆，其中：副省级以上领导干部用车0辆，主要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用车0辆，机要通讯用车0辆，应急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其他用车0辆</w:t>
      </w:r>
      <w:bookmarkStart w:id="0" w:name="_GoBack"/>
      <w:bookmarkEnd w:id="0"/>
      <w:r>
        <w:rPr>
          <w:rFonts w:hint="eastAsia" w:ascii="仿宋_GB2312" w:hAnsi="黑体" w:eastAsia="仿宋_GB2312"/>
          <w:sz w:val="32"/>
          <w:szCs w:val="32"/>
        </w:rPr>
        <w:t>；单位价值50万元以上通用设备0台（套），单价100万元以上专用设备0台（套）。</w:t>
      </w:r>
    </w:p>
    <w:p>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根据财政预算管理要求，我单位组织对2019年度预算项目支出全面开展绩效自评，共涉及预算支出项目</w:t>
      </w:r>
      <w:r>
        <w:rPr>
          <w:rFonts w:hint="eastAsia" w:ascii="仿宋_GB2312" w:hAnsi="黑体" w:eastAsia="仿宋_GB2312"/>
          <w:sz w:val="32"/>
          <w:szCs w:val="32"/>
        </w:rPr>
        <w:t>0</w:t>
      </w:r>
      <w:r>
        <w:rPr>
          <w:rFonts w:hint="eastAsia" w:ascii="仿宋_GB2312" w:hAnsi="宋体" w:eastAsia="仿宋_GB2312" w:cs="宋体"/>
          <w:sz w:val="32"/>
          <w:szCs w:val="32"/>
        </w:rPr>
        <w:t>个，涉及资金</w:t>
      </w:r>
      <w:r>
        <w:rPr>
          <w:rFonts w:hint="eastAsia" w:ascii="仿宋_GB2312" w:hAnsi="黑体" w:eastAsia="仿宋_GB2312"/>
          <w:sz w:val="32"/>
          <w:szCs w:val="32"/>
        </w:rPr>
        <w:t>0</w:t>
      </w:r>
      <w:r>
        <w:rPr>
          <w:rFonts w:hint="eastAsia" w:ascii="仿宋_GB2312" w:hAnsi="宋体" w:eastAsia="仿宋_GB2312" w:cs="宋体"/>
          <w:sz w:val="32"/>
          <w:szCs w:val="32"/>
        </w:rPr>
        <w:t>万元，自评覆盖率（开展绩效自评的项目数/年初批复绩效目标的项目数）达到</w:t>
      </w:r>
      <w:r>
        <w:rPr>
          <w:rFonts w:hint="eastAsia" w:ascii="仿宋_GB2312" w:hAnsi="黑体" w:eastAsia="仿宋_GB2312"/>
          <w:sz w:val="32"/>
          <w:szCs w:val="32"/>
        </w:rPr>
        <w:t>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黑体" w:eastAsia="仿宋_GB2312"/>
          <w:sz w:val="32"/>
          <w:szCs w:val="32"/>
        </w:rPr>
        <w:t>0</w:t>
      </w:r>
      <w:r>
        <w:rPr>
          <w:rFonts w:hint="eastAsia" w:ascii="仿宋_GB2312" w:hAnsi="宋体" w:eastAsia="仿宋_GB2312" w:cs="宋体"/>
          <w:sz w:val="32"/>
          <w:szCs w:val="32"/>
        </w:rPr>
        <w:t>分。</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通过绩效自评发现预算项目管理主要存在以下问题：单位认识不到位，重视程度不够。下一步将采取以下措施加以改进：提高预算绩效意识，主动加强绩效管理，不断增强绩效意识。</w:t>
      </w:r>
    </w:p>
    <w:p>
      <w:pPr>
        <w:spacing w:line="540" w:lineRule="exact"/>
        <w:ind w:firstLine="640" w:firstLineChars="200"/>
        <w:rPr>
          <w:rFonts w:ascii="仿宋_GB2312" w:hAnsi="宋体" w:eastAsia="仿宋_GB2312" w:cs="宋体"/>
          <w:sz w:val="32"/>
          <w:szCs w:val="32"/>
        </w:rPr>
      </w:pPr>
    </w:p>
    <w:p>
      <w:pPr>
        <w:spacing w:line="540" w:lineRule="exact"/>
        <w:jc w:val="center"/>
        <w:rPr>
          <w:rFonts w:ascii="宋体" w:hAnsi="宋体"/>
          <w:b/>
          <w:sz w:val="36"/>
          <w:szCs w:val="36"/>
        </w:rPr>
      </w:pPr>
      <w:r>
        <w:rPr>
          <w:rFonts w:ascii="宋体" w:hAnsi="宋体"/>
          <w:b/>
          <w:sz w:val="36"/>
          <w:szCs w:val="36"/>
        </w:rPr>
        <w:br w:type="page"/>
      </w:r>
      <w:r>
        <w:rPr>
          <w:rFonts w:hint="eastAsia" w:ascii="宋体" w:hAnsi="宋体"/>
          <w:b/>
          <w:sz w:val="36"/>
          <w:szCs w:val="36"/>
        </w:rPr>
        <w:t>第四部分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3395"/>
    <w:rsid w:val="00142E92"/>
    <w:rsid w:val="001C22FF"/>
    <w:rsid w:val="0035058F"/>
    <w:rsid w:val="00455AB1"/>
    <w:rsid w:val="00807744"/>
    <w:rsid w:val="008273E1"/>
    <w:rsid w:val="00852776"/>
    <w:rsid w:val="0092590D"/>
    <w:rsid w:val="009F67E9"/>
    <w:rsid w:val="00AB3395"/>
    <w:rsid w:val="00EB0DF8"/>
    <w:rsid w:val="00F85A17"/>
    <w:rsid w:val="02303B01"/>
    <w:rsid w:val="0320505E"/>
    <w:rsid w:val="0413260B"/>
    <w:rsid w:val="05603568"/>
    <w:rsid w:val="05B0622F"/>
    <w:rsid w:val="080B5A19"/>
    <w:rsid w:val="0ADB3F86"/>
    <w:rsid w:val="0CF971B1"/>
    <w:rsid w:val="0E85399E"/>
    <w:rsid w:val="0F1F29A4"/>
    <w:rsid w:val="14BE3DD3"/>
    <w:rsid w:val="16273F1C"/>
    <w:rsid w:val="19330F32"/>
    <w:rsid w:val="19551F2E"/>
    <w:rsid w:val="22525E6A"/>
    <w:rsid w:val="22923783"/>
    <w:rsid w:val="246554DB"/>
    <w:rsid w:val="24CD5F4A"/>
    <w:rsid w:val="24D04790"/>
    <w:rsid w:val="299151D0"/>
    <w:rsid w:val="2B260FE1"/>
    <w:rsid w:val="342D2D2F"/>
    <w:rsid w:val="3582147A"/>
    <w:rsid w:val="38B91C40"/>
    <w:rsid w:val="3BB76999"/>
    <w:rsid w:val="3D940AF9"/>
    <w:rsid w:val="3E2021A2"/>
    <w:rsid w:val="3FD215E1"/>
    <w:rsid w:val="462A632B"/>
    <w:rsid w:val="470167CA"/>
    <w:rsid w:val="4F9F0392"/>
    <w:rsid w:val="550C05A7"/>
    <w:rsid w:val="56B43922"/>
    <w:rsid w:val="59C37536"/>
    <w:rsid w:val="5A2256F7"/>
    <w:rsid w:val="5A9D78E5"/>
    <w:rsid w:val="5B3F12D8"/>
    <w:rsid w:val="5D4A3C2A"/>
    <w:rsid w:val="5FFF04A2"/>
    <w:rsid w:val="64285B7E"/>
    <w:rsid w:val="644717CF"/>
    <w:rsid w:val="6AC27A33"/>
    <w:rsid w:val="6D9F0330"/>
    <w:rsid w:val="6FBD0996"/>
    <w:rsid w:val="73233903"/>
    <w:rsid w:val="76973D35"/>
    <w:rsid w:val="79551EE4"/>
    <w:rsid w:val="7EFB0EB4"/>
    <w:rsid w:val="7F761E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830</Words>
  <Characters>4736</Characters>
  <Lines>39</Lines>
  <Paragraphs>11</Paragraphs>
  <TotalTime>5</TotalTime>
  <ScaleCrop>false</ScaleCrop>
  <LinksUpToDate>false</LinksUpToDate>
  <CharactersWithSpaces>5555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2020-08-26T08:24:00Z</dcterms:created>
  <dc:creator>微软用户</dc:creator>
  <cp:lastModifiedBy>cz</cp:lastModifiedBy>
  <cp:lastPrinted>2020-09-01T01:24:00Z</cp:lastPrinted>
  <dcterms:modified xsi:type="dcterms:W3CDTF">2021-06-02T10:30:51Z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