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CB447C">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2DC035C1">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48A6BBCE">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31E056C8">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75BEEA2C">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474D8D37">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772C6A85">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0A344972">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280C44A4">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4C488B78">
      <w:pPr>
        <w:snapToGrid/>
        <w:spacing w:before="0" w:beforeAutospacing="0" w:after="0" w:afterAutospacing="0" w:line="540" w:lineRule="exact"/>
        <w:jc w:val="center"/>
        <w:textAlignment w:val="baseline"/>
        <w:rPr>
          <w:rFonts w:ascii="宋体" w:hAnsi="宋体"/>
          <w:b/>
          <w:i w:val="0"/>
          <w:caps w:val="0"/>
          <w:spacing w:val="0"/>
          <w:w w:val="100"/>
          <w:kern w:val="2"/>
          <w:sz w:val="52"/>
          <w:szCs w:val="52"/>
          <w:lang w:val="en-US" w:eastAsia="zh-CN" w:bidi="ar-SA"/>
        </w:rPr>
      </w:pPr>
      <w:r>
        <w:rPr>
          <w:rStyle w:val="11"/>
          <w:rFonts w:ascii="宋体" w:hAnsi="宋体"/>
          <w:b/>
          <w:i w:val="0"/>
          <w:caps w:val="0"/>
          <w:spacing w:val="0"/>
          <w:w w:val="100"/>
          <w:kern w:val="2"/>
          <w:sz w:val="52"/>
          <w:szCs w:val="52"/>
          <w:lang w:val="en-US" w:eastAsia="zh-CN" w:bidi="ar-SA"/>
        </w:rPr>
        <w:t>盘锦市兴隆台区委统战部</w:t>
      </w:r>
    </w:p>
    <w:p w14:paraId="44B1B4C8">
      <w:pPr>
        <w:snapToGrid/>
        <w:spacing w:before="0" w:beforeAutospacing="0" w:after="0" w:afterAutospacing="0" w:line="540" w:lineRule="exact"/>
        <w:jc w:val="center"/>
        <w:textAlignment w:val="baseline"/>
        <w:rPr>
          <w:rFonts w:ascii="宋体" w:hAnsi="宋体"/>
          <w:b/>
          <w:i w:val="0"/>
          <w:caps w:val="0"/>
          <w:spacing w:val="0"/>
          <w:w w:val="100"/>
          <w:kern w:val="2"/>
          <w:sz w:val="52"/>
          <w:szCs w:val="52"/>
          <w:lang w:val="en-US" w:eastAsia="zh-CN" w:bidi="ar-SA"/>
        </w:rPr>
      </w:pPr>
      <w:r>
        <w:rPr>
          <w:rStyle w:val="11"/>
          <w:rFonts w:ascii="宋体" w:hAnsi="宋体"/>
          <w:b/>
          <w:i w:val="0"/>
          <w:caps w:val="0"/>
          <w:spacing w:val="0"/>
          <w:w w:val="100"/>
          <w:kern w:val="2"/>
          <w:sz w:val="52"/>
          <w:szCs w:val="52"/>
          <w:lang w:val="en-US" w:eastAsia="zh-CN" w:bidi="ar-SA"/>
        </w:rPr>
        <w:t>2018年度部门决算公开说明</w:t>
      </w:r>
    </w:p>
    <w:p w14:paraId="41F272E6">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04477B89">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2DB65AEE">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2300A997">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798F2ABE">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3978CD53">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10F347B6">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18BC60B7">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6C823AB3">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04F43166">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3528766E">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7FDAB1FA">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4DD6A3E1">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lang w:val="en-US" w:eastAsia="zh-CN" w:bidi="ar-SA"/>
        </w:rPr>
      </w:pPr>
    </w:p>
    <w:p w14:paraId="6996510E">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lang w:val="en-US" w:eastAsia="zh-CN" w:bidi="ar-SA"/>
        </w:rPr>
      </w:pPr>
    </w:p>
    <w:p w14:paraId="59AA69ED">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lang w:val="en-US" w:eastAsia="zh-CN" w:bidi="ar-SA"/>
        </w:rPr>
      </w:pPr>
    </w:p>
    <w:p w14:paraId="1E93F5C0">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lang w:val="en-US" w:eastAsia="zh-CN" w:bidi="ar-SA"/>
        </w:rPr>
      </w:pPr>
      <w:r>
        <w:rPr>
          <w:rStyle w:val="11"/>
          <w:rFonts w:ascii="Times New Roman" w:hAnsi="Times New Roman" w:eastAsia="宋体"/>
          <w:b/>
          <w:i w:val="0"/>
          <w:caps w:val="0"/>
          <w:spacing w:val="0"/>
          <w:w w:val="100"/>
          <w:kern w:val="2"/>
          <w:sz w:val="44"/>
          <w:szCs w:val="44"/>
          <w:lang w:val="en-US" w:eastAsia="zh-CN" w:bidi="ar-SA"/>
        </w:rPr>
        <w:t>目    录</w:t>
      </w:r>
    </w:p>
    <w:p w14:paraId="5E9D778C">
      <w:pPr>
        <w:snapToGrid/>
        <w:spacing w:before="0" w:beforeAutospacing="0" w:after="0" w:afterAutospacing="0" w:line="540" w:lineRule="exact"/>
        <w:jc w:val="both"/>
        <w:textAlignment w:val="baseline"/>
        <w:rPr>
          <w:rFonts w:ascii="Times New Roman" w:hAnsi="Times New Roman" w:eastAsia="宋体"/>
          <w:b/>
          <w:i w:val="0"/>
          <w:caps w:val="0"/>
          <w:spacing w:val="0"/>
          <w:w w:val="100"/>
          <w:kern w:val="2"/>
          <w:sz w:val="44"/>
          <w:szCs w:val="44"/>
          <w:u w:val="single"/>
          <w:lang w:val="en-US" w:eastAsia="zh-CN" w:bidi="ar-SA"/>
        </w:rPr>
      </w:pPr>
    </w:p>
    <w:p w14:paraId="78625332">
      <w:pPr>
        <w:snapToGrid/>
        <w:spacing w:before="0" w:beforeAutospacing="0" w:after="0" w:afterAutospacing="0" w:line="540" w:lineRule="exact"/>
        <w:jc w:val="both"/>
        <w:textAlignment w:val="baseline"/>
        <w:rPr>
          <w:rFonts w:ascii="Times New Roman" w:hAnsi="Times New Roman" w:eastAsia="宋体"/>
          <w:b/>
          <w:i w:val="0"/>
          <w:caps w:val="0"/>
          <w:spacing w:val="0"/>
          <w:w w:val="100"/>
          <w:kern w:val="2"/>
          <w:sz w:val="44"/>
          <w:szCs w:val="44"/>
          <w:u w:val="single"/>
          <w:lang w:val="en-US" w:eastAsia="zh-CN" w:bidi="ar-SA"/>
        </w:rPr>
      </w:pPr>
    </w:p>
    <w:p w14:paraId="40DB3FFD">
      <w:pPr>
        <w:snapToGrid/>
        <w:spacing w:before="0" w:beforeAutospacing="0" w:after="0" w:afterAutospacing="0" w:line="540" w:lineRule="exact"/>
        <w:jc w:val="both"/>
        <w:textAlignment w:val="baseline"/>
        <w:rPr>
          <w:rFonts w:eastAsia="黑体"/>
          <w:b w:val="0"/>
          <w:i w:val="0"/>
          <w:caps w:val="0"/>
          <w:spacing w:val="0"/>
          <w:w w:val="100"/>
          <w:kern w:val="2"/>
          <w:sz w:val="32"/>
          <w:szCs w:val="32"/>
          <w:lang w:val="en-US" w:eastAsia="zh-CN" w:bidi="ar-SA"/>
        </w:rPr>
      </w:pPr>
      <w:r>
        <w:rPr>
          <w:rStyle w:val="11"/>
          <w:rFonts w:ascii="黑体" w:eastAsia="黑体"/>
          <w:b w:val="0"/>
          <w:i w:val="0"/>
          <w:caps w:val="0"/>
          <w:spacing w:val="0"/>
          <w:w w:val="100"/>
          <w:kern w:val="2"/>
          <w:sz w:val="32"/>
          <w:szCs w:val="32"/>
          <w:lang w:val="en-US" w:eastAsia="zh-CN" w:bidi="ar-SA"/>
        </w:rPr>
        <w:t xml:space="preserve">第一部分  </w:t>
      </w:r>
      <w:r>
        <w:rPr>
          <w:rStyle w:val="11"/>
          <w:rFonts w:ascii="黑体" w:hAnsi="黑体" w:eastAsia="黑体"/>
          <w:b w:val="0"/>
          <w:i w:val="0"/>
          <w:iCs/>
          <w:caps w:val="0"/>
          <w:spacing w:val="0"/>
          <w:w w:val="100"/>
          <w:kern w:val="2"/>
          <w:sz w:val="32"/>
          <w:szCs w:val="32"/>
          <w:lang w:val="en-US" w:eastAsia="zh-CN" w:bidi="ar-SA"/>
        </w:rPr>
        <w:t>兴隆台区委统战部</w:t>
      </w:r>
      <w:r>
        <w:rPr>
          <w:rStyle w:val="11"/>
          <w:rFonts w:ascii="黑体" w:eastAsia="黑体"/>
          <w:b w:val="0"/>
          <w:i w:val="0"/>
          <w:caps w:val="0"/>
          <w:spacing w:val="0"/>
          <w:w w:val="100"/>
          <w:kern w:val="2"/>
          <w:sz w:val="32"/>
          <w:szCs w:val="32"/>
          <w:lang w:val="en-US" w:eastAsia="zh-CN" w:bidi="ar-SA"/>
        </w:rPr>
        <w:t>概况</w:t>
      </w:r>
    </w:p>
    <w:p w14:paraId="181B0B42">
      <w:pPr>
        <w:snapToGrid/>
        <w:spacing w:before="0" w:beforeAutospacing="0" w:after="0" w:afterAutospacing="0" w:line="540" w:lineRule="exact"/>
        <w:ind w:left="720" w:hanging="720"/>
        <w:jc w:val="both"/>
        <w:textAlignment w:val="baseline"/>
        <w:rPr>
          <w:rFonts w:eastAsia="仿宋_GB2312"/>
          <w:b w:val="0"/>
          <w:i w:val="0"/>
          <w:caps w:val="0"/>
          <w:spacing w:val="0"/>
          <w:w w:val="100"/>
          <w:kern w:val="2"/>
          <w:sz w:val="32"/>
          <w:szCs w:val="32"/>
          <w:lang w:val="en-US" w:eastAsia="zh-CN" w:bidi="ar-SA"/>
        </w:rPr>
      </w:pPr>
      <w:r>
        <w:rPr>
          <w:rStyle w:val="11"/>
          <w:rFonts w:ascii="宋体"/>
          <w:b w:val="0"/>
          <w:i w:val="0"/>
          <w:caps w:val="0"/>
          <w:spacing w:val="0"/>
          <w:w w:val="100"/>
          <w:kern w:val="2"/>
          <w:sz w:val="21"/>
          <w:szCs w:val="21"/>
          <w:lang w:val="en-US" w:eastAsia="zh-CN" w:bidi="ar-SA"/>
        </w:rPr>
        <w:t>一、</w:t>
      </w:r>
      <w:r>
        <w:rPr>
          <w:rStyle w:val="11"/>
          <w:rFonts w:ascii="Times New Roman" w:hAnsi="Times New Roman" w:eastAsia="宋体"/>
          <w:b w:val="0"/>
          <w:i w:val="0"/>
          <w:caps w:val="0"/>
          <w:spacing w:val="0"/>
          <w:w w:val="100"/>
          <w:kern w:val="2"/>
          <w:sz w:val="21"/>
          <w:szCs w:val="21"/>
          <w:lang w:val="en-US" w:eastAsia="zh-CN" w:bidi="ar-SA"/>
        </w:rPr>
        <w:tab/>
      </w:r>
      <w:r>
        <w:rPr>
          <w:rStyle w:val="11"/>
          <w:rFonts w:ascii="仿宋_GB2312" w:eastAsia="仿宋_GB2312"/>
          <w:b w:val="0"/>
          <w:i w:val="0"/>
          <w:caps w:val="0"/>
          <w:spacing w:val="0"/>
          <w:w w:val="100"/>
          <w:kern w:val="2"/>
          <w:sz w:val="32"/>
          <w:szCs w:val="32"/>
          <w:lang w:val="en-US" w:eastAsia="zh-CN" w:bidi="ar-SA"/>
        </w:rPr>
        <w:t>主要职责</w:t>
      </w:r>
    </w:p>
    <w:p w14:paraId="1C16293D">
      <w:pPr>
        <w:snapToGrid/>
        <w:spacing w:before="0" w:beforeAutospacing="0" w:after="0" w:afterAutospacing="0" w:line="540" w:lineRule="exact"/>
        <w:ind w:left="720" w:hanging="720"/>
        <w:jc w:val="both"/>
        <w:textAlignment w:val="baseline"/>
        <w:rPr>
          <w:rFonts w:eastAsia="仿宋_GB2312"/>
          <w:b w:val="0"/>
          <w:i w:val="0"/>
          <w:caps w:val="0"/>
          <w:spacing w:val="0"/>
          <w:w w:val="100"/>
          <w:kern w:val="2"/>
          <w:sz w:val="32"/>
          <w:szCs w:val="32"/>
          <w:lang w:val="en-US" w:eastAsia="zh-CN" w:bidi="ar-SA"/>
        </w:rPr>
      </w:pPr>
      <w:r>
        <w:rPr>
          <w:rStyle w:val="11"/>
          <w:rFonts w:ascii="宋体"/>
          <w:b w:val="0"/>
          <w:i w:val="0"/>
          <w:caps w:val="0"/>
          <w:spacing w:val="0"/>
          <w:w w:val="100"/>
          <w:kern w:val="2"/>
          <w:sz w:val="21"/>
          <w:szCs w:val="21"/>
          <w:lang w:val="en-US" w:eastAsia="zh-CN" w:bidi="ar-SA"/>
        </w:rPr>
        <w:t>二、</w:t>
      </w:r>
      <w:r>
        <w:rPr>
          <w:rStyle w:val="11"/>
          <w:rFonts w:ascii="Times New Roman" w:hAnsi="Times New Roman" w:eastAsia="宋体"/>
          <w:b w:val="0"/>
          <w:i w:val="0"/>
          <w:caps w:val="0"/>
          <w:spacing w:val="0"/>
          <w:w w:val="100"/>
          <w:kern w:val="2"/>
          <w:sz w:val="21"/>
          <w:szCs w:val="21"/>
          <w:lang w:val="en-US" w:eastAsia="zh-CN" w:bidi="ar-SA"/>
        </w:rPr>
        <w:tab/>
      </w:r>
      <w:r>
        <w:rPr>
          <w:rStyle w:val="11"/>
          <w:rFonts w:ascii="仿宋_GB2312" w:eastAsia="仿宋_GB2312"/>
          <w:b w:val="0"/>
          <w:i w:val="0"/>
          <w:caps w:val="0"/>
          <w:spacing w:val="0"/>
          <w:w w:val="100"/>
          <w:kern w:val="2"/>
          <w:sz w:val="32"/>
          <w:szCs w:val="32"/>
          <w:lang w:val="en-US" w:eastAsia="zh-CN" w:bidi="ar-SA"/>
        </w:rPr>
        <w:t>部门决算单位构成</w:t>
      </w:r>
    </w:p>
    <w:p w14:paraId="3690AC54">
      <w:pPr>
        <w:snapToGrid/>
        <w:spacing w:before="0" w:beforeAutospacing="0" w:after="0" w:afterAutospacing="0" w:line="540" w:lineRule="exact"/>
        <w:jc w:val="both"/>
        <w:textAlignment w:val="baseline"/>
        <w:rPr>
          <w:rFonts w:eastAsia="黑体"/>
          <w:b w:val="0"/>
          <w:i w:val="0"/>
          <w:caps w:val="0"/>
          <w:spacing w:val="0"/>
          <w:w w:val="100"/>
          <w:kern w:val="2"/>
          <w:sz w:val="32"/>
          <w:szCs w:val="32"/>
          <w:lang w:val="en-US" w:eastAsia="zh-CN" w:bidi="ar-SA"/>
        </w:rPr>
      </w:pPr>
      <w:r>
        <w:rPr>
          <w:rStyle w:val="11"/>
          <w:rFonts w:ascii="黑体" w:eastAsia="黑体"/>
          <w:b w:val="0"/>
          <w:i w:val="0"/>
          <w:caps w:val="0"/>
          <w:spacing w:val="0"/>
          <w:w w:val="100"/>
          <w:kern w:val="2"/>
          <w:sz w:val="32"/>
          <w:szCs w:val="32"/>
          <w:lang w:val="en-US" w:eastAsia="zh-CN" w:bidi="ar-SA"/>
        </w:rPr>
        <w:t xml:space="preserve">第二部分  </w:t>
      </w:r>
      <w:r>
        <w:rPr>
          <w:rStyle w:val="11"/>
          <w:rFonts w:ascii="黑体" w:hAnsi="黑体" w:eastAsia="黑体"/>
          <w:b/>
          <w:i w:val="0"/>
          <w:iCs/>
          <w:caps w:val="0"/>
          <w:spacing w:val="0"/>
          <w:w w:val="100"/>
          <w:kern w:val="2"/>
          <w:sz w:val="32"/>
          <w:szCs w:val="32"/>
          <w:lang w:val="en-US" w:eastAsia="zh-CN" w:bidi="ar-SA"/>
        </w:rPr>
        <w:t>兴隆台区委统战部</w:t>
      </w:r>
      <w:r>
        <w:rPr>
          <w:rStyle w:val="11"/>
          <w:rFonts w:ascii="黑体" w:eastAsia="黑体"/>
          <w:b w:val="0"/>
          <w:i w:val="0"/>
          <w:caps w:val="0"/>
          <w:spacing w:val="0"/>
          <w:w w:val="100"/>
          <w:kern w:val="2"/>
          <w:sz w:val="32"/>
          <w:szCs w:val="32"/>
          <w:lang w:val="en-US" w:eastAsia="zh-CN" w:bidi="ar-SA"/>
        </w:rPr>
        <w:t>2018年度部门决算报表</w:t>
      </w:r>
    </w:p>
    <w:p w14:paraId="2510D93D">
      <w:pPr>
        <w:snapToGrid/>
        <w:spacing w:before="0" w:beforeAutospacing="0" w:after="0" w:afterAutospacing="0" w:line="540" w:lineRule="exact"/>
        <w:jc w:val="both"/>
        <w:textAlignment w:val="baseline"/>
        <w:rPr>
          <w:rFonts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一、2018年度收入支出决算总表</w:t>
      </w:r>
    </w:p>
    <w:p w14:paraId="1A039560">
      <w:pPr>
        <w:snapToGrid/>
        <w:spacing w:before="0" w:beforeAutospacing="0" w:after="0" w:afterAutospacing="0" w:line="540" w:lineRule="exact"/>
        <w:jc w:val="both"/>
        <w:textAlignment w:val="baseline"/>
        <w:rPr>
          <w:rFonts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二、2018年度收入决算表</w:t>
      </w:r>
    </w:p>
    <w:p w14:paraId="4AE4CF55">
      <w:pPr>
        <w:snapToGrid/>
        <w:spacing w:before="0" w:beforeAutospacing="0" w:after="0" w:afterAutospacing="0" w:line="540" w:lineRule="exact"/>
        <w:jc w:val="both"/>
        <w:textAlignment w:val="baseline"/>
        <w:rPr>
          <w:rFonts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三、2018年度支出决算表</w:t>
      </w:r>
    </w:p>
    <w:p w14:paraId="4D6CCD03">
      <w:pPr>
        <w:snapToGrid/>
        <w:spacing w:before="0" w:beforeAutospacing="0" w:after="0" w:afterAutospacing="0" w:line="540" w:lineRule="exact"/>
        <w:jc w:val="both"/>
        <w:textAlignment w:val="baseline"/>
        <w:rPr>
          <w:rFonts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四、2018年度财政拨款收入支出决算表</w:t>
      </w:r>
    </w:p>
    <w:p w14:paraId="311FB06C">
      <w:pPr>
        <w:snapToGrid/>
        <w:spacing w:before="0" w:beforeAutospacing="0" w:after="0" w:afterAutospacing="0" w:line="540" w:lineRule="exact"/>
        <w:jc w:val="both"/>
        <w:textAlignment w:val="baseline"/>
        <w:rPr>
          <w:rFonts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五、2018年度一般公共预算财政拨款收入支出决算表</w:t>
      </w:r>
    </w:p>
    <w:p w14:paraId="1A544469">
      <w:pPr>
        <w:snapToGrid/>
        <w:spacing w:before="0" w:beforeAutospacing="0" w:after="0" w:afterAutospacing="0" w:line="540" w:lineRule="exact"/>
        <w:jc w:val="both"/>
        <w:textAlignment w:val="baseline"/>
        <w:rPr>
          <w:rFonts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六、2018年度一般公共预算财政拨款基本支出决算表</w:t>
      </w:r>
    </w:p>
    <w:p w14:paraId="368A6A04">
      <w:pPr>
        <w:snapToGrid/>
        <w:spacing w:before="0" w:beforeAutospacing="0" w:after="0" w:afterAutospacing="0" w:line="540" w:lineRule="exact"/>
        <w:jc w:val="both"/>
        <w:textAlignment w:val="baseline"/>
        <w:rPr>
          <w:rFonts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七、2018年度政府性基金预算财政拨款收入支出决算表</w:t>
      </w:r>
    </w:p>
    <w:p w14:paraId="204E0980">
      <w:pPr>
        <w:snapToGrid/>
        <w:spacing w:before="0" w:beforeAutospacing="0" w:after="0" w:afterAutospacing="0" w:line="540" w:lineRule="exact"/>
        <w:jc w:val="both"/>
        <w:textAlignment w:val="baseline"/>
        <w:rPr>
          <w:rFonts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八、2018年度财政专户管理资金收入支出决算表</w:t>
      </w:r>
    </w:p>
    <w:p w14:paraId="3BF50F96">
      <w:pPr>
        <w:snapToGrid/>
        <w:spacing w:before="0" w:beforeAutospacing="0" w:after="0" w:afterAutospacing="0" w:line="540" w:lineRule="exact"/>
        <w:ind w:left="640" w:hanging="640"/>
        <w:jc w:val="both"/>
        <w:textAlignment w:val="baseline"/>
        <w:rPr>
          <w:rFonts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九、2018年度一般公共预算财政拨款</w:t>
      </w:r>
      <w:r>
        <w:rPr>
          <w:rStyle w:val="11"/>
          <w:rFonts w:eastAsia="仿宋_GB2312"/>
          <w:b w:val="0"/>
          <w:i w:val="0"/>
          <w:caps w:val="0"/>
          <w:spacing w:val="0"/>
          <w:w w:val="100"/>
          <w:kern w:val="2"/>
          <w:sz w:val="32"/>
          <w:szCs w:val="32"/>
          <w:lang w:val="en-US" w:eastAsia="zh-CN" w:bidi="ar-SA"/>
        </w:rPr>
        <w:t>“</w:t>
      </w:r>
      <w:r>
        <w:rPr>
          <w:rStyle w:val="11"/>
          <w:rFonts w:ascii="仿宋_GB2312" w:eastAsia="仿宋_GB2312"/>
          <w:b w:val="0"/>
          <w:i w:val="0"/>
          <w:caps w:val="0"/>
          <w:spacing w:val="0"/>
          <w:w w:val="100"/>
          <w:kern w:val="2"/>
          <w:sz w:val="32"/>
          <w:szCs w:val="32"/>
          <w:lang w:val="en-US" w:eastAsia="zh-CN" w:bidi="ar-SA"/>
        </w:rPr>
        <w:t>三公</w:t>
      </w:r>
      <w:r>
        <w:rPr>
          <w:rStyle w:val="11"/>
          <w:rFonts w:eastAsia="仿宋_GB2312"/>
          <w:b w:val="0"/>
          <w:i w:val="0"/>
          <w:caps w:val="0"/>
          <w:spacing w:val="0"/>
          <w:w w:val="100"/>
          <w:kern w:val="2"/>
          <w:sz w:val="32"/>
          <w:szCs w:val="32"/>
          <w:lang w:val="en-US" w:eastAsia="zh-CN" w:bidi="ar-SA"/>
        </w:rPr>
        <w:t>”</w:t>
      </w:r>
      <w:r>
        <w:rPr>
          <w:rStyle w:val="11"/>
          <w:rFonts w:ascii="仿宋_GB2312" w:eastAsia="仿宋_GB2312"/>
          <w:b w:val="0"/>
          <w:i w:val="0"/>
          <w:caps w:val="0"/>
          <w:spacing w:val="0"/>
          <w:w w:val="100"/>
          <w:kern w:val="2"/>
          <w:sz w:val="32"/>
          <w:szCs w:val="32"/>
          <w:lang w:val="en-US" w:eastAsia="zh-CN" w:bidi="ar-SA"/>
        </w:rPr>
        <w:t>经费支出决算表</w:t>
      </w:r>
    </w:p>
    <w:p w14:paraId="0EB3B8E5">
      <w:pPr>
        <w:snapToGrid/>
        <w:spacing w:before="0" w:beforeAutospacing="0" w:after="0" w:afterAutospacing="0" w:line="540" w:lineRule="exact"/>
        <w:jc w:val="both"/>
        <w:textAlignment w:val="baseline"/>
        <w:rPr>
          <w:rFonts w:eastAsia="黑体"/>
          <w:b w:val="0"/>
          <w:i w:val="0"/>
          <w:caps w:val="0"/>
          <w:spacing w:val="0"/>
          <w:w w:val="100"/>
          <w:kern w:val="2"/>
          <w:sz w:val="32"/>
          <w:szCs w:val="32"/>
          <w:lang w:val="en-US" w:eastAsia="zh-CN" w:bidi="ar-SA"/>
        </w:rPr>
      </w:pPr>
      <w:r>
        <w:rPr>
          <w:rStyle w:val="11"/>
          <w:rFonts w:ascii="黑体" w:eastAsia="黑体"/>
          <w:b w:val="0"/>
          <w:i w:val="0"/>
          <w:caps w:val="0"/>
          <w:spacing w:val="0"/>
          <w:w w:val="100"/>
          <w:kern w:val="2"/>
          <w:sz w:val="32"/>
          <w:szCs w:val="32"/>
          <w:lang w:val="en-US" w:eastAsia="zh-CN" w:bidi="ar-SA"/>
        </w:rPr>
        <w:t xml:space="preserve">第三部分  </w:t>
      </w:r>
      <w:r>
        <w:rPr>
          <w:rStyle w:val="11"/>
          <w:rFonts w:ascii="黑体" w:hAnsi="黑体" w:eastAsia="黑体"/>
          <w:b w:val="0"/>
          <w:i w:val="0"/>
          <w:iCs/>
          <w:caps w:val="0"/>
          <w:spacing w:val="0"/>
          <w:w w:val="100"/>
          <w:kern w:val="2"/>
          <w:sz w:val="32"/>
          <w:szCs w:val="32"/>
          <w:lang w:val="en-US" w:eastAsia="zh-CN" w:bidi="ar-SA"/>
        </w:rPr>
        <w:t>兴隆台区委统战部</w:t>
      </w:r>
      <w:r>
        <w:rPr>
          <w:rStyle w:val="11"/>
          <w:rFonts w:ascii="黑体" w:eastAsia="黑体"/>
          <w:b w:val="0"/>
          <w:i w:val="0"/>
          <w:caps w:val="0"/>
          <w:spacing w:val="0"/>
          <w:w w:val="100"/>
          <w:kern w:val="2"/>
          <w:sz w:val="32"/>
          <w:szCs w:val="32"/>
          <w:lang w:val="en-US" w:eastAsia="zh-CN" w:bidi="ar-SA"/>
        </w:rPr>
        <w:t>2018年度部门决算情况说明</w:t>
      </w:r>
    </w:p>
    <w:p w14:paraId="2EFD83C8">
      <w:pPr>
        <w:snapToGrid/>
        <w:spacing w:before="0" w:beforeAutospacing="0" w:after="0" w:afterAutospacing="0" w:line="540" w:lineRule="exact"/>
        <w:jc w:val="both"/>
        <w:textAlignment w:val="baseline"/>
        <w:rPr>
          <w:rFonts w:eastAsia="黑体"/>
          <w:b w:val="0"/>
          <w:i w:val="0"/>
          <w:caps w:val="0"/>
          <w:spacing w:val="0"/>
          <w:w w:val="100"/>
          <w:kern w:val="2"/>
          <w:sz w:val="32"/>
          <w:szCs w:val="32"/>
          <w:lang w:val="en-US" w:eastAsia="zh-CN" w:bidi="ar-SA"/>
        </w:rPr>
      </w:pPr>
      <w:r>
        <w:rPr>
          <w:rStyle w:val="11"/>
          <w:rFonts w:ascii="黑体" w:eastAsia="黑体"/>
          <w:b w:val="0"/>
          <w:i w:val="0"/>
          <w:caps w:val="0"/>
          <w:spacing w:val="0"/>
          <w:w w:val="100"/>
          <w:kern w:val="2"/>
          <w:sz w:val="32"/>
          <w:szCs w:val="32"/>
          <w:lang w:val="en-US" w:eastAsia="zh-CN" w:bidi="ar-SA"/>
        </w:rPr>
        <w:t>第四部分  名词解释</w:t>
      </w:r>
    </w:p>
    <w:p w14:paraId="42B63B86">
      <w:pPr>
        <w:snapToGrid/>
        <w:spacing w:before="0" w:beforeAutospacing="0" w:after="0" w:afterAutospacing="0" w:line="540" w:lineRule="exact"/>
        <w:jc w:val="center"/>
        <w:textAlignment w:val="baseline"/>
        <w:rPr>
          <w:rFonts w:ascii="黑体" w:hAnsi="黑体" w:eastAsia="黑体"/>
          <w:b/>
          <w:i w:val="0"/>
          <w:caps w:val="0"/>
          <w:spacing w:val="0"/>
          <w:w w:val="100"/>
          <w:kern w:val="2"/>
          <w:sz w:val="44"/>
          <w:szCs w:val="44"/>
          <w:u w:val="single"/>
          <w:lang w:val="en-US" w:eastAsia="zh-CN" w:bidi="ar-SA"/>
        </w:rPr>
      </w:pPr>
    </w:p>
    <w:p w14:paraId="7ECFDCB4">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08AE75C1">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308BDD6E">
      <w:pPr>
        <w:snapToGrid/>
        <w:spacing w:before="0" w:beforeAutospacing="0" w:after="0" w:afterAutospacing="0" w:line="540" w:lineRule="exact"/>
        <w:jc w:val="center"/>
        <w:textAlignment w:val="baseline"/>
        <w:rPr>
          <w:rFonts w:ascii="Times New Roman" w:hAnsi="Times New Roman" w:eastAsia="宋体"/>
          <w:b/>
          <w:i w:val="0"/>
          <w:caps w:val="0"/>
          <w:spacing w:val="0"/>
          <w:w w:val="100"/>
          <w:kern w:val="2"/>
          <w:sz w:val="44"/>
          <w:szCs w:val="44"/>
          <w:u w:val="single"/>
          <w:lang w:val="en-US" w:eastAsia="zh-CN" w:bidi="ar-SA"/>
        </w:rPr>
      </w:pPr>
    </w:p>
    <w:p w14:paraId="26A4AB4B">
      <w:pPr>
        <w:snapToGrid/>
        <w:spacing w:before="0" w:beforeAutospacing="0" w:after="0" w:afterAutospacing="0" w:line="540" w:lineRule="exact"/>
        <w:jc w:val="center"/>
        <w:textAlignment w:val="baseline"/>
        <w:rPr>
          <w:rFonts w:ascii="黑体" w:eastAsia="黑体"/>
          <w:b w:val="0"/>
          <w:i w:val="0"/>
          <w:caps w:val="0"/>
          <w:spacing w:val="0"/>
          <w:w w:val="100"/>
          <w:kern w:val="2"/>
          <w:sz w:val="32"/>
          <w:szCs w:val="32"/>
          <w:lang w:val="en-US" w:eastAsia="zh-CN" w:bidi="ar-SA"/>
        </w:rPr>
      </w:pPr>
    </w:p>
    <w:p w14:paraId="53E04A3D">
      <w:pPr>
        <w:snapToGrid/>
        <w:spacing w:before="0" w:beforeAutospacing="0" w:after="0" w:afterAutospacing="0" w:line="540" w:lineRule="exact"/>
        <w:jc w:val="center"/>
        <w:textAlignment w:val="baseline"/>
        <w:rPr>
          <w:rFonts w:ascii="黑体" w:eastAsia="黑体"/>
          <w:b w:val="0"/>
          <w:i w:val="0"/>
          <w:caps w:val="0"/>
          <w:spacing w:val="0"/>
          <w:w w:val="100"/>
          <w:kern w:val="2"/>
          <w:sz w:val="32"/>
          <w:szCs w:val="32"/>
          <w:lang w:val="en-US" w:eastAsia="zh-CN" w:bidi="ar-SA"/>
        </w:rPr>
      </w:pPr>
    </w:p>
    <w:p w14:paraId="22E627F6">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r>
        <w:rPr>
          <w:rStyle w:val="11"/>
          <w:rFonts w:ascii="宋体" w:hAnsi="宋体"/>
          <w:b/>
          <w:i w:val="0"/>
          <w:caps w:val="0"/>
          <w:spacing w:val="0"/>
          <w:w w:val="100"/>
          <w:kern w:val="2"/>
          <w:sz w:val="36"/>
          <w:szCs w:val="36"/>
          <w:lang w:val="en-US" w:eastAsia="zh-CN" w:bidi="ar-SA"/>
        </w:rPr>
        <w:t>第一部分 兴隆台区委统战部部门概况</w:t>
      </w:r>
    </w:p>
    <w:p w14:paraId="36FE570D">
      <w:pPr>
        <w:snapToGrid/>
        <w:spacing w:before="0" w:beforeAutospacing="0" w:after="0" w:afterAutospacing="0" w:line="540" w:lineRule="exact"/>
        <w:ind w:firstLine="640" w:firstLineChars="200"/>
        <w:jc w:val="left"/>
        <w:textAlignment w:val="baseline"/>
        <w:rPr>
          <w:rFonts w:ascii="黑体" w:eastAsia="黑体"/>
          <w:b w:val="0"/>
          <w:i w:val="0"/>
          <w:caps w:val="0"/>
          <w:spacing w:val="0"/>
          <w:w w:val="100"/>
          <w:kern w:val="2"/>
          <w:sz w:val="32"/>
          <w:szCs w:val="32"/>
          <w:lang w:val="en-US" w:eastAsia="zh-CN" w:bidi="ar-SA"/>
        </w:rPr>
      </w:pPr>
    </w:p>
    <w:p w14:paraId="6CECFE56">
      <w:pPr>
        <w:snapToGrid/>
        <w:spacing w:before="0" w:beforeAutospacing="0" w:after="0" w:afterAutospacing="0" w:line="540" w:lineRule="exact"/>
        <w:ind w:firstLine="640" w:firstLineChars="200"/>
        <w:jc w:val="left"/>
        <w:textAlignment w:val="baseline"/>
        <w:rPr>
          <w:rFonts w:ascii="黑体" w:eastAsia="黑体"/>
          <w:b w:val="0"/>
          <w:i w:val="0"/>
          <w:caps w:val="0"/>
          <w:spacing w:val="0"/>
          <w:w w:val="100"/>
          <w:kern w:val="2"/>
          <w:sz w:val="32"/>
          <w:szCs w:val="32"/>
          <w:lang w:val="en-US" w:eastAsia="zh-CN" w:bidi="ar-SA"/>
        </w:rPr>
      </w:pPr>
      <w:r>
        <w:rPr>
          <w:rStyle w:val="11"/>
          <w:rFonts w:ascii="黑体" w:eastAsia="黑体"/>
          <w:b w:val="0"/>
          <w:i w:val="0"/>
          <w:caps w:val="0"/>
          <w:spacing w:val="0"/>
          <w:w w:val="100"/>
          <w:kern w:val="2"/>
          <w:sz w:val="32"/>
          <w:szCs w:val="32"/>
          <w:lang w:val="en-US" w:eastAsia="zh-CN" w:bidi="ar-SA"/>
        </w:rPr>
        <w:t>一、主要职责及机构设置</w:t>
      </w:r>
    </w:p>
    <w:p w14:paraId="38DF7EDE">
      <w:pPr>
        <w:snapToGrid/>
        <w:spacing w:before="0" w:beforeAutospacing="0" w:after="0" w:afterAutospacing="0" w:line="240" w:lineRule="auto"/>
        <w:ind w:left="640" w:firstLine="640" w:firstLineChars="200"/>
        <w:jc w:val="both"/>
        <w:textAlignment w:val="baseline"/>
        <w:rPr>
          <w:rFonts w:ascii="仿宋_GB2312" w:hAnsi="宋体" w:eastAsia="仿宋_GB2312"/>
          <w:b w:val="0"/>
          <w:i w:val="0"/>
          <w:caps w:val="0"/>
          <w:spacing w:val="0"/>
          <w:w w:val="100"/>
          <w:kern w:val="2"/>
          <w:sz w:val="32"/>
          <w:szCs w:val="32"/>
          <w:lang w:val="en-US" w:eastAsia="zh-CN" w:bidi="ar-SA"/>
        </w:rPr>
      </w:pPr>
      <w:r>
        <w:rPr>
          <w:rStyle w:val="11"/>
          <w:rFonts w:ascii="仿宋_GB2312" w:hAnsi="宋体" w:eastAsia="仿宋_GB2312"/>
          <w:b w:val="0"/>
          <w:i w:val="0"/>
          <w:caps w:val="0"/>
          <w:spacing w:val="0"/>
          <w:w w:val="100"/>
          <w:kern w:val="2"/>
          <w:sz w:val="32"/>
          <w:szCs w:val="32"/>
          <w:lang w:val="en-US" w:eastAsia="zh-CN" w:bidi="ar-SA"/>
        </w:rPr>
        <w:t>1、组织贯彻中央和省、市关于统战方针、政策，向区委反映统一战线全面情况，提出开展统战工作的意见和建议，检查统战各项工作完成情况，协调统战各方面的关系。在统战工作方针政策的贯彻落实、重大问题的协调处理和相关干部的管理等方面，统战部门负责有牵头协调的职能。</w:t>
      </w:r>
    </w:p>
    <w:p w14:paraId="0922E390">
      <w:pPr>
        <w:snapToGrid/>
        <w:spacing w:before="0" w:beforeAutospacing="0" w:after="0" w:afterAutospacing="0" w:line="240" w:lineRule="auto"/>
        <w:ind w:left="640" w:firstLine="640" w:firstLineChars="200"/>
        <w:jc w:val="both"/>
        <w:textAlignment w:val="baseline"/>
        <w:rPr>
          <w:rFonts w:ascii="仿宋_GB2312" w:hAnsi="宋体" w:eastAsia="仿宋_GB2312"/>
          <w:b w:val="0"/>
          <w:i w:val="0"/>
          <w:caps w:val="0"/>
          <w:spacing w:val="0"/>
          <w:w w:val="100"/>
          <w:kern w:val="2"/>
          <w:sz w:val="32"/>
          <w:szCs w:val="32"/>
          <w:lang w:val="en-US" w:eastAsia="zh-CN" w:bidi="ar-SA"/>
        </w:rPr>
      </w:pPr>
      <w:r>
        <w:rPr>
          <w:rStyle w:val="11"/>
          <w:rFonts w:ascii="仿宋_GB2312" w:hAnsi="宋体" w:eastAsia="仿宋_GB2312"/>
          <w:b w:val="0"/>
          <w:i w:val="0"/>
          <w:caps w:val="0"/>
          <w:spacing w:val="0"/>
          <w:w w:val="100"/>
          <w:kern w:val="2"/>
          <w:sz w:val="32"/>
          <w:szCs w:val="32"/>
          <w:lang w:val="en-US" w:eastAsia="zh-CN" w:bidi="ar-SA"/>
        </w:rPr>
        <w:t>2、负责联系非公有制经济代表人士和党外代表人士，及时通报情况，反映他们的意见和建议，加强他们的参政议政和民主监督工作，支持、帮助他们加强自身建设，选拔、培养新一代代表人物。</w:t>
      </w:r>
    </w:p>
    <w:p w14:paraId="6C00567F">
      <w:pPr>
        <w:snapToGrid/>
        <w:spacing w:before="0" w:beforeAutospacing="0" w:after="0" w:afterAutospacing="0" w:line="240" w:lineRule="auto"/>
        <w:ind w:left="640" w:firstLine="640" w:firstLineChars="200"/>
        <w:jc w:val="both"/>
        <w:textAlignment w:val="baseline"/>
        <w:rPr>
          <w:rFonts w:ascii="仿宋_GB2312" w:hAnsi="宋体" w:eastAsia="仿宋_GB2312"/>
          <w:b w:val="0"/>
          <w:i w:val="0"/>
          <w:caps w:val="0"/>
          <w:spacing w:val="0"/>
          <w:w w:val="100"/>
          <w:kern w:val="2"/>
          <w:sz w:val="32"/>
          <w:szCs w:val="32"/>
          <w:lang w:val="en-US" w:eastAsia="zh-CN" w:bidi="ar-SA"/>
        </w:rPr>
      </w:pPr>
      <w:r>
        <w:rPr>
          <w:rStyle w:val="11"/>
          <w:rFonts w:ascii="仿宋_GB2312" w:hAnsi="宋体" w:eastAsia="仿宋_GB2312"/>
          <w:b w:val="0"/>
          <w:i w:val="0"/>
          <w:caps w:val="0"/>
          <w:spacing w:val="0"/>
          <w:w w:val="100"/>
          <w:kern w:val="2"/>
          <w:sz w:val="32"/>
          <w:szCs w:val="32"/>
          <w:lang w:val="en-US" w:eastAsia="zh-CN" w:bidi="ar-SA"/>
        </w:rPr>
        <w:t>3、对民族、宗教工作负有牵头协调和监督检查的职能，负责对民族、宗教部门的联系和指导，负责调查研究和协调检查有关民族、宗教工作的方针、政策问题，联系少数民族和宗教界的代表人物。</w:t>
      </w:r>
    </w:p>
    <w:p w14:paraId="77557ED9">
      <w:pPr>
        <w:snapToGrid/>
        <w:spacing w:before="0" w:beforeAutospacing="0" w:after="0" w:afterAutospacing="0" w:line="240" w:lineRule="auto"/>
        <w:ind w:left="640" w:firstLine="640" w:firstLineChars="200"/>
        <w:jc w:val="both"/>
        <w:textAlignment w:val="baseline"/>
        <w:rPr>
          <w:rFonts w:ascii="仿宋_GB2312" w:hAnsi="宋体" w:eastAsia="仿宋_GB2312"/>
          <w:b w:val="0"/>
          <w:i w:val="0"/>
          <w:caps w:val="0"/>
          <w:spacing w:val="0"/>
          <w:w w:val="100"/>
          <w:kern w:val="2"/>
          <w:sz w:val="32"/>
          <w:szCs w:val="32"/>
          <w:lang w:val="en-US" w:eastAsia="zh-CN" w:bidi="ar-SA"/>
        </w:rPr>
      </w:pPr>
      <w:r>
        <w:rPr>
          <w:rStyle w:val="11"/>
          <w:rFonts w:ascii="仿宋_GB2312" w:hAnsi="宋体" w:eastAsia="仿宋_GB2312"/>
          <w:b w:val="0"/>
          <w:i w:val="0"/>
          <w:caps w:val="0"/>
          <w:spacing w:val="0"/>
          <w:w w:val="100"/>
          <w:kern w:val="2"/>
          <w:sz w:val="32"/>
          <w:szCs w:val="32"/>
          <w:lang w:val="en-US" w:eastAsia="zh-CN" w:bidi="ar-SA"/>
        </w:rPr>
        <w:t>4、负责开展以祖国统一为重点的海外统战工作，联系海外代表人士，做好海外人士来访接待工作，做好台胞、台属、归侨、侨眷的有关工作。</w:t>
      </w:r>
    </w:p>
    <w:p w14:paraId="1941D68D">
      <w:pPr>
        <w:snapToGrid/>
        <w:spacing w:before="0" w:beforeAutospacing="0" w:after="0" w:afterAutospacing="0" w:line="240" w:lineRule="auto"/>
        <w:ind w:left="640" w:firstLine="640" w:firstLineChars="200"/>
        <w:jc w:val="both"/>
        <w:textAlignment w:val="baseline"/>
        <w:rPr>
          <w:rFonts w:ascii="仿宋_GB2312" w:hAnsi="宋体" w:eastAsia="仿宋_GB2312"/>
          <w:b w:val="0"/>
          <w:i w:val="0"/>
          <w:caps w:val="0"/>
          <w:spacing w:val="0"/>
          <w:w w:val="100"/>
          <w:kern w:val="2"/>
          <w:sz w:val="32"/>
          <w:szCs w:val="32"/>
          <w:lang w:val="en-US" w:eastAsia="zh-CN" w:bidi="ar-SA"/>
        </w:rPr>
      </w:pPr>
      <w:r>
        <w:rPr>
          <w:rStyle w:val="11"/>
          <w:rFonts w:ascii="仿宋_GB2312" w:hAnsi="宋体" w:eastAsia="仿宋_GB2312"/>
          <w:b w:val="0"/>
          <w:i w:val="0"/>
          <w:caps w:val="0"/>
          <w:spacing w:val="0"/>
          <w:w w:val="100"/>
          <w:kern w:val="2"/>
          <w:sz w:val="32"/>
          <w:szCs w:val="32"/>
          <w:lang w:val="en-US" w:eastAsia="zh-CN" w:bidi="ar-SA"/>
        </w:rPr>
        <w:t>5、负责党外人士的政治安排，会商有关部门负责人大代表和</w:t>
      </w:r>
      <w:bookmarkStart w:id="0" w:name="_GoBack"/>
      <w:bookmarkEnd w:id="0"/>
      <w:r>
        <w:rPr>
          <w:rStyle w:val="11"/>
          <w:rFonts w:hint="eastAsia" w:ascii="仿宋_GB2312" w:hAnsi="宋体" w:eastAsia="仿宋_GB2312"/>
          <w:b w:val="0"/>
          <w:i w:val="0"/>
          <w:caps w:val="0"/>
          <w:spacing w:val="0"/>
          <w:w w:val="100"/>
          <w:kern w:val="2"/>
          <w:sz w:val="32"/>
          <w:szCs w:val="32"/>
          <w:lang w:val="en-US" w:eastAsia="zh-CN" w:bidi="ar-SA"/>
        </w:rPr>
        <w:t>人民代表大会常务委员会</w:t>
      </w:r>
      <w:r>
        <w:rPr>
          <w:rStyle w:val="11"/>
          <w:rFonts w:ascii="仿宋_GB2312" w:hAnsi="宋体" w:eastAsia="仿宋_GB2312"/>
          <w:b w:val="0"/>
          <w:i w:val="0"/>
          <w:caps w:val="0"/>
          <w:spacing w:val="0"/>
          <w:w w:val="100"/>
          <w:kern w:val="2"/>
          <w:sz w:val="32"/>
          <w:szCs w:val="32"/>
          <w:lang w:val="en-US" w:eastAsia="zh-CN" w:bidi="ar-SA"/>
        </w:rPr>
        <w:t>中的党外候选人的推荐提名工作，负责政协委员和政协常委的推荐提名工作，会同有关部门做好培养、考察、选拔、安排党外人士担任政府和司法机关领导职务的工作。党外后备干部队伍建设工作和新的党外代表人物队伍工作。</w:t>
      </w:r>
    </w:p>
    <w:p w14:paraId="08B05A60">
      <w:pPr>
        <w:snapToGrid/>
        <w:spacing w:before="0" w:beforeAutospacing="0" w:after="0" w:afterAutospacing="0" w:line="240" w:lineRule="auto"/>
        <w:ind w:left="630" w:leftChars="300" w:firstLine="640" w:firstLineChars="200"/>
        <w:jc w:val="both"/>
        <w:textAlignment w:val="baseline"/>
        <w:rPr>
          <w:rFonts w:ascii="仿宋_GB2312" w:hAnsi="宋体" w:eastAsia="仿宋_GB2312"/>
          <w:b w:val="0"/>
          <w:i w:val="0"/>
          <w:caps w:val="0"/>
          <w:spacing w:val="0"/>
          <w:w w:val="100"/>
          <w:kern w:val="2"/>
          <w:sz w:val="32"/>
          <w:szCs w:val="32"/>
          <w:lang w:val="en-US" w:eastAsia="zh-CN" w:bidi="ar-SA"/>
        </w:rPr>
      </w:pPr>
      <w:r>
        <w:rPr>
          <w:rStyle w:val="11"/>
          <w:rFonts w:ascii="仿宋_GB2312" w:hAnsi="宋体" w:eastAsia="仿宋_GB2312"/>
          <w:b w:val="0"/>
          <w:i w:val="0"/>
          <w:caps w:val="0"/>
          <w:spacing w:val="0"/>
          <w:w w:val="100"/>
          <w:kern w:val="2"/>
          <w:sz w:val="32"/>
          <w:szCs w:val="32"/>
          <w:lang w:val="en-US" w:eastAsia="zh-CN" w:bidi="ar-SA"/>
        </w:rPr>
        <w:t>6、负责非公有制经济领域里的统战工作，研究并反映区非公有制经济代表人士的情况，协调关系，团结、帮助、引导、教育非公有制经济代表人士，积极开展思想政治工作。</w:t>
      </w:r>
    </w:p>
    <w:p w14:paraId="5E3CE9DD">
      <w:pPr>
        <w:snapToGrid/>
        <w:spacing w:before="0" w:beforeAutospacing="0" w:after="0" w:afterAutospacing="0" w:line="240" w:lineRule="auto"/>
        <w:ind w:left="640" w:firstLine="640" w:firstLineChars="200"/>
        <w:jc w:val="both"/>
        <w:textAlignment w:val="baseline"/>
        <w:rPr>
          <w:rFonts w:ascii="仿宋_GB2312" w:hAnsi="宋体" w:eastAsia="仿宋_GB2312"/>
          <w:b w:val="0"/>
          <w:i w:val="0"/>
          <w:caps w:val="0"/>
          <w:spacing w:val="0"/>
          <w:w w:val="100"/>
          <w:kern w:val="2"/>
          <w:sz w:val="32"/>
          <w:szCs w:val="32"/>
          <w:lang w:val="en-US" w:eastAsia="zh-CN" w:bidi="ar-SA"/>
        </w:rPr>
      </w:pPr>
      <w:r>
        <w:rPr>
          <w:rStyle w:val="11"/>
          <w:rFonts w:ascii="仿宋_GB2312" w:hAnsi="宋体" w:eastAsia="仿宋_GB2312"/>
          <w:b w:val="0"/>
          <w:i w:val="0"/>
          <w:caps w:val="0"/>
          <w:spacing w:val="0"/>
          <w:w w:val="100"/>
          <w:kern w:val="2"/>
          <w:sz w:val="32"/>
          <w:szCs w:val="32"/>
          <w:lang w:val="en-US" w:eastAsia="zh-CN" w:bidi="ar-SA"/>
        </w:rPr>
        <w:t>7、负责贯彻上级对台方针政策，贯彻执行上级涉台工作的规定和实施，作好涉台的工作。</w:t>
      </w:r>
    </w:p>
    <w:p w14:paraId="44E7B3FE">
      <w:pPr>
        <w:snapToGrid/>
        <w:spacing w:before="0" w:beforeAutospacing="0" w:after="0" w:afterAutospacing="0" w:line="240" w:lineRule="auto"/>
        <w:ind w:left="640"/>
        <w:jc w:val="both"/>
        <w:textAlignment w:val="baseline"/>
        <w:rPr>
          <w:rFonts w:ascii="仿宋_GB2312" w:hAnsi="宋体" w:eastAsia="仿宋_GB2312"/>
          <w:b w:val="0"/>
          <w:i w:val="0"/>
          <w:caps w:val="0"/>
          <w:spacing w:val="0"/>
          <w:w w:val="100"/>
          <w:kern w:val="2"/>
          <w:sz w:val="32"/>
          <w:szCs w:val="32"/>
          <w:lang w:val="en-US" w:eastAsia="zh-CN" w:bidi="ar-SA"/>
        </w:rPr>
      </w:pPr>
      <w:r>
        <w:rPr>
          <w:rStyle w:val="11"/>
          <w:rFonts w:ascii="仿宋_GB2312" w:hAnsi="宋体" w:eastAsia="仿宋_GB2312"/>
          <w:b w:val="0"/>
          <w:i w:val="0"/>
          <w:caps w:val="0"/>
          <w:spacing w:val="0"/>
          <w:w w:val="100"/>
          <w:kern w:val="2"/>
          <w:sz w:val="32"/>
          <w:szCs w:val="32"/>
          <w:lang w:val="en-US" w:eastAsia="zh-CN" w:bidi="ar-SA"/>
        </w:rPr>
        <w:t>8、完成市委统战部、区委、政府交办的其他工作任务。</w:t>
      </w:r>
    </w:p>
    <w:p w14:paraId="4BF38388">
      <w:pPr>
        <w:snapToGrid/>
        <w:spacing w:before="0" w:beforeAutospacing="0" w:after="0" w:afterAutospacing="0" w:line="540" w:lineRule="exact"/>
        <w:jc w:val="left"/>
        <w:textAlignment w:val="baseline"/>
        <w:rPr>
          <w:rFonts w:eastAsia="黑体"/>
          <w:b w:val="0"/>
          <w:i w:val="0"/>
          <w:caps w:val="0"/>
          <w:spacing w:val="0"/>
          <w:w w:val="100"/>
          <w:kern w:val="2"/>
          <w:sz w:val="32"/>
          <w:szCs w:val="32"/>
          <w:lang w:val="en-US" w:eastAsia="zh-CN" w:bidi="ar-SA"/>
        </w:rPr>
      </w:pPr>
    </w:p>
    <w:p w14:paraId="7C2A4713">
      <w:pPr>
        <w:snapToGrid/>
        <w:spacing w:before="0" w:beforeAutospacing="0" w:after="0" w:afterAutospacing="0" w:line="540" w:lineRule="exact"/>
        <w:ind w:firstLine="640"/>
        <w:jc w:val="left"/>
        <w:textAlignment w:val="baseline"/>
        <w:rPr>
          <w:rFonts w:eastAsia="黑体"/>
          <w:b w:val="0"/>
          <w:i w:val="0"/>
          <w:caps w:val="0"/>
          <w:spacing w:val="0"/>
          <w:w w:val="100"/>
          <w:kern w:val="2"/>
          <w:sz w:val="32"/>
          <w:szCs w:val="32"/>
          <w:lang w:val="en-US" w:eastAsia="zh-CN" w:bidi="ar-SA"/>
        </w:rPr>
      </w:pPr>
      <w:r>
        <w:rPr>
          <w:rStyle w:val="11"/>
          <w:rFonts w:ascii="黑体" w:eastAsia="黑体"/>
          <w:b w:val="0"/>
          <w:i w:val="0"/>
          <w:caps w:val="0"/>
          <w:spacing w:val="0"/>
          <w:w w:val="100"/>
          <w:kern w:val="2"/>
          <w:sz w:val="32"/>
          <w:szCs w:val="32"/>
          <w:lang w:val="en-US" w:eastAsia="zh-CN" w:bidi="ar-SA"/>
        </w:rPr>
        <w:t>二、部门决算单位构成</w:t>
      </w:r>
    </w:p>
    <w:p w14:paraId="6A5E17F9">
      <w:pPr>
        <w:snapToGrid/>
        <w:spacing w:before="0" w:beforeAutospacing="0" w:after="0" w:afterAutospacing="0" w:line="540" w:lineRule="exact"/>
        <w:ind w:firstLine="640" w:firstLineChars="200"/>
        <w:jc w:val="left"/>
        <w:textAlignment w:val="baseline"/>
        <w:rPr>
          <w:rFonts w:ascii="仿宋_GB2312"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纳入兴隆台区统战部2018年部门决算编制范围的一级预算单位。</w:t>
      </w:r>
    </w:p>
    <w:p w14:paraId="68C0A386">
      <w:pPr>
        <w:snapToGrid/>
        <w:spacing w:before="0" w:beforeAutospacing="0" w:after="0" w:afterAutospacing="0" w:line="540" w:lineRule="exact"/>
        <w:ind w:firstLine="640" w:firstLineChars="200"/>
        <w:jc w:val="left"/>
        <w:textAlignment w:val="baseline"/>
        <w:rPr>
          <w:rFonts w:ascii="仿宋_GB2312" w:eastAsia="仿宋_GB2312"/>
          <w:b w:val="0"/>
          <w:i w:val="0"/>
          <w:caps w:val="0"/>
          <w:spacing w:val="0"/>
          <w:w w:val="100"/>
          <w:kern w:val="2"/>
          <w:sz w:val="32"/>
          <w:szCs w:val="32"/>
          <w:lang w:val="en-US" w:eastAsia="zh-CN" w:bidi="ar-SA"/>
        </w:rPr>
      </w:pPr>
      <w:r>
        <w:rPr>
          <w:rStyle w:val="11"/>
          <w:rFonts w:ascii="仿宋_GB2312" w:eastAsia="仿宋_GB2312"/>
          <w:b w:val="0"/>
          <w:i w:val="0"/>
          <w:caps w:val="0"/>
          <w:spacing w:val="0"/>
          <w:w w:val="100"/>
          <w:kern w:val="2"/>
          <w:sz w:val="32"/>
          <w:szCs w:val="32"/>
          <w:lang w:val="en-US" w:eastAsia="zh-CN" w:bidi="ar-SA"/>
        </w:rPr>
        <w:t>无下设二级预算单位</w:t>
      </w:r>
    </w:p>
    <w:p w14:paraId="68C2C8AF">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p>
    <w:p w14:paraId="5D799462">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r>
        <w:rPr>
          <w:rStyle w:val="11"/>
          <w:rFonts w:ascii="宋体" w:hAnsi="宋体"/>
          <w:b/>
          <w:i w:val="0"/>
          <w:caps w:val="0"/>
          <w:spacing w:val="0"/>
          <w:w w:val="100"/>
          <w:kern w:val="2"/>
          <w:sz w:val="36"/>
          <w:szCs w:val="36"/>
          <w:lang w:val="en-US" w:eastAsia="zh-CN" w:bidi="ar-SA"/>
        </w:rPr>
        <w:t>第二部分兴隆台区委统战部</w:t>
      </w:r>
    </w:p>
    <w:p w14:paraId="4D427D22">
      <w:pPr>
        <w:snapToGrid/>
        <w:spacing w:before="0" w:beforeAutospacing="0" w:after="0" w:afterAutospacing="0" w:line="540" w:lineRule="exact"/>
        <w:jc w:val="center"/>
        <w:textAlignment w:val="baseline"/>
        <w:rPr>
          <w:rFonts w:ascii="仿宋_GB2312" w:eastAsia="仿宋_GB2312"/>
          <w:b w:val="0"/>
          <w:i w:val="0"/>
          <w:caps w:val="0"/>
          <w:spacing w:val="0"/>
          <w:w w:val="100"/>
          <w:kern w:val="2"/>
          <w:sz w:val="32"/>
          <w:szCs w:val="32"/>
          <w:lang w:val="en-US" w:eastAsia="zh-CN" w:bidi="ar-SA"/>
        </w:rPr>
      </w:pPr>
      <w:r>
        <w:rPr>
          <w:rStyle w:val="11"/>
          <w:rFonts w:ascii="宋体" w:hAnsi="宋体"/>
          <w:b/>
          <w:i w:val="0"/>
          <w:caps w:val="0"/>
          <w:spacing w:val="0"/>
          <w:w w:val="100"/>
          <w:kern w:val="2"/>
          <w:sz w:val="36"/>
          <w:szCs w:val="36"/>
          <w:lang w:val="en-US" w:eastAsia="zh-CN" w:bidi="ar-SA"/>
        </w:rPr>
        <w:t>2018年度部门决算公开报表</w:t>
      </w:r>
    </w:p>
    <w:p w14:paraId="371073FE">
      <w:pPr>
        <w:snapToGrid/>
        <w:spacing w:before="0" w:beforeAutospacing="0" w:after="0" w:afterAutospacing="0" w:line="540" w:lineRule="exact"/>
        <w:jc w:val="center"/>
        <w:textAlignment w:val="baseline"/>
        <w:rPr>
          <w:rFonts w:ascii="仿宋_GB2312" w:eastAsia="仿宋_GB2312"/>
          <w:b/>
          <w:i w:val="0"/>
          <w:caps w:val="0"/>
          <w:spacing w:val="0"/>
          <w:w w:val="100"/>
          <w:kern w:val="2"/>
          <w:sz w:val="32"/>
          <w:szCs w:val="32"/>
          <w:lang w:val="en-US" w:eastAsia="zh-CN" w:bidi="ar-SA"/>
        </w:rPr>
      </w:pPr>
    </w:p>
    <w:p w14:paraId="52048B44">
      <w:pPr>
        <w:snapToGrid/>
        <w:spacing w:before="0" w:beforeAutospacing="0" w:after="0" w:afterAutospacing="0" w:line="540" w:lineRule="exact"/>
        <w:ind w:firstLine="640"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1.2018年度收入支出决算总表</w:t>
      </w:r>
    </w:p>
    <w:p w14:paraId="3D620F14">
      <w:pPr>
        <w:snapToGrid/>
        <w:spacing w:before="0" w:beforeAutospacing="0" w:after="0" w:afterAutospacing="0" w:line="540" w:lineRule="exact"/>
        <w:ind w:firstLine="640"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2.2018年度收入决算表</w:t>
      </w:r>
    </w:p>
    <w:p w14:paraId="66DFA999">
      <w:pPr>
        <w:snapToGrid/>
        <w:spacing w:before="0" w:beforeAutospacing="0" w:after="0" w:afterAutospacing="0" w:line="540" w:lineRule="exact"/>
        <w:ind w:firstLine="640"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3.2018年度支出决算表</w:t>
      </w:r>
    </w:p>
    <w:p w14:paraId="2358A5C3">
      <w:pPr>
        <w:snapToGrid/>
        <w:spacing w:before="0" w:beforeAutospacing="0" w:after="0" w:afterAutospacing="0" w:line="540" w:lineRule="exact"/>
        <w:ind w:firstLine="640"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4.2018年度财政拨款收入支出决算表</w:t>
      </w:r>
    </w:p>
    <w:p w14:paraId="6974D911">
      <w:pPr>
        <w:snapToGrid/>
        <w:spacing w:before="0" w:beforeAutospacing="0" w:after="0" w:afterAutospacing="0" w:line="540" w:lineRule="exact"/>
        <w:ind w:firstLine="640"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5.2018年度一般公共预算财政拨款收入支出决算表</w:t>
      </w:r>
    </w:p>
    <w:p w14:paraId="5633A465">
      <w:pPr>
        <w:snapToGrid/>
        <w:spacing w:before="0" w:beforeAutospacing="0" w:after="0" w:afterAutospacing="0" w:line="540" w:lineRule="exact"/>
        <w:ind w:firstLine="640"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6.2018年度一般公共预算财政拨款基本支出决算表</w:t>
      </w:r>
    </w:p>
    <w:p w14:paraId="78FF1BE7">
      <w:pPr>
        <w:snapToGrid/>
        <w:spacing w:before="0" w:beforeAutospacing="0" w:after="0" w:afterAutospacing="0" w:line="540" w:lineRule="exact"/>
        <w:ind w:firstLine="640"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7.2018年度政府性基金预算财政拨款收入支出决算表</w:t>
      </w:r>
    </w:p>
    <w:p w14:paraId="67F5FE37">
      <w:pPr>
        <w:snapToGrid/>
        <w:spacing w:before="0" w:beforeAutospacing="0" w:after="0" w:afterAutospacing="0" w:line="540" w:lineRule="exact"/>
        <w:ind w:firstLine="640"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8.2018年度财政专户管理资金收入支出决算表</w:t>
      </w:r>
    </w:p>
    <w:p w14:paraId="3E7A8366">
      <w:pPr>
        <w:snapToGrid/>
        <w:spacing w:before="0" w:beforeAutospacing="0" w:after="0" w:afterAutospacing="0" w:line="540" w:lineRule="exact"/>
        <w:ind w:firstLine="640"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9.2018年度一般公共预算财政拨款“三公”经费支出决算表</w:t>
      </w:r>
    </w:p>
    <w:p w14:paraId="17575C7B">
      <w:pPr>
        <w:snapToGrid/>
        <w:spacing w:before="0" w:beforeAutospacing="0" w:after="0" w:afterAutospacing="0" w:line="540" w:lineRule="exact"/>
        <w:ind w:firstLine="640"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详见《兴隆台区委统战部2018年度部门决算公开报表》</w:t>
      </w:r>
    </w:p>
    <w:p w14:paraId="41FA74A2">
      <w:pPr>
        <w:snapToGrid/>
        <w:spacing w:before="0" w:beforeAutospacing="0" w:after="0" w:afterAutospacing="0" w:line="540" w:lineRule="exact"/>
        <w:jc w:val="center"/>
        <w:textAlignment w:val="baseline"/>
        <w:rPr>
          <w:rFonts w:ascii="仿宋_GB2312" w:eastAsia="仿宋_GB2312"/>
          <w:b/>
          <w:i w:val="0"/>
          <w:caps w:val="0"/>
          <w:spacing w:val="0"/>
          <w:w w:val="100"/>
          <w:kern w:val="2"/>
          <w:sz w:val="32"/>
          <w:szCs w:val="32"/>
          <w:lang w:val="en-US" w:eastAsia="zh-CN" w:bidi="ar-SA"/>
        </w:rPr>
      </w:pPr>
    </w:p>
    <w:p w14:paraId="207A25EE">
      <w:pPr>
        <w:snapToGrid/>
        <w:spacing w:before="0" w:beforeAutospacing="0" w:after="0" w:afterAutospacing="0" w:line="540" w:lineRule="exact"/>
        <w:jc w:val="center"/>
        <w:textAlignment w:val="baseline"/>
        <w:rPr>
          <w:rFonts w:ascii="黑体" w:eastAsia="黑体"/>
          <w:b w:val="0"/>
          <w:i w:val="0"/>
          <w:caps w:val="0"/>
          <w:spacing w:val="0"/>
          <w:w w:val="100"/>
          <w:kern w:val="2"/>
          <w:sz w:val="32"/>
          <w:szCs w:val="32"/>
          <w:lang w:val="en-US" w:eastAsia="zh-CN" w:bidi="ar-SA"/>
        </w:rPr>
      </w:pPr>
    </w:p>
    <w:p w14:paraId="239090B3">
      <w:pPr>
        <w:snapToGrid/>
        <w:spacing w:before="0" w:beforeAutospacing="0" w:after="0" w:afterAutospacing="0" w:line="540" w:lineRule="exact"/>
        <w:jc w:val="center"/>
        <w:textAlignment w:val="baseline"/>
        <w:rPr>
          <w:rFonts w:ascii="黑体" w:eastAsia="黑体"/>
          <w:b w:val="0"/>
          <w:i w:val="0"/>
          <w:caps w:val="0"/>
          <w:spacing w:val="0"/>
          <w:w w:val="100"/>
          <w:kern w:val="2"/>
          <w:sz w:val="32"/>
          <w:szCs w:val="32"/>
          <w:lang w:val="en-US" w:eastAsia="zh-CN" w:bidi="ar-SA"/>
        </w:rPr>
      </w:pPr>
    </w:p>
    <w:p w14:paraId="1AD1715E">
      <w:pPr>
        <w:snapToGrid/>
        <w:spacing w:before="0" w:beforeAutospacing="0" w:after="0" w:afterAutospacing="0" w:line="540" w:lineRule="exact"/>
        <w:jc w:val="center"/>
        <w:textAlignment w:val="baseline"/>
        <w:rPr>
          <w:rFonts w:ascii="黑体" w:eastAsia="黑体"/>
          <w:b w:val="0"/>
          <w:i w:val="0"/>
          <w:caps w:val="0"/>
          <w:spacing w:val="0"/>
          <w:w w:val="100"/>
          <w:kern w:val="2"/>
          <w:sz w:val="32"/>
          <w:szCs w:val="32"/>
          <w:lang w:val="en-US" w:eastAsia="zh-CN" w:bidi="ar-SA"/>
        </w:rPr>
      </w:pPr>
    </w:p>
    <w:p w14:paraId="3EFAEA9D">
      <w:pPr>
        <w:snapToGrid/>
        <w:spacing w:before="0" w:beforeAutospacing="0" w:after="0" w:afterAutospacing="0" w:line="540" w:lineRule="exact"/>
        <w:jc w:val="center"/>
        <w:textAlignment w:val="baseline"/>
        <w:rPr>
          <w:rFonts w:ascii="黑体" w:eastAsia="黑体"/>
          <w:b w:val="0"/>
          <w:i w:val="0"/>
          <w:caps w:val="0"/>
          <w:spacing w:val="0"/>
          <w:w w:val="100"/>
          <w:kern w:val="2"/>
          <w:sz w:val="36"/>
          <w:szCs w:val="36"/>
          <w:lang w:val="en-US" w:eastAsia="zh-CN" w:bidi="ar-SA"/>
        </w:rPr>
      </w:pPr>
    </w:p>
    <w:p w14:paraId="0F1ADE92">
      <w:pPr>
        <w:snapToGrid/>
        <w:spacing w:before="0" w:beforeAutospacing="0" w:after="0" w:afterAutospacing="0" w:line="540" w:lineRule="exact"/>
        <w:jc w:val="center"/>
        <w:textAlignment w:val="baseline"/>
        <w:rPr>
          <w:rFonts w:ascii="黑体" w:eastAsia="黑体"/>
          <w:b w:val="0"/>
          <w:i w:val="0"/>
          <w:caps w:val="0"/>
          <w:spacing w:val="0"/>
          <w:w w:val="100"/>
          <w:kern w:val="2"/>
          <w:sz w:val="36"/>
          <w:szCs w:val="36"/>
          <w:lang w:val="en-US" w:eastAsia="zh-CN" w:bidi="ar-SA"/>
        </w:rPr>
      </w:pPr>
    </w:p>
    <w:p w14:paraId="278C4041">
      <w:pPr>
        <w:snapToGrid/>
        <w:spacing w:before="0" w:beforeAutospacing="0" w:after="0" w:afterAutospacing="0" w:line="540" w:lineRule="exact"/>
        <w:jc w:val="center"/>
        <w:textAlignment w:val="baseline"/>
        <w:rPr>
          <w:rFonts w:ascii="黑体" w:eastAsia="黑体"/>
          <w:b w:val="0"/>
          <w:i w:val="0"/>
          <w:caps w:val="0"/>
          <w:spacing w:val="0"/>
          <w:w w:val="100"/>
          <w:kern w:val="2"/>
          <w:sz w:val="36"/>
          <w:szCs w:val="36"/>
          <w:lang w:val="en-US" w:eastAsia="zh-CN" w:bidi="ar-SA"/>
        </w:rPr>
      </w:pPr>
    </w:p>
    <w:p w14:paraId="0B7EA63E">
      <w:pPr>
        <w:snapToGrid/>
        <w:spacing w:before="0" w:beforeAutospacing="0" w:after="0" w:afterAutospacing="0" w:line="540" w:lineRule="exact"/>
        <w:jc w:val="center"/>
        <w:textAlignment w:val="baseline"/>
        <w:rPr>
          <w:rFonts w:ascii="黑体" w:eastAsia="黑体"/>
          <w:b w:val="0"/>
          <w:i w:val="0"/>
          <w:caps w:val="0"/>
          <w:spacing w:val="0"/>
          <w:w w:val="100"/>
          <w:kern w:val="2"/>
          <w:sz w:val="36"/>
          <w:szCs w:val="36"/>
          <w:lang w:val="en-US" w:eastAsia="zh-CN" w:bidi="ar-SA"/>
        </w:rPr>
      </w:pPr>
    </w:p>
    <w:p w14:paraId="5BA00A40">
      <w:pPr>
        <w:snapToGrid/>
        <w:spacing w:before="0" w:beforeAutospacing="0" w:after="0" w:afterAutospacing="0" w:line="540" w:lineRule="exact"/>
        <w:jc w:val="center"/>
        <w:textAlignment w:val="baseline"/>
        <w:rPr>
          <w:rFonts w:ascii="黑体" w:eastAsia="黑体"/>
          <w:b w:val="0"/>
          <w:i w:val="0"/>
          <w:caps w:val="0"/>
          <w:spacing w:val="0"/>
          <w:w w:val="100"/>
          <w:kern w:val="2"/>
          <w:sz w:val="36"/>
          <w:szCs w:val="36"/>
          <w:lang w:val="en-US" w:eastAsia="zh-CN" w:bidi="ar-SA"/>
        </w:rPr>
      </w:pPr>
    </w:p>
    <w:p w14:paraId="00F5172E">
      <w:pPr>
        <w:snapToGrid/>
        <w:spacing w:before="0" w:beforeAutospacing="0" w:after="0" w:afterAutospacing="0" w:line="540" w:lineRule="exact"/>
        <w:jc w:val="center"/>
        <w:textAlignment w:val="baseline"/>
        <w:rPr>
          <w:rFonts w:ascii="黑体" w:eastAsia="黑体"/>
          <w:b w:val="0"/>
          <w:i w:val="0"/>
          <w:caps w:val="0"/>
          <w:spacing w:val="0"/>
          <w:w w:val="100"/>
          <w:kern w:val="2"/>
          <w:sz w:val="36"/>
          <w:szCs w:val="36"/>
          <w:lang w:val="en-US" w:eastAsia="zh-CN" w:bidi="ar-SA"/>
        </w:rPr>
      </w:pPr>
    </w:p>
    <w:p w14:paraId="65EC5708">
      <w:pPr>
        <w:snapToGrid/>
        <w:spacing w:before="0" w:beforeAutospacing="0" w:after="0" w:afterAutospacing="0" w:line="540" w:lineRule="exact"/>
        <w:jc w:val="center"/>
        <w:textAlignment w:val="baseline"/>
        <w:rPr>
          <w:rFonts w:ascii="黑体" w:eastAsia="黑体"/>
          <w:b w:val="0"/>
          <w:i w:val="0"/>
          <w:caps w:val="0"/>
          <w:spacing w:val="0"/>
          <w:w w:val="100"/>
          <w:kern w:val="2"/>
          <w:sz w:val="36"/>
          <w:szCs w:val="36"/>
          <w:lang w:val="en-US" w:eastAsia="zh-CN" w:bidi="ar-SA"/>
        </w:rPr>
      </w:pPr>
    </w:p>
    <w:p w14:paraId="1DF02EAC">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r>
        <w:rPr>
          <w:rStyle w:val="11"/>
          <w:rFonts w:ascii="宋体" w:hAnsi="宋体"/>
          <w:b/>
          <w:i w:val="0"/>
          <w:caps w:val="0"/>
          <w:spacing w:val="0"/>
          <w:w w:val="100"/>
          <w:kern w:val="2"/>
          <w:sz w:val="36"/>
          <w:szCs w:val="36"/>
          <w:lang w:val="en-US" w:eastAsia="zh-CN" w:bidi="ar-SA"/>
        </w:rPr>
        <w:t>第三部分 盘锦市兴隆台区委统战部2018年度</w:t>
      </w:r>
    </w:p>
    <w:p w14:paraId="1D9FE078">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r>
        <w:rPr>
          <w:rStyle w:val="11"/>
          <w:rFonts w:ascii="宋体" w:hAnsi="宋体"/>
          <w:b/>
          <w:i w:val="0"/>
          <w:caps w:val="0"/>
          <w:spacing w:val="0"/>
          <w:w w:val="100"/>
          <w:kern w:val="2"/>
          <w:sz w:val="36"/>
          <w:szCs w:val="36"/>
          <w:lang w:val="en-US" w:eastAsia="zh-CN" w:bidi="ar-SA"/>
        </w:rPr>
        <w:t>部门决算情况说明</w:t>
      </w:r>
    </w:p>
    <w:p w14:paraId="39E099CC">
      <w:pPr>
        <w:snapToGrid/>
        <w:spacing w:before="0" w:beforeAutospacing="0" w:after="0" w:afterAutospacing="0" w:line="540" w:lineRule="exact"/>
        <w:jc w:val="both"/>
        <w:textAlignment w:val="baseline"/>
        <w:rPr>
          <w:rFonts w:ascii="宋体" w:hAnsi="宋体"/>
          <w:b/>
          <w:i w:val="0"/>
          <w:caps w:val="0"/>
          <w:spacing w:val="0"/>
          <w:w w:val="100"/>
          <w:kern w:val="2"/>
          <w:sz w:val="36"/>
          <w:szCs w:val="36"/>
          <w:lang w:val="en-US" w:eastAsia="zh-CN" w:bidi="ar-SA"/>
        </w:rPr>
      </w:pPr>
    </w:p>
    <w:p w14:paraId="76F56692">
      <w:pPr>
        <w:snapToGrid/>
        <w:spacing w:before="0" w:beforeAutospacing="0" w:after="0" w:afterAutospacing="0" w:line="540" w:lineRule="exact"/>
        <w:ind w:firstLine="627" w:firstLineChars="196"/>
        <w:jc w:val="both"/>
        <w:textAlignment w:val="baseline"/>
        <w:rPr>
          <w:rFonts w:ascii="黑体" w:hAnsi="黑体" w:eastAsia="黑体"/>
          <w:b w:val="0"/>
          <w:i w:val="0"/>
          <w:caps w:val="0"/>
          <w:spacing w:val="0"/>
          <w:w w:val="100"/>
          <w:kern w:val="2"/>
          <w:sz w:val="32"/>
          <w:szCs w:val="32"/>
          <w:lang w:val="en-US" w:eastAsia="zh-CN" w:bidi="ar-SA"/>
        </w:rPr>
      </w:pPr>
      <w:r>
        <w:rPr>
          <w:rStyle w:val="11"/>
          <w:rFonts w:ascii="黑体" w:hAnsi="黑体" w:eastAsia="黑体"/>
          <w:b w:val="0"/>
          <w:i w:val="0"/>
          <w:caps w:val="0"/>
          <w:spacing w:val="0"/>
          <w:w w:val="100"/>
          <w:kern w:val="2"/>
          <w:sz w:val="32"/>
          <w:szCs w:val="32"/>
          <w:lang w:val="en-US" w:eastAsia="zh-CN" w:bidi="ar-SA"/>
        </w:rPr>
        <w:t>一、收入支出决算总体情况</w:t>
      </w:r>
    </w:p>
    <w:p w14:paraId="184994FD">
      <w:pPr>
        <w:snapToGrid/>
        <w:spacing w:before="0" w:beforeAutospacing="0" w:after="0" w:afterAutospacing="0" w:line="540" w:lineRule="exact"/>
        <w:ind w:firstLine="660"/>
        <w:jc w:val="both"/>
        <w:textAlignment w:val="baseline"/>
        <w:rPr>
          <w:rFonts w:ascii="仿宋" w:hAnsi="仿宋" w:eastAsia="仿宋"/>
          <w:b w:val="0"/>
          <w:i w:val="0"/>
          <w:caps w:val="0"/>
          <w:color w:val="000000"/>
          <w:spacing w:val="0"/>
          <w:w w:val="100"/>
          <w:kern w:val="2"/>
          <w:sz w:val="32"/>
          <w:szCs w:val="32"/>
          <w:lang w:val="en-US" w:eastAsia="zh-CN" w:bidi="ar-SA"/>
        </w:rPr>
      </w:pPr>
      <w:r>
        <w:rPr>
          <w:rStyle w:val="11"/>
          <w:rFonts w:ascii="楷体_GB2312" w:hAnsi="宋体" w:eastAsia="楷体_GB2312"/>
          <w:b/>
          <w:i w:val="0"/>
          <w:caps w:val="0"/>
          <w:spacing w:val="0"/>
          <w:w w:val="100"/>
          <w:kern w:val="2"/>
          <w:sz w:val="32"/>
          <w:szCs w:val="32"/>
          <w:lang w:val="en-US" w:eastAsia="zh-CN" w:bidi="ar-SA"/>
        </w:rPr>
        <w:t>（一）收入总计127.63万元，</w:t>
      </w:r>
      <w:r>
        <w:rPr>
          <w:rStyle w:val="11"/>
          <w:rFonts w:ascii="仿宋" w:hAnsi="仿宋" w:eastAsia="仿宋"/>
          <w:b w:val="0"/>
          <w:i w:val="0"/>
          <w:caps w:val="0"/>
          <w:spacing w:val="0"/>
          <w:w w:val="100"/>
          <w:kern w:val="2"/>
          <w:sz w:val="32"/>
          <w:szCs w:val="32"/>
          <w:lang w:val="en-US" w:eastAsia="zh-CN" w:bidi="ar-SA"/>
        </w:rPr>
        <w:t>与2017年度部门决算相比较，</w:t>
      </w:r>
      <w:r>
        <w:rPr>
          <w:rStyle w:val="11"/>
          <w:rFonts w:ascii="仿宋" w:hAnsi="仿宋" w:eastAsia="仿宋"/>
          <w:b w:val="0"/>
          <w:i w:val="0"/>
          <w:caps w:val="0"/>
          <w:color w:val="000000"/>
          <w:spacing w:val="0"/>
          <w:w w:val="100"/>
          <w:kern w:val="2"/>
          <w:sz w:val="32"/>
          <w:szCs w:val="32"/>
          <w:lang w:val="en-US" w:eastAsia="zh-CN" w:bidi="ar-SA"/>
        </w:rPr>
        <w:t>今年收入增加32.59万元，增长34.29%，主要原因：统战部业务量增加。</w:t>
      </w:r>
      <w:r>
        <w:rPr>
          <w:rStyle w:val="11"/>
          <w:rFonts w:ascii="楷体_GB2312" w:hAnsi="宋体" w:eastAsia="楷体_GB2312"/>
          <w:b/>
          <w:i w:val="0"/>
          <w:caps w:val="0"/>
          <w:spacing w:val="0"/>
          <w:w w:val="100"/>
          <w:kern w:val="2"/>
          <w:sz w:val="32"/>
          <w:szCs w:val="32"/>
          <w:lang w:val="en-US" w:eastAsia="zh-CN" w:bidi="ar-SA"/>
        </w:rPr>
        <w:t>收入包括：</w:t>
      </w:r>
    </w:p>
    <w:p w14:paraId="526DB239">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1.财政拨款收入127.63万元，占收入总计的100%。其中：公共预算财政拨款收入127.63万元，政府性基金收入0万元。</w:t>
      </w:r>
    </w:p>
    <w:p w14:paraId="30371493">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2.上级补助收入0万元。</w:t>
      </w:r>
    </w:p>
    <w:p w14:paraId="23F4FE42">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3.事业收入0万元。</w:t>
      </w:r>
    </w:p>
    <w:p w14:paraId="15A37DAC">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4.经营收入0万元。</w:t>
      </w:r>
    </w:p>
    <w:p w14:paraId="083EC3FF">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5.附属单位上缴收入0万元。</w:t>
      </w:r>
    </w:p>
    <w:p w14:paraId="1F59ADBB">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6.其他收入0万元。</w:t>
      </w:r>
    </w:p>
    <w:p w14:paraId="0F4DE45D">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7.用事业基金弥补收支差额0万元。</w:t>
      </w:r>
    </w:p>
    <w:p w14:paraId="0F89B7BF">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8.上年结转和结余0万元。</w:t>
      </w:r>
    </w:p>
    <w:p w14:paraId="0509B953">
      <w:pPr>
        <w:snapToGrid/>
        <w:spacing w:before="0" w:beforeAutospacing="0" w:after="0" w:afterAutospacing="0" w:line="540" w:lineRule="exact"/>
        <w:ind w:firstLine="660"/>
        <w:jc w:val="both"/>
        <w:textAlignment w:val="baseline"/>
        <w:rPr>
          <w:rFonts w:ascii="仿宋" w:hAnsi="仿宋" w:eastAsia="仿宋"/>
          <w:b w:val="0"/>
          <w:i w:val="0"/>
          <w:caps w:val="0"/>
          <w:color w:val="000000"/>
          <w:spacing w:val="0"/>
          <w:w w:val="100"/>
          <w:kern w:val="2"/>
          <w:sz w:val="32"/>
          <w:szCs w:val="32"/>
          <w:lang w:val="en-US" w:eastAsia="zh-CN" w:bidi="ar-SA"/>
        </w:rPr>
      </w:pPr>
      <w:r>
        <w:rPr>
          <w:rStyle w:val="11"/>
          <w:rFonts w:ascii="仿宋" w:hAnsi="仿宋" w:eastAsia="仿宋"/>
          <w:b w:val="0"/>
          <w:i w:val="0"/>
          <w:caps w:val="0"/>
          <w:color w:val="000000"/>
          <w:spacing w:val="0"/>
          <w:w w:val="100"/>
          <w:kern w:val="2"/>
          <w:sz w:val="32"/>
          <w:szCs w:val="32"/>
          <w:lang w:val="en-US" w:eastAsia="zh-CN" w:bidi="ar-SA"/>
        </w:rPr>
        <w:t>与上年相比，今年收入增加32.59万元，增长34.29%，主要原因：统战部业务量增加。。</w:t>
      </w:r>
    </w:p>
    <w:p w14:paraId="5BBDCDF4">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楷体_GB2312" w:hAnsi="宋体" w:eastAsia="楷体_GB2312"/>
          <w:b/>
          <w:i w:val="0"/>
          <w:caps w:val="0"/>
          <w:color w:val="000000"/>
          <w:spacing w:val="0"/>
          <w:w w:val="100"/>
          <w:kern w:val="2"/>
          <w:sz w:val="32"/>
          <w:szCs w:val="32"/>
          <w:lang w:val="en-US" w:eastAsia="zh-CN" w:bidi="ar-SA"/>
        </w:rPr>
        <w:t>（二）支出总计127.63万元，</w:t>
      </w:r>
      <w:r>
        <w:rPr>
          <w:rStyle w:val="11"/>
          <w:rFonts w:ascii="仿宋" w:hAnsi="仿宋" w:eastAsia="仿宋"/>
          <w:b w:val="0"/>
          <w:i w:val="0"/>
          <w:caps w:val="0"/>
          <w:spacing w:val="0"/>
          <w:w w:val="100"/>
          <w:kern w:val="2"/>
          <w:sz w:val="32"/>
          <w:szCs w:val="32"/>
          <w:lang w:val="en-US" w:eastAsia="zh-CN" w:bidi="ar-SA"/>
        </w:rPr>
        <w:t>与2017年度部门决算相比较，</w:t>
      </w:r>
      <w:r>
        <w:rPr>
          <w:rStyle w:val="11"/>
          <w:rFonts w:ascii="仿宋" w:hAnsi="仿宋" w:eastAsia="仿宋"/>
          <w:b w:val="0"/>
          <w:i w:val="0"/>
          <w:caps w:val="0"/>
          <w:color w:val="000000"/>
          <w:spacing w:val="0"/>
          <w:w w:val="100"/>
          <w:kern w:val="2"/>
          <w:sz w:val="32"/>
          <w:szCs w:val="32"/>
          <w:lang w:val="en-US" w:eastAsia="zh-CN" w:bidi="ar-SA"/>
        </w:rPr>
        <w:t>今年支出增加32.59万元，增长34.29%，主要原因：统战部业务量增加</w:t>
      </w:r>
      <w:r>
        <w:rPr>
          <w:rStyle w:val="11"/>
          <w:rFonts w:ascii="仿宋" w:hAnsi="仿宋" w:eastAsia="仿宋"/>
          <w:b w:val="0"/>
          <w:i w:val="0"/>
          <w:caps w:val="0"/>
          <w:spacing w:val="0"/>
          <w:w w:val="100"/>
          <w:kern w:val="2"/>
          <w:sz w:val="32"/>
          <w:szCs w:val="32"/>
          <w:lang w:val="en-US" w:eastAsia="zh-CN" w:bidi="ar-SA"/>
        </w:rPr>
        <w:t>。</w:t>
      </w:r>
    </w:p>
    <w:p w14:paraId="6BBC1C8F">
      <w:pPr>
        <w:snapToGrid/>
        <w:spacing w:before="0" w:beforeAutospacing="0" w:after="0" w:afterAutospacing="0" w:line="540" w:lineRule="exact"/>
        <w:ind w:firstLine="660"/>
        <w:jc w:val="both"/>
        <w:textAlignment w:val="baseline"/>
        <w:rPr>
          <w:rFonts w:ascii="楷体_GB2312" w:hAnsi="宋体" w:eastAsia="楷体_GB2312"/>
          <w:b/>
          <w:i w:val="0"/>
          <w:caps w:val="0"/>
          <w:color w:val="000000"/>
          <w:spacing w:val="0"/>
          <w:w w:val="100"/>
          <w:kern w:val="2"/>
          <w:sz w:val="32"/>
          <w:szCs w:val="32"/>
          <w:lang w:val="en-US" w:eastAsia="zh-CN" w:bidi="ar-SA"/>
        </w:rPr>
      </w:pPr>
      <w:r>
        <w:rPr>
          <w:rStyle w:val="11"/>
          <w:rFonts w:ascii="楷体_GB2312" w:hAnsi="宋体" w:eastAsia="楷体_GB2312"/>
          <w:b/>
          <w:i w:val="0"/>
          <w:caps w:val="0"/>
          <w:color w:val="000000"/>
          <w:spacing w:val="0"/>
          <w:w w:val="100"/>
          <w:kern w:val="2"/>
          <w:sz w:val="32"/>
          <w:szCs w:val="32"/>
          <w:lang w:val="en-US" w:eastAsia="zh-CN" w:bidi="ar-SA"/>
        </w:rPr>
        <w:t>支出包括：</w:t>
      </w:r>
    </w:p>
    <w:p w14:paraId="67BDF703">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1.基本支出85.66万元，占支出总计的67.12%。主要是为保障机构正常运转、完成日常工作任务而发生的各项支出，其中：工资福利支出75.50万元，对个人和家庭的补助支出</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万元，商品和服务支出10.16万元。</w:t>
      </w:r>
    </w:p>
    <w:p w14:paraId="184202D4">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2.项目支出41.96万元，占支出总计的32.88%。主要包括特别政治费等业务支出。</w:t>
      </w:r>
    </w:p>
    <w:p w14:paraId="61210E7D">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3.上缴上级支出0万元，占支出总计的0%。主要包括</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等业务支出。</w:t>
      </w:r>
    </w:p>
    <w:p w14:paraId="0C4DF190">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4.经营支出0万元，占支出总计的0%。主要包括</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等业务支出。</w:t>
      </w:r>
    </w:p>
    <w:p w14:paraId="087609C7">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5.对附属单位补助支出0万元，占支出总计的0%。主要包括</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等业务支出。</w:t>
      </w:r>
    </w:p>
    <w:p w14:paraId="6D19DAD4">
      <w:pPr>
        <w:snapToGrid/>
        <w:spacing w:before="0" w:beforeAutospacing="0" w:after="0" w:afterAutospacing="0" w:line="540" w:lineRule="exact"/>
        <w:ind w:firstLine="660"/>
        <w:jc w:val="both"/>
        <w:textAlignment w:val="baseline"/>
        <w:rPr>
          <w:rFonts w:ascii="楷体_GB2312" w:hAnsi="宋体" w:eastAsia="楷体_GB2312"/>
          <w:b/>
          <w:i w:val="0"/>
          <w:caps w:val="0"/>
          <w:spacing w:val="0"/>
          <w:w w:val="100"/>
          <w:kern w:val="2"/>
          <w:sz w:val="32"/>
          <w:szCs w:val="32"/>
          <w:lang w:val="en-US" w:eastAsia="zh-CN" w:bidi="ar-SA"/>
        </w:rPr>
      </w:pPr>
      <w:r>
        <w:rPr>
          <w:rStyle w:val="11"/>
          <w:rFonts w:ascii="楷体_GB2312" w:hAnsi="宋体" w:eastAsia="楷体_GB2312"/>
          <w:b/>
          <w:i w:val="0"/>
          <w:caps w:val="0"/>
          <w:spacing w:val="0"/>
          <w:w w:val="100"/>
          <w:kern w:val="2"/>
          <w:sz w:val="32"/>
          <w:szCs w:val="32"/>
          <w:lang w:val="en-US" w:eastAsia="zh-CN" w:bidi="ar-SA"/>
        </w:rPr>
        <w:t>（三）年末结转和结余</w:t>
      </w:r>
      <w:r>
        <w:rPr>
          <w:rStyle w:val="11"/>
          <w:rFonts w:hint="eastAsia" w:ascii="楷体_GB2312" w:hAnsi="宋体" w:eastAsia="楷体_GB2312"/>
          <w:b/>
          <w:i w:val="0"/>
          <w:caps w:val="0"/>
          <w:spacing w:val="0"/>
          <w:w w:val="100"/>
          <w:kern w:val="2"/>
          <w:sz w:val="32"/>
          <w:szCs w:val="32"/>
          <w:lang w:val="en-US" w:eastAsia="zh-CN" w:bidi="ar-SA"/>
        </w:rPr>
        <w:t>0</w:t>
      </w:r>
      <w:r>
        <w:rPr>
          <w:rStyle w:val="11"/>
          <w:rFonts w:ascii="楷体_GB2312" w:hAnsi="宋体" w:eastAsia="楷体_GB2312"/>
          <w:b/>
          <w:i w:val="0"/>
          <w:caps w:val="0"/>
          <w:spacing w:val="0"/>
          <w:w w:val="100"/>
          <w:kern w:val="2"/>
          <w:sz w:val="32"/>
          <w:szCs w:val="32"/>
          <w:lang w:val="en-US" w:eastAsia="zh-CN" w:bidi="ar-SA"/>
        </w:rPr>
        <w:t>万元。</w:t>
      </w:r>
    </w:p>
    <w:p w14:paraId="6C730619">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hint="eastAsia" w:ascii="仿宋" w:hAnsi="仿宋" w:eastAsia="仿宋"/>
          <w:b w:val="0"/>
          <w:i w:val="0"/>
          <w:caps w:val="0"/>
          <w:spacing w:val="0"/>
          <w:w w:val="100"/>
          <w:kern w:val="2"/>
          <w:sz w:val="32"/>
          <w:szCs w:val="32"/>
          <w:lang w:val="en-US" w:eastAsia="zh-CN" w:bidi="ar-SA"/>
        </w:rPr>
        <w:t>无年末结转和结余</w:t>
      </w:r>
      <w:r>
        <w:rPr>
          <w:rStyle w:val="11"/>
          <w:rFonts w:ascii="仿宋" w:hAnsi="仿宋" w:eastAsia="仿宋"/>
          <w:b w:val="0"/>
          <w:i w:val="0"/>
          <w:caps w:val="0"/>
          <w:spacing w:val="0"/>
          <w:w w:val="100"/>
          <w:kern w:val="2"/>
          <w:sz w:val="32"/>
          <w:szCs w:val="32"/>
          <w:lang w:val="en-US" w:eastAsia="zh-CN" w:bidi="ar-SA"/>
        </w:rPr>
        <w:t>。</w:t>
      </w:r>
    </w:p>
    <w:p w14:paraId="306301DB">
      <w:pPr>
        <w:snapToGrid/>
        <w:spacing w:before="0" w:beforeAutospacing="0" w:after="0" w:afterAutospacing="0" w:line="540" w:lineRule="exact"/>
        <w:ind w:firstLine="660"/>
        <w:jc w:val="both"/>
        <w:textAlignment w:val="baseline"/>
        <w:rPr>
          <w:rFonts w:ascii="黑体" w:hAnsi="黑体" w:eastAsia="黑体"/>
          <w:b w:val="0"/>
          <w:i w:val="0"/>
          <w:caps w:val="0"/>
          <w:spacing w:val="0"/>
          <w:w w:val="100"/>
          <w:kern w:val="2"/>
          <w:sz w:val="32"/>
          <w:szCs w:val="32"/>
          <w:lang w:val="en-US" w:eastAsia="zh-CN" w:bidi="ar-SA"/>
        </w:rPr>
      </w:pPr>
      <w:r>
        <w:rPr>
          <w:rStyle w:val="11"/>
          <w:rFonts w:ascii="黑体" w:hAnsi="黑体" w:eastAsia="黑体"/>
          <w:b w:val="0"/>
          <w:i w:val="0"/>
          <w:caps w:val="0"/>
          <w:spacing w:val="0"/>
          <w:w w:val="100"/>
          <w:kern w:val="2"/>
          <w:sz w:val="32"/>
          <w:szCs w:val="32"/>
          <w:lang w:val="en-US" w:eastAsia="zh-CN" w:bidi="ar-SA"/>
        </w:rPr>
        <w:t>二、财政拨款支出决算情况</w:t>
      </w:r>
    </w:p>
    <w:p w14:paraId="7E924B14">
      <w:pPr>
        <w:snapToGrid/>
        <w:spacing w:before="0" w:beforeAutospacing="0" w:after="0" w:afterAutospacing="0" w:line="540" w:lineRule="exact"/>
        <w:ind w:firstLine="660"/>
        <w:jc w:val="both"/>
        <w:textAlignment w:val="baseline"/>
        <w:rPr>
          <w:rFonts w:ascii="楷体_GB2312" w:hAnsi="宋体" w:eastAsia="楷体_GB2312"/>
          <w:b/>
          <w:i w:val="0"/>
          <w:caps w:val="0"/>
          <w:spacing w:val="0"/>
          <w:w w:val="100"/>
          <w:kern w:val="2"/>
          <w:sz w:val="32"/>
          <w:szCs w:val="32"/>
          <w:lang w:val="en-US" w:eastAsia="zh-CN" w:bidi="ar-SA"/>
        </w:rPr>
      </w:pPr>
      <w:r>
        <w:rPr>
          <w:rStyle w:val="11"/>
          <w:rFonts w:ascii="楷体_GB2312" w:hAnsi="宋体" w:eastAsia="楷体_GB2312"/>
          <w:b/>
          <w:i w:val="0"/>
          <w:caps w:val="0"/>
          <w:spacing w:val="0"/>
          <w:w w:val="100"/>
          <w:kern w:val="2"/>
          <w:sz w:val="32"/>
          <w:szCs w:val="32"/>
          <w:lang w:val="en-US" w:eastAsia="zh-CN" w:bidi="ar-SA"/>
        </w:rPr>
        <w:t>（一）总体情况。</w:t>
      </w:r>
    </w:p>
    <w:p w14:paraId="15FA4438">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2018年度财政拨款支出127.63万元，其中：基本支出85.66万元，项目支出41.96万元。与上年相比，财政拨款支出增加16.12万元，增长62.38%，主要原因：统战部业务量增加。与年初预算相比，2018财政拨款支出完成年初预算的111.35%，其中：基本支出完成年初预算的97.76%，项目完成年初预算的55.41%。</w:t>
      </w:r>
    </w:p>
    <w:p w14:paraId="2A2879D1">
      <w:pPr>
        <w:snapToGrid/>
        <w:spacing w:before="0" w:beforeAutospacing="0" w:after="0" w:afterAutospacing="0" w:line="540" w:lineRule="exact"/>
        <w:ind w:firstLine="660"/>
        <w:jc w:val="both"/>
        <w:textAlignment w:val="baseline"/>
        <w:rPr>
          <w:rFonts w:ascii="楷体_GB2312" w:hAnsi="宋体" w:eastAsia="楷体_GB2312"/>
          <w:b/>
          <w:i w:val="0"/>
          <w:caps w:val="0"/>
          <w:spacing w:val="0"/>
          <w:w w:val="100"/>
          <w:kern w:val="2"/>
          <w:sz w:val="32"/>
          <w:szCs w:val="32"/>
          <w:lang w:val="en-US" w:eastAsia="zh-CN" w:bidi="ar-SA"/>
        </w:rPr>
      </w:pPr>
      <w:r>
        <w:rPr>
          <w:rStyle w:val="11"/>
          <w:rFonts w:ascii="楷体_GB2312" w:hAnsi="宋体" w:eastAsia="楷体_GB2312"/>
          <w:b/>
          <w:i w:val="0"/>
          <w:caps w:val="0"/>
          <w:spacing w:val="0"/>
          <w:w w:val="100"/>
          <w:kern w:val="2"/>
          <w:sz w:val="32"/>
          <w:szCs w:val="32"/>
          <w:lang w:val="en-US" w:eastAsia="zh-CN" w:bidi="ar-SA"/>
        </w:rPr>
        <w:t>（二）具体情况。</w:t>
      </w:r>
    </w:p>
    <w:p w14:paraId="09D2A8A1">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2018年度财政拨款支出127.63万元，按支出功能分类科目分，包括：一般公共服务支出109.02万元，占85.42%；社会保障和就业支出10.22万元，占8.01%；医疗卫生与计划生育支出2.22万元，占1.74%；节能环保支出0万元；农林水支出0万元；交通运输支出0万元，；资源勘探信息等支出0万元；援助其他地区支出0万元；国土海洋气象等支出0万元；住房保障支出6.16万元，占4.83%。</w:t>
      </w:r>
    </w:p>
    <w:p w14:paraId="7DE520C8">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1.一般公共服务支出109.03万元，具体包括：</w:t>
      </w:r>
    </w:p>
    <w:p w14:paraId="5AEA88B0">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（1）行政运行67.02万元，主要是工资等支出，完成年初预算的86.95%，决算数小于年初预算数的原因主要是机构调整。</w:t>
      </w:r>
    </w:p>
    <w:p w14:paraId="3ACD2D2B">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（2）一般行政管理事务41.96万元，主要是特别政治费等支出，完成年初预算的155.41%，决算数大于年初预算数的原因主要是统战部业务量增加。</w:t>
      </w:r>
    </w:p>
    <w:p w14:paraId="40528E3A">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（3）预算改革业务</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w:t>
      </w:r>
    </w:p>
    <w:p w14:paraId="47D2BD6A">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（4）财政国库业务</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w:t>
      </w:r>
    </w:p>
    <w:p w14:paraId="1C6DAC94">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（5）信息化建设</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w:t>
      </w:r>
    </w:p>
    <w:p w14:paraId="3C42EB2F">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（6）事业运行</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w:t>
      </w:r>
    </w:p>
    <w:p w14:paraId="6B6D91CD">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（7）其他财政事务支出</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w:t>
      </w:r>
    </w:p>
    <w:p w14:paraId="3AFE5FAB">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2.社会保障和就业支出10.22万元，具体包括：</w:t>
      </w:r>
    </w:p>
    <w:p w14:paraId="59DA5917">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（1）归口管理的行政单位离退休</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w:t>
      </w:r>
    </w:p>
    <w:p w14:paraId="731DCCE9">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（2）事业单位离退休</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w:t>
      </w:r>
    </w:p>
    <w:p w14:paraId="4035FECB">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（3）机关事业单位基本养老保险缴费10.22万元，主要是机关事业单位基本养老保险缴费等支出，完成年初预算的</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%，决算数小于（大于）年初预算数的原因主要是</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w:t>
      </w:r>
    </w:p>
    <w:p w14:paraId="77FC95A9">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（4）死亡抚恤</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w:t>
      </w:r>
    </w:p>
    <w:p w14:paraId="3F7FF4E9">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（5）伤残抚恤</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w:t>
      </w:r>
    </w:p>
    <w:p w14:paraId="33B596D3">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3.医疗卫生与计划生育支出</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w:t>
      </w:r>
    </w:p>
    <w:p w14:paraId="55DBCB04">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（2）事业单位医疗</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w:t>
      </w:r>
    </w:p>
    <w:p w14:paraId="60DA7F30">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4.节能环保支出</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w:t>
      </w:r>
    </w:p>
    <w:p w14:paraId="3984BA1A">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5.农林水事务支出</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w:t>
      </w:r>
    </w:p>
    <w:p w14:paraId="73ADECC8">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6.交通运输支出</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w:t>
      </w:r>
    </w:p>
    <w:p w14:paraId="28CB876F">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7.资源勘探信息等支出</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w:t>
      </w:r>
    </w:p>
    <w:p w14:paraId="0883D1F4">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8.国土海洋气象等事务支出</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w:t>
      </w:r>
    </w:p>
    <w:p w14:paraId="0D23236D">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9.住房保障支出6.16万元，具体包括：</w:t>
      </w:r>
    </w:p>
    <w:p w14:paraId="0BB465ED">
      <w:pPr>
        <w:snapToGrid/>
        <w:spacing w:before="0" w:beforeAutospacing="0" w:after="0" w:afterAutospacing="0" w:line="540" w:lineRule="exact"/>
        <w:ind w:firstLine="66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住房公积金6.16万元，主要是住房公积金等支出，完成年初预算的100 %，决算数年初预算数一致。</w:t>
      </w:r>
    </w:p>
    <w:p w14:paraId="7C0A2410">
      <w:pPr>
        <w:snapToGrid/>
        <w:spacing w:before="0" w:beforeAutospacing="0" w:after="0" w:afterAutospacing="0" w:line="540" w:lineRule="exact"/>
        <w:ind w:firstLine="660"/>
        <w:jc w:val="both"/>
        <w:textAlignment w:val="baseline"/>
        <w:rPr>
          <w:rFonts w:ascii="黑体" w:hAnsi="黑体" w:eastAsia="黑体"/>
          <w:b w:val="0"/>
          <w:i w:val="0"/>
          <w:caps w:val="0"/>
          <w:spacing w:val="0"/>
          <w:w w:val="100"/>
          <w:kern w:val="2"/>
          <w:sz w:val="32"/>
          <w:szCs w:val="32"/>
          <w:lang w:val="en-US" w:eastAsia="zh-CN" w:bidi="ar-SA"/>
        </w:rPr>
      </w:pPr>
      <w:r>
        <w:rPr>
          <w:rStyle w:val="11"/>
          <w:rFonts w:ascii="黑体" w:hAnsi="黑体" w:eastAsia="黑体"/>
          <w:b w:val="0"/>
          <w:i w:val="0"/>
          <w:caps w:val="0"/>
          <w:spacing w:val="0"/>
          <w:w w:val="100"/>
          <w:kern w:val="2"/>
          <w:sz w:val="32"/>
          <w:szCs w:val="32"/>
          <w:lang w:val="en-US" w:eastAsia="zh-CN" w:bidi="ar-SA"/>
        </w:rPr>
        <w:t>三、一般公共预算财政拨款“三公”经费支出决算情况</w:t>
      </w:r>
    </w:p>
    <w:p w14:paraId="0C4AFB7C">
      <w:pPr>
        <w:snapToGrid/>
        <w:spacing w:before="0" w:beforeAutospacing="0" w:after="0" w:afterAutospacing="0" w:line="540" w:lineRule="exact"/>
        <w:ind w:firstLine="645"/>
        <w:jc w:val="both"/>
        <w:textAlignment w:val="baseline"/>
        <w:rPr>
          <w:rFonts w:ascii="仿宋" w:hAnsi="仿宋" w:eastAsia="仿宋"/>
          <w:b w:val="0"/>
          <w:i w:val="0"/>
          <w:caps w:val="0"/>
          <w:color w:val="auto"/>
          <w:spacing w:val="0"/>
          <w:w w:val="100"/>
          <w:kern w:val="2"/>
          <w:sz w:val="32"/>
          <w:szCs w:val="32"/>
          <w:lang w:val="en-US" w:eastAsia="zh-CN" w:bidi="ar-SA"/>
        </w:rPr>
      </w:pPr>
      <w:r>
        <w:rPr>
          <w:rStyle w:val="11"/>
          <w:rFonts w:ascii="仿宋" w:hAnsi="仿宋" w:eastAsia="仿宋"/>
          <w:b w:val="0"/>
          <w:i w:val="0"/>
          <w:caps w:val="0"/>
          <w:color w:val="auto"/>
          <w:spacing w:val="0"/>
          <w:w w:val="100"/>
          <w:kern w:val="2"/>
          <w:sz w:val="32"/>
          <w:szCs w:val="32"/>
          <w:lang w:val="en-US" w:eastAsia="zh-CN" w:bidi="ar-SA"/>
        </w:rPr>
        <w:t>2018年度一般公共预算财政拨款安排的“三公”经费支出0.78万元，完成年初预算的</w:t>
      </w:r>
      <w:r>
        <w:rPr>
          <w:rFonts w:ascii="仿宋" w:hAnsi="仿宋" w:eastAsia="仿宋"/>
          <w:b w:val="0"/>
          <w:i w:val="0"/>
          <w:caps w:val="0"/>
          <w:color w:val="auto"/>
          <w:spacing w:val="0"/>
          <w:w w:val="100"/>
          <w:sz w:val="32"/>
        </w:rPr>
        <w:t>100</w:t>
      </w:r>
      <w:r>
        <w:rPr>
          <w:rStyle w:val="11"/>
          <w:rFonts w:ascii="仿宋" w:hAnsi="仿宋" w:eastAsia="仿宋"/>
          <w:b w:val="0"/>
          <w:i w:val="0"/>
          <w:caps w:val="0"/>
          <w:color w:val="auto"/>
          <w:spacing w:val="0"/>
          <w:w w:val="100"/>
          <w:kern w:val="2"/>
          <w:sz w:val="32"/>
          <w:szCs w:val="32"/>
          <w:lang w:val="en-US" w:eastAsia="zh-CN" w:bidi="ar-SA"/>
        </w:rPr>
        <w:t>%，决算数小于（大于）年初预算数的主要原因是</w:t>
      </w:r>
      <w:r>
        <w:rPr>
          <w:rStyle w:val="11"/>
          <w:rFonts w:hint="eastAsia" w:ascii="仿宋" w:hAnsi="仿宋" w:eastAsia="仿宋"/>
          <w:b w:val="0"/>
          <w:i w:val="0"/>
          <w:caps w:val="0"/>
          <w:color w:val="auto"/>
          <w:spacing w:val="0"/>
          <w:w w:val="100"/>
          <w:kern w:val="2"/>
          <w:sz w:val="32"/>
          <w:szCs w:val="32"/>
          <w:lang w:val="en-US" w:eastAsia="zh-CN" w:bidi="ar-SA"/>
        </w:rPr>
        <w:t>0</w:t>
      </w:r>
      <w:r>
        <w:rPr>
          <w:rStyle w:val="11"/>
          <w:rFonts w:ascii="仿宋" w:hAnsi="仿宋" w:eastAsia="仿宋"/>
          <w:b w:val="0"/>
          <w:i w:val="0"/>
          <w:caps w:val="0"/>
          <w:color w:val="auto"/>
          <w:spacing w:val="0"/>
          <w:w w:val="100"/>
          <w:kern w:val="2"/>
          <w:sz w:val="32"/>
          <w:szCs w:val="32"/>
          <w:lang w:val="en-US" w:eastAsia="zh-CN" w:bidi="ar-SA"/>
        </w:rPr>
        <w:t>。与2017年度决算数相比较，今年支出增加0.78万元，增长（降低）</w:t>
      </w:r>
      <w:r>
        <w:rPr>
          <w:rFonts w:ascii="仿宋" w:hAnsi="仿宋" w:eastAsia="仿宋"/>
          <w:b w:val="0"/>
          <w:i w:val="0"/>
          <w:caps w:val="0"/>
          <w:color w:val="auto"/>
          <w:spacing w:val="0"/>
          <w:w w:val="100"/>
          <w:sz w:val="32"/>
        </w:rPr>
        <w:t>100</w:t>
      </w:r>
      <w:r>
        <w:rPr>
          <w:rStyle w:val="11"/>
          <w:rFonts w:ascii="仿宋" w:hAnsi="仿宋" w:eastAsia="仿宋"/>
          <w:b w:val="0"/>
          <w:i w:val="0"/>
          <w:caps w:val="0"/>
          <w:color w:val="auto"/>
          <w:spacing w:val="0"/>
          <w:w w:val="100"/>
          <w:kern w:val="2"/>
          <w:sz w:val="32"/>
          <w:szCs w:val="32"/>
          <w:lang w:val="en-US" w:eastAsia="zh-CN" w:bidi="ar-SA"/>
        </w:rPr>
        <w:t>%，主要原因：台湾台东县书画教育学会来我区考察交流招待费。其中：因公出国（境）费0万元，公务接待费0.78万元，公务用车购置及运行维护费0万元。</w:t>
      </w:r>
    </w:p>
    <w:p w14:paraId="21FBD03D">
      <w:pPr>
        <w:snapToGrid/>
        <w:spacing w:before="0" w:beforeAutospacing="0" w:after="0" w:afterAutospacing="0" w:line="540" w:lineRule="exact"/>
        <w:ind w:firstLine="645"/>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1.因公出国（境）费0万元。</w:t>
      </w:r>
    </w:p>
    <w:p w14:paraId="5C3B66DC">
      <w:pPr>
        <w:snapToGrid/>
        <w:spacing w:before="0" w:beforeAutospacing="0" w:after="0" w:afterAutospacing="0" w:line="540" w:lineRule="exact"/>
        <w:ind w:firstLine="645"/>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2.公务接待费0.78万元，主要用于台湾台东县书画教育学会一行来我区考察交流招待费0.78万元，2018年国内公务接待累计1批次，20人2天3餐花费0.78万元。2018年公务接待费比上年增加0.78万元，增长100%，主要是台湾台东县书画教育学会考察交流。</w:t>
      </w:r>
    </w:p>
    <w:p w14:paraId="5A00C8EE">
      <w:pPr>
        <w:snapToGrid/>
        <w:spacing w:before="0" w:beforeAutospacing="0" w:after="0" w:afterAutospacing="0" w:line="540" w:lineRule="exact"/>
        <w:ind w:firstLine="645"/>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3.</w:t>
      </w:r>
      <w:r>
        <w:rPr>
          <w:rStyle w:val="11"/>
          <w:rFonts w:ascii="仿宋" w:hAnsi="仿宋" w:eastAsia="仿宋"/>
          <w:b w:val="0"/>
          <w:i w:val="0"/>
          <w:caps w:val="0"/>
          <w:spacing w:val="0"/>
          <w:w w:val="100"/>
          <w:kern w:val="2"/>
          <w:sz w:val="21"/>
          <w:szCs w:val="24"/>
          <w:lang w:val="en-US" w:eastAsia="zh-CN" w:bidi="ar-SA"/>
        </w:rPr>
        <w:t xml:space="preserve"> </w:t>
      </w:r>
      <w:r>
        <w:rPr>
          <w:rStyle w:val="11"/>
          <w:rFonts w:ascii="仿宋" w:hAnsi="仿宋" w:eastAsia="仿宋"/>
          <w:b w:val="0"/>
          <w:i w:val="0"/>
          <w:caps w:val="0"/>
          <w:spacing w:val="0"/>
          <w:w w:val="100"/>
          <w:kern w:val="2"/>
          <w:sz w:val="32"/>
          <w:szCs w:val="32"/>
          <w:lang w:val="en-US" w:eastAsia="zh-CN" w:bidi="ar-SA"/>
        </w:rPr>
        <w:t>公务用车购置及运行费0万元。</w:t>
      </w:r>
    </w:p>
    <w:p w14:paraId="5C3FDEC0">
      <w:pPr>
        <w:snapToGrid/>
        <w:spacing w:before="0" w:beforeAutospacing="0" w:after="0" w:afterAutospacing="0" w:line="540" w:lineRule="exact"/>
        <w:ind w:firstLine="645"/>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公务用车购置费</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w:t>
      </w:r>
    </w:p>
    <w:p w14:paraId="402E7D6E">
      <w:pPr>
        <w:snapToGrid/>
        <w:spacing w:before="0" w:beforeAutospacing="0" w:after="0" w:afterAutospacing="0" w:line="540" w:lineRule="exact"/>
        <w:ind w:firstLine="645"/>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公务用车运行维护费</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w:t>
      </w:r>
    </w:p>
    <w:p w14:paraId="7A9C566F">
      <w:pPr>
        <w:snapToGrid/>
        <w:spacing w:before="0" w:beforeAutospacing="0" w:after="0" w:afterAutospacing="0" w:line="540" w:lineRule="exact"/>
        <w:ind w:firstLine="645"/>
        <w:jc w:val="both"/>
        <w:textAlignment w:val="baseline"/>
        <w:rPr>
          <w:rFonts w:ascii="黑体" w:hAnsi="黑体" w:eastAsia="黑体"/>
          <w:b w:val="0"/>
          <w:i w:val="0"/>
          <w:caps w:val="0"/>
          <w:spacing w:val="0"/>
          <w:w w:val="100"/>
          <w:kern w:val="2"/>
          <w:sz w:val="32"/>
          <w:szCs w:val="32"/>
          <w:lang w:val="en-US" w:eastAsia="zh-CN" w:bidi="ar-SA"/>
        </w:rPr>
      </w:pPr>
      <w:r>
        <w:rPr>
          <w:rStyle w:val="11"/>
          <w:rFonts w:ascii="黑体" w:hAnsi="黑体" w:eastAsia="黑体"/>
          <w:b w:val="0"/>
          <w:i w:val="0"/>
          <w:caps w:val="0"/>
          <w:spacing w:val="0"/>
          <w:w w:val="100"/>
          <w:kern w:val="2"/>
          <w:sz w:val="32"/>
          <w:szCs w:val="32"/>
          <w:lang w:val="en-US" w:eastAsia="zh-CN" w:bidi="ar-SA"/>
        </w:rPr>
        <w:t>四、一般公共预算财政拨款基本支出决算情况说明</w:t>
      </w:r>
    </w:p>
    <w:p w14:paraId="7428EA67">
      <w:pPr>
        <w:snapToGrid/>
        <w:spacing w:before="0" w:beforeAutospacing="0" w:after="0" w:afterAutospacing="0" w:line="540" w:lineRule="exact"/>
        <w:ind w:firstLine="645"/>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2018年度一般公共预算财政拨款基本支出127.63万元，其中：人员经费75.50万元，主要包括基本工资、津贴补贴、奖金、其他社会保障缴费、机关事业单位基本养老保险缴费、其他工资福利支出、离休费、退休费、抚恤金、生活补助、奖励金、住房公积金、采暖补贴、其他对个人和家庭补助的支出；日常公用经费10.16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14:paraId="167DDB4B">
      <w:pPr>
        <w:snapToGrid/>
        <w:spacing w:before="0" w:beforeAutospacing="0" w:after="0" w:afterAutospacing="0" w:line="540" w:lineRule="exact"/>
        <w:ind w:firstLine="640" w:firstLineChars="200"/>
        <w:jc w:val="both"/>
        <w:textAlignment w:val="baseline"/>
        <w:rPr>
          <w:rFonts w:ascii="黑体" w:hAnsi="黑体" w:eastAsia="黑体"/>
          <w:b w:val="0"/>
          <w:i w:val="0"/>
          <w:caps w:val="0"/>
          <w:spacing w:val="0"/>
          <w:w w:val="100"/>
          <w:kern w:val="2"/>
          <w:sz w:val="32"/>
          <w:szCs w:val="32"/>
          <w:lang w:val="en-US" w:eastAsia="zh-CN" w:bidi="ar-SA"/>
        </w:rPr>
      </w:pPr>
      <w:r>
        <w:rPr>
          <w:rStyle w:val="11"/>
          <w:rFonts w:ascii="黑体" w:hAnsi="黑体" w:eastAsia="黑体"/>
          <w:b w:val="0"/>
          <w:i w:val="0"/>
          <w:caps w:val="0"/>
          <w:spacing w:val="0"/>
          <w:w w:val="100"/>
          <w:kern w:val="2"/>
          <w:sz w:val="32"/>
          <w:szCs w:val="32"/>
          <w:lang w:val="en-US" w:eastAsia="zh-CN" w:bidi="ar-SA"/>
        </w:rPr>
        <w:t>五、其他重要事项的情况说明</w:t>
      </w:r>
    </w:p>
    <w:p w14:paraId="584A08E9">
      <w:pPr>
        <w:snapToGrid/>
        <w:spacing w:before="0" w:beforeAutospacing="0" w:after="0" w:afterAutospacing="0" w:line="540" w:lineRule="exact"/>
        <w:ind w:firstLine="643" w:firstLineChars="200"/>
        <w:jc w:val="both"/>
        <w:textAlignment w:val="baseline"/>
        <w:rPr>
          <w:rFonts w:ascii="楷体_GB2312" w:hAnsi="黑体" w:eastAsia="楷体_GB2312"/>
          <w:b/>
          <w:i w:val="0"/>
          <w:caps w:val="0"/>
          <w:spacing w:val="0"/>
          <w:w w:val="100"/>
          <w:kern w:val="2"/>
          <w:sz w:val="32"/>
          <w:szCs w:val="32"/>
          <w:lang w:val="en-US" w:eastAsia="zh-CN" w:bidi="ar-SA"/>
        </w:rPr>
      </w:pPr>
      <w:r>
        <w:rPr>
          <w:rStyle w:val="11"/>
          <w:rFonts w:ascii="楷体_GB2312" w:hAnsi="黑体" w:eastAsia="楷体_GB2312"/>
          <w:b/>
          <w:i w:val="0"/>
          <w:caps w:val="0"/>
          <w:spacing w:val="0"/>
          <w:w w:val="100"/>
          <w:kern w:val="2"/>
          <w:sz w:val="32"/>
          <w:szCs w:val="32"/>
          <w:lang w:val="en-US" w:eastAsia="zh-CN" w:bidi="ar-SA"/>
        </w:rPr>
        <w:t>（一）机关运行经费支出情况。</w:t>
      </w:r>
    </w:p>
    <w:p w14:paraId="1943E39A">
      <w:pPr>
        <w:snapToGrid/>
        <w:spacing w:before="0" w:beforeAutospacing="0" w:after="0" w:afterAutospacing="0" w:line="540" w:lineRule="exact"/>
        <w:ind w:firstLine="640" w:firstLineChars="20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2018年兴隆台区委统战部机关运行经费支出10.16万元，比上年增加  万元，增长  %，主要原因是统战部业务量增加。其中：办公费3.06万元、印刷费</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x万元、水费</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万元、电费</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w:t>
      </w:r>
      <w:r>
        <w:rPr>
          <w:rStyle w:val="11"/>
          <w:rFonts w:hint="eastAsia" w:ascii="仿宋" w:hAnsi="仿宋" w:eastAsia="仿宋"/>
          <w:b w:val="0"/>
          <w:i w:val="0"/>
          <w:caps w:val="0"/>
          <w:spacing w:val="0"/>
          <w:w w:val="100"/>
          <w:kern w:val="2"/>
          <w:sz w:val="32"/>
          <w:szCs w:val="32"/>
          <w:lang w:val="en-US" w:eastAsia="zh-CN" w:bidi="ar-SA"/>
        </w:rPr>
        <w:t>。</w:t>
      </w:r>
    </w:p>
    <w:p w14:paraId="3B7A60F8">
      <w:pPr>
        <w:snapToGrid/>
        <w:spacing w:before="0" w:beforeAutospacing="0" w:after="0" w:afterAutospacing="0" w:line="540" w:lineRule="exact"/>
        <w:ind w:firstLine="640" w:firstLineChars="200"/>
        <w:jc w:val="both"/>
        <w:textAlignment w:val="baseline"/>
        <w:rPr>
          <w:rFonts w:ascii="仿宋_GB2312" w:hAnsi="黑体" w:eastAsia="仿宋_GB2312"/>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（数据</w:t>
      </w:r>
      <w:r>
        <w:rPr>
          <w:rStyle w:val="11"/>
          <w:rFonts w:ascii="仿宋_GB2312" w:hAnsi="黑体" w:eastAsia="仿宋_GB2312"/>
          <w:b w:val="0"/>
          <w:i w:val="0"/>
          <w:caps w:val="0"/>
          <w:spacing w:val="0"/>
          <w:w w:val="100"/>
          <w:kern w:val="2"/>
          <w:sz w:val="32"/>
          <w:szCs w:val="32"/>
          <w:lang w:val="en-US" w:eastAsia="zh-CN" w:bidi="ar-SA"/>
        </w:rPr>
        <w:t>来源部门决算填报说明项下的部门决算相关信息统计表）</w:t>
      </w:r>
    </w:p>
    <w:p w14:paraId="2B8FFF46">
      <w:pPr>
        <w:snapToGrid/>
        <w:spacing w:before="0" w:beforeAutospacing="0" w:after="0" w:afterAutospacing="0" w:line="540" w:lineRule="exact"/>
        <w:ind w:firstLine="643" w:firstLineChars="200"/>
        <w:jc w:val="both"/>
        <w:textAlignment w:val="baseline"/>
        <w:rPr>
          <w:rFonts w:ascii="楷体_GB2312" w:hAnsi="黑体" w:eastAsia="楷体_GB2312"/>
          <w:b/>
          <w:i w:val="0"/>
          <w:caps w:val="0"/>
          <w:spacing w:val="0"/>
          <w:w w:val="100"/>
          <w:kern w:val="2"/>
          <w:sz w:val="32"/>
          <w:szCs w:val="32"/>
          <w:lang w:val="en-US" w:eastAsia="zh-CN" w:bidi="ar-SA"/>
        </w:rPr>
      </w:pPr>
      <w:r>
        <w:rPr>
          <w:rStyle w:val="11"/>
          <w:rFonts w:ascii="楷体_GB2312" w:hAnsi="黑体" w:eastAsia="楷体_GB2312"/>
          <w:b/>
          <w:i w:val="0"/>
          <w:caps w:val="0"/>
          <w:spacing w:val="0"/>
          <w:w w:val="100"/>
          <w:kern w:val="2"/>
          <w:sz w:val="32"/>
          <w:szCs w:val="32"/>
          <w:lang w:val="en-US" w:eastAsia="zh-CN" w:bidi="ar-SA"/>
        </w:rPr>
        <w:t>（二）政府采购支出情况。</w:t>
      </w:r>
    </w:p>
    <w:p w14:paraId="6BBDCB99">
      <w:pPr>
        <w:snapToGrid/>
        <w:spacing w:before="0" w:beforeAutospacing="0" w:after="0" w:afterAutospacing="0" w:line="540" w:lineRule="exact"/>
        <w:ind w:firstLine="640" w:firstLineChars="20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2018年兴隆台区委统战部政府采购支出总额5.87万元，其中：政府采购货物支出5.87万元，政府采购工程支出</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万元，政府采购服务支出</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万元。授予中小企业合同金额</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万元，占政府采购支出总额的</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%，其中：授予小微企业合同金额</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万元，占政府采购支出总额的</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w:t>
      </w:r>
    </w:p>
    <w:p w14:paraId="43212F91">
      <w:pPr>
        <w:snapToGrid/>
        <w:spacing w:before="0" w:beforeAutospacing="0" w:after="0" w:afterAutospacing="0" w:line="540" w:lineRule="exact"/>
        <w:ind w:firstLine="643" w:firstLineChars="200"/>
        <w:jc w:val="both"/>
        <w:textAlignment w:val="baseline"/>
        <w:rPr>
          <w:rFonts w:ascii="楷体_GB2312" w:hAnsi="黑体" w:eastAsia="楷体_GB2312"/>
          <w:b/>
          <w:i w:val="0"/>
          <w:caps w:val="0"/>
          <w:spacing w:val="0"/>
          <w:w w:val="100"/>
          <w:kern w:val="2"/>
          <w:sz w:val="32"/>
          <w:szCs w:val="32"/>
          <w:lang w:val="en-US" w:eastAsia="zh-CN" w:bidi="ar-SA"/>
        </w:rPr>
      </w:pPr>
      <w:r>
        <w:rPr>
          <w:rStyle w:val="11"/>
          <w:rFonts w:ascii="楷体_GB2312" w:hAnsi="黑体" w:eastAsia="楷体_GB2312"/>
          <w:b/>
          <w:i w:val="0"/>
          <w:caps w:val="0"/>
          <w:spacing w:val="0"/>
          <w:w w:val="100"/>
          <w:kern w:val="2"/>
          <w:sz w:val="32"/>
          <w:szCs w:val="32"/>
          <w:lang w:val="en-US" w:eastAsia="zh-CN" w:bidi="ar-SA"/>
        </w:rPr>
        <w:t>（三）国有资产占用情况。</w:t>
      </w:r>
    </w:p>
    <w:p w14:paraId="4E2B7374">
      <w:pPr>
        <w:snapToGrid/>
        <w:spacing w:before="0" w:beforeAutospacing="0" w:after="0" w:afterAutospacing="0" w:line="540" w:lineRule="exact"/>
        <w:ind w:firstLine="640" w:firstLineChars="20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截至2018年12月31日，区委统战部共有车辆</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辆，其中：一般公务用车</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辆，一般执法执勤用车</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辆，特种专业技术用车</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辆，其他用车</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辆，其他用车主要</w:t>
      </w:r>
      <w:r>
        <w:rPr>
          <w:rStyle w:val="11"/>
          <w:rFonts w:hint="eastAsia" w:ascii="仿宋" w:hAnsi="仿宋" w:eastAsia="仿宋"/>
          <w:b w:val="0"/>
          <w:i w:val="0"/>
          <w:caps w:val="0"/>
          <w:spacing w:val="0"/>
          <w:w w:val="100"/>
          <w:kern w:val="2"/>
          <w:sz w:val="32"/>
          <w:szCs w:val="32"/>
          <w:lang w:val="en-US" w:eastAsia="zh-CN" w:bidi="ar-SA"/>
        </w:rPr>
        <w:t>0辆</w:t>
      </w:r>
      <w:r>
        <w:rPr>
          <w:rStyle w:val="11"/>
          <w:rFonts w:ascii="仿宋" w:hAnsi="仿宋" w:eastAsia="仿宋"/>
          <w:b w:val="0"/>
          <w:i w:val="0"/>
          <w:caps w:val="0"/>
          <w:spacing w:val="0"/>
          <w:w w:val="100"/>
          <w:kern w:val="2"/>
          <w:sz w:val="32"/>
          <w:szCs w:val="32"/>
          <w:lang w:val="en-US" w:eastAsia="zh-CN" w:bidi="ar-SA"/>
        </w:rPr>
        <w:t>；单位价值50万元以上通用设备</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台（套），单价100万元以上专用设备</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台（套）。</w:t>
      </w:r>
    </w:p>
    <w:p w14:paraId="472FA4D9">
      <w:pPr>
        <w:snapToGrid/>
        <w:spacing w:before="0" w:beforeAutospacing="0" w:after="0" w:afterAutospacing="0" w:line="540" w:lineRule="exact"/>
        <w:ind w:firstLine="643" w:firstLineChars="200"/>
        <w:jc w:val="both"/>
        <w:textAlignment w:val="baseline"/>
        <w:rPr>
          <w:rFonts w:ascii="楷体_GB2312" w:hAnsi="宋体" w:eastAsia="楷体_GB2312"/>
          <w:b/>
          <w:i w:val="0"/>
          <w:caps w:val="0"/>
          <w:spacing w:val="0"/>
          <w:w w:val="100"/>
          <w:kern w:val="2"/>
          <w:sz w:val="32"/>
          <w:szCs w:val="32"/>
          <w:lang w:val="en-US" w:eastAsia="zh-CN" w:bidi="ar-SA"/>
        </w:rPr>
      </w:pPr>
      <w:r>
        <w:rPr>
          <w:rStyle w:val="11"/>
          <w:rFonts w:ascii="楷体_GB2312" w:hAnsi="宋体" w:eastAsia="楷体_GB2312"/>
          <w:b/>
          <w:i w:val="0"/>
          <w:caps w:val="0"/>
          <w:spacing w:val="0"/>
          <w:w w:val="100"/>
          <w:kern w:val="2"/>
          <w:sz w:val="32"/>
          <w:szCs w:val="32"/>
          <w:lang w:val="en-US" w:eastAsia="zh-CN" w:bidi="ar-SA"/>
        </w:rPr>
        <w:t>（四）预算绩效管理工作开展情况。</w:t>
      </w:r>
    </w:p>
    <w:p w14:paraId="6FB820F7">
      <w:pPr>
        <w:snapToGrid/>
        <w:spacing w:before="0" w:beforeAutospacing="0" w:after="0" w:afterAutospacing="0" w:line="540" w:lineRule="exact"/>
        <w:ind w:firstLine="640" w:firstLineChars="200"/>
        <w:jc w:val="both"/>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val="0"/>
          <w:i w:val="0"/>
          <w:caps w:val="0"/>
          <w:spacing w:val="0"/>
          <w:w w:val="100"/>
          <w:kern w:val="2"/>
          <w:sz w:val="32"/>
          <w:szCs w:val="32"/>
          <w:lang w:val="en-US" w:eastAsia="zh-CN" w:bidi="ar-SA"/>
        </w:rPr>
        <w:t>根据财政预算管理要求，我部组织对2018年度预算项目支出全面开展绩效自评，共涉及预算支出项目</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个，涉及资金</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万元，自评覆盖率（开展绩效自评的项目数/年初批复绩效目标的项目数）达到</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%，自评平均分（开展绩效自评的项目分数总和/开展绩效自评的项目数）</w:t>
      </w:r>
      <w:r>
        <w:rPr>
          <w:rStyle w:val="11"/>
          <w:rFonts w:hint="eastAsia" w:ascii="仿宋" w:hAnsi="仿宋" w:eastAsia="仿宋"/>
          <w:b w:val="0"/>
          <w:i w:val="0"/>
          <w:caps w:val="0"/>
          <w:spacing w:val="0"/>
          <w:w w:val="100"/>
          <w:kern w:val="2"/>
          <w:sz w:val="32"/>
          <w:szCs w:val="32"/>
          <w:lang w:val="en-US" w:eastAsia="zh-CN" w:bidi="ar-SA"/>
        </w:rPr>
        <w:t>0</w:t>
      </w:r>
      <w:r>
        <w:rPr>
          <w:rStyle w:val="11"/>
          <w:rFonts w:ascii="仿宋" w:hAnsi="仿宋" w:eastAsia="仿宋"/>
          <w:b w:val="0"/>
          <w:i w:val="0"/>
          <w:caps w:val="0"/>
          <w:spacing w:val="0"/>
          <w:w w:val="100"/>
          <w:kern w:val="2"/>
          <w:sz w:val="32"/>
          <w:szCs w:val="32"/>
          <w:lang w:val="en-US" w:eastAsia="zh-CN" w:bidi="ar-SA"/>
        </w:rPr>
        <w:t>分。</w:t>
      </w:r>
    </w:p>
    <w:p w14:paraId="10A42CA6">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p>
    <w:p w14:paraId="18DEFE05">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p>
    <w:p w14:paraId="0C906ABF">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p>
    <w:p w14:paraId="054BF50F">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p>
    <w:p w14:paraId="068DC3DC">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p>
    <w:p w14:paraId="7435C015">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p>
    <w:p w14:paraId="19122B83">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p>
    <w:p w14:paraId="56331583">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p>
    <w:p w14:paraId="7776F8A3">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p>
    <w:p w14:paraId="26627BB1">
      <w:pPr>
        <w:snapToGrid/>
        <w:spacing w:before="0" w:beforeAutospacing="0" w:after="0" w:afterAutospacing="0" w:line="540" w:lineRule="exact"/>
        <w:jc w:val="center"/>
        <w:textAlignment w:val="baseline"/>
        <w:rPr>
          <w:rFonts w:ascii="宋体" w:hAnsi="宋体"/>
          <w:b/>
          <w:i w:val="0"/>
          <w:caps w:val="0"/>
          <w:spacing w:val="0"/>
          <w:w w:val="100"/>
          <w:kern w:val="2"/>
          <w:sz w:val="36"/>
          <w:szCs w:val="36"/>
          <w:lang w:val="en-US" w:eastAsia="zh-CN" w:bidi="ar-SA"/>
        </w:rPr>
      </w:pPr>
      <w:r>
        <w:rPr>
          <w:rStyle w:val="11"/>
          <w:rFonts w:ascii="宋体" w:hAnsi="宋体"/>
          <w:b/>
          <w:i w:val="0"/>
          <w:caps w:val="0"/>
          <w:spacing w:val="0"/>
          <w:w w:val="100"/>
          <w:kern w:val="2"/>
          <w:sz w:val="36"/>
          <w:szCs w:val="36"/>
          <w:lang w:val="en-US" w:eastAsia="zh-CN" w:bidi="ar-SA"/>
        </w:rPr>
        <w:t>第四部分 名词解释</w:t>
      </w:r>
    </w:p>
    <w:p w14:paraId="052C5922">
      <w:pPr>
        <w:snapToGrid/>
        <w:spacing w:before="0" w:beforeAutospacing="0" w:after="0" w:afterAutospacing="0" w:line="540" w:lineRule="exact"/>
        <w:ind w:firstLine="540" w:firstLineChars="150"/>
        <w:jc w:val="left"/>
        <w:textAlignment w:val="baseline"/>
        <w:rPr>
          <w:rFonts w:ascii="黑体" w:eastAsia="黑体"/>
          <w:b w:val="0"/>
          <w:i w:val="0"/>
          <w:caps w:val="0"/>
          <w:spacing w:val="0"/>
          <w:w w:val="100"/>
          <w:kern w:val="2"/>
          <w:sz w:val="36"/>
          <w:szCs w:val="36"/>
          <w:lang w:val="en-US" w:eastAsia="zh-CN" w:bidi="ar-SA"/>
        </w:rPr>
      </w:pPr>
    </w:p>
    <w:p w14:paraId="4876F73A">
      <w:pPr>
        <w:snapToGrid/>
        <w:spacing w:before="0" w:beforeAutospacing="0" w:after="0" w:afterAutospacing="0" w:line="540" w:lineRule="exact"/>
        <w:ind w:firstLine="482" w:firstLineChars="15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1.财政拨款收入：</w:t>
      </w:r>
      <w:r>
        <w:rPr>
          <w:rStyle w:val="11"/>
          <w:rFonts w:ascii="仿宋" w:hAnsi="仿宋" w:eastAsia="仿宋"/>
          <w:b w:val="0"/>
          <w:i w:val="0"/>
          <w:caps w:val="0"/>
          <w:spacing w:val="0"/>
          <w:w w:val="100"/>
          <w:kern w:val="2"/>
          <w:sz w:val="32"/>
          <w:szCs w:val="32"/>
          <w:lang w:val="en-US" w:eastAsia="zh-CN" w:bidi="ar-SA"/>
        </w:rPr>
        <w:t>指单位从同级财政部门取得的财政预算资金。</w:t>
      </w:r>
    </w:p>
    <w:p w14:paraId="14B99262">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2.上级补助收入：</w:t>
      </w:r>
      <w:r>
        <w:rPr>
          <w:rStyle w:val="11"/>
          <w:rFonts w:ascii="仿宋" w:hAnsi="仿宋" w:eastAsia="仿宋"/>
          <w:b w:val="0"/>
          <w:i w:val="0"/>
          <w:caps w:val="0"/>
          <w:spacing w:val="0"/>
          <w:w w:val="100"/>
          <w:kern w:val="2"/>
          <w:sz w:val="32"/>
          <w:szCs w:val="32"/>
          <w:lang w:val="en-US" w:eastAsia="zh-CN" w:bidi="ar-SA"/>
        </w:rPr>
        <w:t>指单位从主管部门和上级单位取得的非财政性补助收入。</w:t>
      </w:r>
    </w:p>
    <w:p w14:paraId="68416D90">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3.事业收入：</w:t>
      </w:r>
      <w:r>
        <w:rPr>
          <w:rStyle w:val="11"/>
          <w:rFonts w:ascii="仿宋" w:hAnsi="仿宋" w:eastAsia="仿宋"/>
          <w:b w:val="0"/>
          <w:i w:val="0"/>
          <w:caps w:val="0"/>
          <w:spacing w:val="0"/>
          <w:w w:val="100"/>
          <w:kern w:val="2"/>
          <w:sz w:val="32"/>
          <w:szCs w:val="32"/>
          <w:lang w:val="en-US" w:eastAsia="zh-CN" w:bidi="ar-SA"/>
        </w:rPr>
        <w:t>指事业单位开展专业业务活动及辅助活动所取得的收入。</w:t>
      </w:r>
    </w:p>
    <w:p w14:paraId="3F1E6043">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4.经营收入：</w:t>
      </w:r>
      <w:r>
        <w:rPr>
          <w:rStyle w:val="11"/>
          <w:rFonts w:ascii="仿宋" w:hAnsi="仿宋" w:eastAsia="仿宋"/>
          <w:b w:val="0"/>
          <w:i w:val="0"/>
          <w:caps w:val="0"/>
          <w:spacing w:val="0"/>
          <w:w w:val="100"/>
          <w:kern w:val="2"/>
          <w:sz w:val="32"/>
          <w:szCs w:val="32"/>
          <w:lang w:val="en-US" w:eastAsia="zh-CN" w:bidi="ar-SA"/>
        </w:rPr>
        <w:t>指事业单位在专业业务活动及辅助活动之外开展非独立核算经营活动取得的收入。</w:t>
      </w:r>
    </w:p>
    <w:p w14:paraId="04F1313A">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5.附属单位上缴收入：</w:t>
      </w:r>
      <w:r>
        <w:rPr>
          <w:rStyle w:val="11"/>
          <w:rFonts w:ascii="仿宋" w:hAnsi="仿宋" w:eastAsia="仿宋"/>
          <w:b w:val="0"/>
          <w:i w:val="0"/>
          <w:caps w:val="0"/>
          <w:spacing w:val="0"/>
          <w:w w:val="100"/>
          <w:kern w:val="2"/>
          <w:sz w:val="32"/>
          <w:szCs w:val="32"/>
          <w:lang w:val="en-US" w:eastAsia="zh-CN" w:bidi="ar-SA"/>
        </w:rPr>
        <w:t>指单位附属的独立核算单位按照规定上缴的收入。</w:t>
      </w:r>
    </w:p>
    <w:p w14:paraId="3A6A2E07">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6.其他收入：</w:t>
      </w:r>
      <w:r>
        <w:rPr>
          <w:rStyle w:val="11"/>
          <w:rFonts w:ascii="仿宋" w:hAnsi="仿宋" w:eastAsia="仿宋"/>
          <w:b w:val="0"/>
          <w:i w:val="0"/>
          <w:caps w:val="0"/>
          <w:spacing w:val="0"/>
          <w:w w:val="100"/>
          <w:kern w:val="2"/>
          <w:sz w:val="32"/>
          <w:szCs w:val="32"/>
          <w:lang w:val="en-US" w:eastAsia="zh-CN" w:bidi="ar-SA"/>
        </w:rPr>
        <w:t>指除上述“财政拨款收入”、</w:t>
      </w:r>
      <w:r>
        <w:rPr>
          <w:rStyle w:val="11"/>
          <w:rFonts w:ascii="仿宋" w:hAnsi="仿宋" w:eastAsia="仿宋"/>
          <w:b/>
          <w:i w:val="0"/>
          <w:caps w:val="0"/>
          <w:spacing w:val="0"/>
          <w:w w:val="100"/>
          <w:kern w:val="2"/>
          <w:sz w:val="32"/>
          <w:szCs w:val="32"/>
          <w:lang w:val="en-US" w:eastAsia="zh-CN" w:bidi="ar-SA"/>
        </w:rPr>
        <w:t xml:space="preserve"> </w:t>
      </w:r>
      <w:r>
        <w:rPr>
          <w:rStyle w:val="11"/>
          <w:rFonts w:ascii="仿宋" w:hAnsi="仿宋" w:eastAsia="仿宋"/>
          <w:b w:val="0"/>
          <w:i w:val="0"/>
          <w:caps w:val="0"/>
          <w:spacing w:val="0"/>
          <w:w w:val="100"/>
          <w:kern w:val="2"/>
          <w:sz w:val="32"/>
          <w:szCs w:val="32"/>
          <w:lang w:val="en-US" w:eastAsia="zh-CN" w:bidi="ar-SA"/>
        </w:rPr>
        <w:t>“上级补助收入”、“事业收入”、“经营收入”、“附属单位上缴收入”等以外的收入。</w:t>
      </w:r>
    </w:p>
    <w:p w14:paraId="3F3DAFA8">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7.用事业基金弥补收支差额：</w:t>
      </w:r>
      <w:r>
        <w:rPr>
          <w:rStyle w:val="11"/>
          <w:rFonts w:ascii="仿宋" w:hAnsi="仿宋" w:eastAsia="仿宋"/>
          <w:b w:val="0"/>
          <w:i w:val="0"/>
          <w:caps w:val="0"/>
          <w:spacing w:val="0"/>
          <w:w w:val="100"/>
          <w:kern w:val="2"/>
          <w:sz w:val="32"/>
          <w:szCs w:val="32"/>
          <w:lang w:val="en-US" w:eastAsia="zh-CN" w:bidi="ar-SA"/>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5367858E">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8.上年结转和结余：</w:t>
      </w:r>
      <w:r>
        <w:rPr>
          <w:rStyle w:val="11"/>
          <w:rFonts w:ascii="仿宋" w:hAnsi="仿宋" w:eastAsia="仿宋"/>
          <w:b w:val="0"/>
          <w:i w:val="0"/>
          <w:caps w:val="0"/>
          <w:spacing w:val="0"/>
          <w:w w:val="100"/>
          <w:kern w:val="2"/>
          <w:sz w:val="32"/>
          <w:szCs w:val="32"/>
          <w:lang w:val="en-US" w:eastAsia="zh-CN" w:bidi="ar-SA"/>
        </w:rPr>
        <w:t>指以前年度尚未完成、结转到本年按有关规定继续使用的资金。</w:t>
      </w:r>
    </w:p>
    <w:p w14:paraId="06116924">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9.基本支出：</w:t>
      </w:r>
      <w:r>
        <w:rPr>
          <w:rStyle w:val="11"/>
          <w:rFonts w:ascii="仿宋" w:hAnsi="仿宋" w:eastAsia="仿宋"/>
          <w:b w:val="0"/>
          <w:i w:val="0"/>
          <w:caps w:val="0"/>
          <w:spacing w:val="0"/>
          <w:w w:val="100"/>
          <w:kern w:val="2"/>
          <w:sz w:val="32"/>
          <w:szCs w:val="32"/>
          <w:lang w:val="en-US" w:eastAsia="zh-CN" w:bidi="ar-SA"/>
        </w:rPr>
        <w:t>指保障机构正常运转、完成日常工作任务而发生的人员支出和公用支出。</w:t>
      </w:r>
    </w:p>
    <w:p w14:paraId="57D53462">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10.项目支出：</w:t>
      </w:r>
      <w:r>
        <w:rPr>
          <w:rStyle w:val="11"/>
          <w:rFonts w:ascii="仿宋" w:hAnsi="仿宋" w:eastAsia="仿宋"/>
          <w:b w:val="0"/>
          <w:i w:val="0"/>
          <w:caps w:val="0"/>
          <w:spacing w:val="0"/>
          <w:w w:val="100"/>
          <w:kern w:val="2"/>
          <w:sz w:val="32"/>
          <w:szCs w:val="32"/>
          <w:lang w:val="en-US" w:eastAsia="zh-CN" w:bidi="ar-SA"/>
        </w:rPr>
        <w:t>指在基本支出之外为完成特定行政任务和事业发展目标所发生的支出。</w:t>
      </w:r>
    </w:p>
    <w:p w14:paraId="620FA04F">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11.上缴上级支出：</w:t>
      </w:r>
      <w:r>
        <w:rPr>
          <w:rStyle w:val="11"/>
          <w:rFonts w:ascii="仿宋" w:hAnsi="仿宋" w:eastAsia="仿宋"/>
          <w:b w:val="0"/>
          <w:i w:val="0"/>
          <w:caps w:val="0"/>
          <w:spacing w:val="0"/>
          <w:w w:val="100"/>
          <w:kern w:val="2"/>
          <w:sz w:val="32"/>
          <w:szCs w:val="32"/>
          <w:lang w:val="en-US" w:eastAsia="zh-CN" w:bidi="ar-SA"/>
        </w:rPr>
        <w:t>指事业单位按照财政部门和主管部门的规定上缴上级单位的支出。</w:t>
      </w:r>
    </w:p>
    <w:p w14:paraId="4840CA3C">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12.经营支出：</w:t>
      </w:r>
      <w:r>
        <w:rPr>
          <w:rStyle w:val="11"/>
          <w:rFonts w:ascii="仿宋" w:hAnsi="仿宋" w:eastAsia="仿宋"/>
          <w:b w:val="0"/>
          <w:i w:val="0"/>
          <w:caps w:val="0"/>
          <w:spacing w:val="0"/>
          <w:w w:val="100"/>
          <w:kern w:val="2"/>
          <w:sz w:val="32"/>
          <w:szCs w:val="32"/>
          <w:lang w:val="en-US" w:eastAsia="zh-CN" w:bidi="ar-SA"/>
        </w:rPr>
        <w:t>指事业单位在专业活动及辅助活动之外开展非独立核算经营活动发生的支出。</w:t>
      </w:r>
    </w:p>
    <w:p w14:paraId="193FE761">
      <w:pPr>
        <w:snapToGrid/>
        <w:spacing w:before="0" w:beforeAutospacing="0" w:after="0" w:afterAutospacing="0" w:line="540" w:lineRule="exact"/>
        <w:ind w:firstLine="643" w:firstLineChars="200"/>
        <w:jc w:val="left"/>
        <w:textAlignment w:val="baseline"/>
        <w:rPr>
          <w:rFonts w:ascii="仿宋" w:hAnsi="仿宋" w:eastAsia="仿宋"/>
          <w:b/>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13.对附属单位补助支出：</w:t>
      </w:r>
      <w:r>
        <w:rPr>
          <w:rStyle w:val="11"/>
          <w:rFonts w:ascii="仿宋" w:hAnsi="仿宋" w:eastAsia="仿宋"/>
          <w:b w:val="0"/>
          <w:i w:val="0"/>
          <w:caps w:val="0"/>
          <w:spacing w:val="0"/>
          <w:w w:val="100"/>
          <w:kern w:val="2"/>
          <w:sz w:val="32"/>
          <w:szCs w:val="32"/>
          <w:lang w:val="en-US" w:eastAsia="zh-CN" w:bidi="ar-SA"/>
        </w:rPr>
        <w:t>指事业单位用财政补助收入之外的收入对附属单位补助发生的支出。</w:t>
      </w:r>
    </w:p>
    <w:p w14:paraId="0C6786D3">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14.“三公”经费：</w:t>
      </w:r>
      <w:r>
        <w:rPr>
          <w:rStyle w:val="11"/>
          <w:rFonts w:ascii="仿宋" w:hAnsi="仿宋" w:eastAsia="仿宋"/>
          <w:b w:val="0"/>
          <w:i w:val="0"/>
          <w:caps w:val="0"/>
          <w:spacing w:val="0"/>
          <w:w w:val="100"/>
          <w:kern w:val="2"/>
          <w:sz w:val="32"/>
          <w:szCs w:val="32"/>
          <w:lang w:val="en-US" w:eastAsia="zh-CN" w:bidi="ar-SA"/>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0D94BD8">
      <w:pPr>
        <w:snapToGrid/>
        <w:spacing w:before="0" w:beforeAutospacing="0" w:after="0" w:afterAutospacing="0" w:line="540" w:lineRule="exact"/>
        <w:ind w:firstLine="643" w:firstLineChars="200"/>
        <w:jc w:val="left"/>
        <w:textAlignment w:val="baseline"/>
        <w:rPr>
          <w:rFonts w:ascii="仿宋" w:hAnsi="仿宋" w:eastAsia="仿宋"/>
          <w:b/>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15.一般公共服务（类）财政事务（款）行政运行（项）：</w:t>
      </w:r>
      <w:r>
        <w:rPr>
          <w:rStyle w:val="11"/>
          <w:rFonts w:ascii="仿宋" w:hAnsi="仿宋" w:eastAsia="仿宋"/>
          <w:b w:val="0"/>
          <w:i w:val="0"/>
          <w:caps w:val="0"/>
          <w:spacing w:val="0"/>
          <w:w w:val="100"/>
          <w:kern w:val="2"/>
          <w:sz w:val="32"/>
          <w:szCs w:val="32"/>
          <w:lang w:val="en-US" w:eastAsia="zh-CN" w:bidi="ar-SA"/>
        </w:rPr>
        <w:t>反映行政单位（包括实行公务员管理的事业单位）的基本支出。</w:t>
      </w:r>
    </w:p>
    <w:p w14:paraId="0FD11C05">
      <w:pPr>
        <w:snapToGrid/>
        <w:spacing w:before="0" w:beforeAutospacing="0" w:after="0" w:afterAutospacing="0" w:line="540" w:lineRule="exact"/>
        <w:ind w:firstLine="643" w:firstLineChars="200"/>
        <w:jc w:val="left"/>
        <w:textAlignment w:val="baseline"/>
        <w:rPr>
          <w:rFonts w:ascii="仿宋" w:hAnsi="仿宋" w:eastAsia="仿宋"/>
          <w:b/>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16.一般公共服务（类）财政事务（款）一般行政管理事务（项）：</w:t>
      </w:r>
      <w:r>
        <w:rPr>
          <w:rStyle w:val="11"/>
          <w:rFonts w:ascii="仿宋" w:hAnsi="仿宋" w:eastAsia="仿宋"/>
          <w:b w:val="0"/>
          <w:i w:val="0"/>
          <w:caps w:val="0"/>
          <w:spacing w:val="0"/>
          <w:w w:val="100"/>
          <w:kern w:val="2"/>
          <w:sz w:val="32"/>
          <w:szCs w:val="32"/>
          <w:lang w:val="en-US" w:eastAsia="zh-CN" w:bidi="ar-SA"/>
        </w:rPr>
        <w:t>反映行政单位（包括实行公务员管理的事业单位）未单独设置项级科目的其他项目支出。</w:t>
      </w:r>
    </w:p>
    <w:p w14:paraId="31BCEC66">
      <w:pPr>
        <w:snapToGrid/>
        <w:spacing w:before="0" w:beforeAutospacing="0" w:after="0" w:afterAutospacing="0" w:line="540" w:lineRule="exact"/>
        <w:ind w:firstLine="643" w:firstLineChars="200"/>
        <w:jc w:val="left"/>
        <w:textAlignment w:val="baseline"/>
        <w:rPr>
          <w:rFonts w:ascii="仿宋" w:hAnsi="仿宋" w:eastAsia="仿宋"/>
          <w:b/>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17.一般公共服务（类）财政事务（款）预算改革业务（项）：</w:t>
      </w:r>
      <w:r>
        <w:rPr>
          <w:rStyle w:val="11"/>
          <w:rFonts w:ascii="仿宋" w:hAnsi="仿宋" w:eastAsia="仿宋"/>
          <w:b w:val="0"/>
          <w:i w:val="0"/>
          <w:caps w:val="0"/>
          <w:spacing w:val="0"/>
          <w:w w:val="100"/>
          <w:kern w:val="2"/>
          <w:sz w:val="32"/>
          <w:szCs w:val="32"/>
          <w:lang w:val="en-US" w:eastAsia="zh-CN" w:bidi="ar-SA"/>
        </w:rPr>
        <w:t>反映财政部门用于预算改革方面的支出。</w:t>
      </w:r>
    </w:p>
    <w:p w14:paraId="3B8D2E67">
      <w:pPr>
        <w:snapToGrid/>
        <w:spacing w:before="0" w:beforeAutospacing="0" w:after="0" w:afterAutospacing="0" w:line="540" w:lineRule="exact"/>
        <w:ind w:firstLine="643" w:firstLineChars="200"/>
        <w:jc w:val="left"/>
        <w:textAlignment w:val="baseline"/>
        <w:rPr>
          <w:rFonts w:ascii="仿宋" w:hAnsi="仿宋" w:eastAsia="仿宋"/>
          <w:b/>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18.一般公共服务（类）财政事务（款）财政国库业务（项）：</w:t>
      </w:r>
      <w:r>
        <w:rPr>
          <w:rStyle w:val="11"/>
          <w:rFonts w:ascii="仿宋" w:hAnsi="仿宋" w:eastAsia="仿宋"/>
          <w:b w:val="0"/>
          <w:i w:val="0"/>
          <w:caps w:val="0"/>
          <w:spacing w:val="0"/>
          <w:w w:val="100"/>
          <w:kern w:val="2"/>
          <w:sz w:val="32"/>
          <w:szCs w:val="32"/>
          <w:lang w:val="en-US" w:eastAsia="zh-CN" w:bidi="ar-SA"/>
        </w:rPr>
        <w:t>反映财政部门用于财政国库集中收付业务方面的支出。</w:t>
      </w:r>
    </w:p>
    <w:p w14:paraId="4DA41FF6">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19.一般公共服务（类）财政事务（款）信息化建设支出（项）：</w:t>
      </w:r>
      <w:r>
        <w:rPr>
          <w:rStyle w:val="11"/>
          <w:rFonts w:ascii="仿宋" w:hAnsi="仿宋" w:eastAsia="仿宋"/>
          <w:b w:val="0"/>
          <w:i w:val="0"/>
          <w:caps w:val="0"/>
          <w:spacing w:val="0"/>
          <w:w w:val="100"/>
          <w:kern w:val="2"/>
          <w:sz w:val="32"/>
          <w:szCs w:val="32"/>
          <w:lang w:val="en-US" w:eastAsia="zh-CN" w:bidi="ar-SA"/>
        </w:rPr>
        <w:t>反映财政部门用于“金财工程”等信息化建设方面的支出。</w:t>
      </w:r>
    </w:p>
    <w:p w14:paraId="70D4A683">
      <w:pPr>
        <w:snapToGrid/>
        <w:spacing w:before="0" w:beforeAutospacing="0" w:after="0" w:afterAutospacing="0" w:line="540" w:lineRule="exact"/>
        <w:ind w:firstLine="643" w:firstLineChars="200"/>
        <w:jc w:val="left"/>
        <w:textAlignment w:val="baseline"/>
        <w:rPr>
          <w:rFonts w:ascii="仿宋" w:hAnsi="仿宋" w:eastAsia="仿宋"/>
          <w:b/>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20.一般公共服务（类）财政事务（款）事业运行（项）：</w:t>
      </w:r>
      <w:r>
        <w:rPr>
          <w:rStyle w:val="11"/>
          <w:rFonts w:ascii="仿宋" w:hAnsi="仿宋" w:eastAsia="仿宋"/>
          <w:b w:val="0"/>
          <w:i w:val="0"/>
          <w:caps w:val="0"/>
          <w:spacing w:val="0"/>
          <w:w w:val="100"/>
          <w:kern w:val="2"/>
          <w:sz w:val="32"/>
          <w:szCs w:val="32"/>
          <w:lang w:val="en-US" w:eastAsia="zh-CN" w:bidi="ar-SA"/>
        </w:rPr>
        <w:t>反映事业单位的基本支出，不包括行政单位（包括实行公务员管理的事业单位）后勤服务中心、医务室等附属事业单位。</w:t>
      </w:r>
    </w:p>
    <w:p w14:paraId="042765D7">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21.一般公共服务（类）财政事务（款）其他财政事务支出（项）：</w:t>
      </w:r>
      <w:r>
        <w:rPr>
          <w:rStyle w:val="11"/>
          <w:rFonts w:ascii="仿宋" w:hAnsi="仿宋" w:eastAsia="仿宋"/>
          <w:b w:val="0"/>
          <w:i w:val="0"/>
          <w:caps w:val="0"/>
          <w:spacing w:val="0"/>
          <w:w w:val="100"/>
          <w:kern w:val="2"/>
          <w:sz w:val="32"/>
          <w:szCs w:val="32"/>
          <w:lang w:val="en-US" w:eastAsia="zh-CN" w:bidi="ar-SA"/>
        </w:rPr>
        <w:t>反映除上述项目以外其他财政事务方面的支出。</w:t>
      </w:r>
    </w:p>
    <w:p w14:paraId="0D484528">
      <w:pPr>
        <w:snapToGrid/>
        <w:spacing w:before="0" w:beforeAutospacing="0" w:after="0" w:afterAutospacing="0" w:line="540" w:lineRule="exact"/>
        <w:ind w:firstLine="643" w:firstLineChars="200"/>
        <w:jc w:val="left"/>
        <w:textAlignment w:val="baseline"/>
        <w:rPr>
          <w:rFonts w:ascii="仿宋" w:hAnsi="仿宋" w:eastAsia="仿宋"/>
          <w:b/>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22.社会保障和就业（类）行政事业单位离退休（款）归口管理的行政单位离退休（项）：</w:t>
      </w:r>
      <w:r>
        <w:rPr>
          <w:rStyle w:val="11"/>
          <w:rFonts w:ascii="仿宋" w:hAnsi="仿宋" w:eastAsia="仿宋"/>
          <w:b w:val="0"/>
          <w:i w:val="0"/>
          <w:caps w:val="0"/>
          <w:spacing w:val="0"/>
          <w:w w:val="100"/>
          <w:kern w:val="2"/>
          <w:sz w:val="32"/>
          <w:szCs w:val="32"/>
          <w:lang w:val="en-US" w:eastAsia="zh-CN" w:bidi="ar-SA"/>
        </w:rPr>
        <w:t>反映实行归口管理的行政单位（包括实行公务员管理的事业单位）开支的离退休经费。</w:t>
      </w:r>
    </w:p>
    <w:p w14:paraId="5B84003B">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23.社会保障和就业（类）行政事业单位离退休（款）事业单位离退休（项）：</w:t>
      </w:r>
      <w:r>
        <w:rPr>
          <w:rStyle w:val="11"/>
          <w:rFonts w:ascii="仿宋" w:hAnsi="仿宋" w:eastAsia="仿宋"/>
          <w:b w:val="0"/>
          <w:i w:val="0"/>
          <w:caps w:val="0"/>
          <w:spacing w:val="0"/>
          <w:w w:val="100"/>
          <w:kern w:val="2"/>
          <w:sz w:val="32"/>
          <w:szCs w:val="32"/>
          <w:lang w:val="en-US" w:eastAsia="zh-CN" w:bidi="ar-SA"/>
        </w:rPr>
        <w:t>反映实行归口管理的事业单位开支的离退休经费。</w:t>
      </w:r>
    </w:p>
    <w:p w14:paraId="5A1DB3D5">
      <w:pPr>
        <w:snapToGrid/>
        <w:spacing w:before="0" w:beforeAutospacing="0" w:after="0" w:afterAutospacing="0" w:line="540" w:lineRule="exact"/>
        <w:ind w:firstLine="643" w:firstLineChars="200"/>
        <w:jc w:val="left"/>
        <w:textAlignment w:val="baseline"/>
        <w:rPr>
          <w:rFonts w:ascii="仿宋" w:hAnsi="仿宋" w:eastAsia="仿宋"/>
          <w:b/>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24.社会保障和就业（类）抚恤（款）死亡抚恤（项）：</w:t>
      </w:r>
      <w:r>
        <w:rPr>
          <w:rStyle w:val="11"/>
          <w:rFonts w:ascii="仿宋" w:hAnsi="仿宋" w:eastAsia="仿宋"/>
          <w:b w:val="0"/>
          <w:i w:val="0"/>
          <w:caps w:val="0"/>
          <w:spacing w:val="0"/>
          <w:w w:val="100"/>
          <w:kern w:val="2"/>
          <w:sz w:val="32"/>
          <w:szCs w:val="32"/>
          <w:lang w:val="en-US" w:eastAsia="zh-CN" w:bidi="ar-SA"/>
        </w:rPr>
        <w:t>反映按规定用于烈士和牺牲、病故人员家属的一次性和定期抚恤金以及丧葬补助费。</w:t>
      </w:r>
    </w:p>
    <w:p w14:paraId="54644FD8">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25.社会保障和就业（类）抚恤（款）伤残抚恤（项）：</w:t>
      </w:r>
      <w:r>
        <w:rPr>
          <w:rStyle w:val="11"/>
          <w:rFonts w:ascii="仿宋" w:hAnsi="仿宋" w:eastAsia="仿宋"/>
          <w:b w:val="0"/>
          <w:i w:val="0"/>
          <w:caps w:val="0"/>
          <w:spacing w:val="0"/>
          <w:w w:val="100"/>
          <w:kern w:val="2"/>
          <w:sz w:val="32"/>
          <w:szCs w:val="32"/>
          <w:lang w:val="en-US" w:eastAsia="zh-CN" w:bidi="ar-SA"/>
        </w:rPr>
        <w:t>反映按规定用于伤残人员的抚恤金和按规定开支的各种伤残补助费。</w:t>
      </w:r>
    </w:p>
    <w:p w14:paraId="27BD7232">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26.医疗卫生与计划生育（类）行政事业单位医疗（款）行政单位医疗（项）：</w:t>
      </w:r>
      <w:r>
        <w:rPr>
          <w:rStyle w:val="11"/>
          <w:rFonts w:ascii="仿宋" w:hAnsi="仿宋" w:eastAsia="仿宋"/>
          <w:b w:val="0"/>
          <w:i w:val="0"/>
          <w:caps w:val="0"/>
          <w:spacing w:val="0"/>
          <w:w w:val="100"/>
          <w:kern w:val="2"/>
          <w:sz w:val="32"/>
          <w:szCs w:val="32"/>
          <w:lang w:val="en-US" w:eastAsia="zh-CN" w:bidi="ar-SA"/>
        </w:rPr>
        <w:t>反映财政部门集中安排的行政单位基本医疗保险缴费经费，未参加医疗保险的行政单位的公费医疗经费，按国家规定享受离休人员、红军老战士待遇人员的医疗经费。</w:t>
      </w:r>
    </w:p>
    <w:p w14:paraId="4D1E5A28">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27. 医疗卫生与计划生育（类）行政事业单位医疗（款）事业单位医疗（项）：</w:t>
      </w:r>
      <w:r>
        <w:rPr>
          <w:rStyle w:val="11"/>
          <w:rFonts w:ascii="仿宋" w:hAnsi="仿宋" w:eastAsia="仿宋"/>
          <w:b w:val="0"/>
          <w:i w:val="0"/>
          <w:caps w:val="0"/>
          <w:spacing w:val="0"/>
          <w:w w:val="100"/>
          <w:kern w:val="2"/>
          <w:sz w:val="32"/>
          <w:szCs w:val="32"/>
          <w:lang w:val="en-US" w:eastAsia="zh-CN" w:bidi="ar-SA"/>
        </w:rPr>
        <w:t>反映财政部门集中安排的事业单位基本医疗保险缴费经费，未参加医疗保险的事业单位的公费医疗经费，按国家规定享受离休人员待遇的医疗经费。</w:t>
      </w:r>
    </w:p>
    <w:p w14:paraId="6B645C1C">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28.节能环保支出（类）污染防治（款）水体（项）：</w:t>
      </w:r>
      <w:r>
        <w:rPr>
          <w:rStyle w:val="11"/>
          <w:rFonts w:ascii="仿宋" w:hAnsi="仿宋" w:eastAsia="仿宋"/>
          <w:b w:val="0"/>
          <w:i w:val="0"/>
          <w:caps w:val="0"/>
          <w:spacing w:val="0"/>
          <w:w w:val="100"/>
          <w:kern w:val="2"/>
          <w:sz w:val="32"/>
          <w:szCs w:val="32"/>
          <w:lang w:val="en-US" w:eastAsia="zh-CN" w:bidi="ar-SA"/>
        </w:rPr>
        <w:t>反映政府在排水、污水处理、水污染防治、湖库生态环境保护、水源地保护、国土江河综合整治、河流治理与保护、地下水修复与保护等方面的支出。</w:t>
      </w:r>
    </w:p>
    <w:p w14:paraId="73E1171A">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29.农林水事务（类）农业（款）其他农业支出（项）：</w:t>
      </w:r>
      <w:r>
        <w:rPr>
          <w:rStyle w:val="11"/>
          <w:rFonts w:ascii="仿宋" w:hAnsi="仿宋" w:eastAsia="仿宋"/>
          <w:b w:val="0"/>
          <w:i w:val="0"/>
          <w:caps w:val="0"/>
          <w:spacing w:val="0"/>
          <w:w w:val="100"/>
          <w:kern w:val="2"/>
          <w:sz w:val="32"/>
          <w:szCs w:val="32"/>
          <w:lang w:val="en-US" w:eastAsia="zh-CN" w:bidi="ar-SA"/>
        </w:rPr>
        <w:t>反映其他用于农业方面的支出。</w:t>
      </w:r>
    </w:p>
    <w:p w14:paraId="6C3E0C05">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30.交通运输（类）成品油价格改革对交通运输的补贴（款）成品油价格改革补贴其他支出（项）：</w:t>
      </w:r>
      <w:r>
        <w:rPr>
          <w:rStyle w:val="11"/>
          <w:rFonts w:ascii="仿宋" w:hAnsi="仿宋" w:eastAsia="仿宋"/>
          <w:b w:val="0"/>
          <w:i w:val="0"/>
          <w:caps w:val="0"/>
          <w:spacing w:val="0"/>
          <w:w w:val="100"/>
          <w:kern w:val="2"/>
          <w:sz w:val="32"/>
          <w:szCs w:val="32"/>
          <w:lang w:val="en-US" w:eastAsia="zh-CN" w:bidi="ar-SA"/>
        </w:rPr>
        <w:t>反映成品油价格改革财政补贴对其他方面的支出。</w:t>
      </w:r>
    </w:p>
    <w:p w14:paraId="647E170F">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31.资源勘探信息等支出（类）工业和信息产业监管（款）其他工业和信息产业监管支出（项）：</w:t>
      </w:r>
      <w:r>
        <w:rPr>
          <w:rStyle w:val="11"/>
          <w:rFonts w:ascii="仿宋" w:hAnsi="仿宋" w:eastAsia="仿宋"/>
          <w:b w:val="0"/>
          <w:i w:val="0"/>
          <w:caps w:val="0"/>
          <w:spacing w:val="0"/>
          <w:w w:val="100"/>
          <w:kern w:val="2"/>
          <w:sz w:val="32"/>
          <w:szCs w:val="32"/>
          <w:lang w:val="en-US" w:eastAsia="zh-CN" w:bidi="ar-SA"/>
        </w:rPr>
        <w:t>反映其他用于工业和信息产业监管方面的支出。</w:t>
      </w:r>
    </w:p>
    <w:p w14:paraId="5274A93A">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32.援助其他地区支出（类）其他支出（款）其他（项）：</w:t>
      </w:r>
      <w:r>
        <w:rPr>
          <w:rStyle w:val="11"/>
          <w:rFonts w:ascii="仿宋" w:hAnsi="仿宋" w:eastAsia="仿宋"/>
          <w:b w:val="0"/>
          <w:i w:val="0"/>
          <w:caps w:val="0"/>
          <w:spacing w:val="0"/>
          <w:w w:val="100"/>
          <w:kern w:val="2"/>
          <w:sz w:val="32"/>
          <w:szCs w:val="32"/>
          <w:lang w:val="en-US" w:eastAsia="zh-CN" w:bidi="ar-SA"/>
        </w:rPr>
        <w:t>反映援助其他地区资金中的其他支出。</w:t>
      </w:r>
    </w:p>
    <w:p w14:paraId="789CC9E1">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33. 国土海洋气象等支出（类）国土资源事务（款）其他国土资源事务支出（项）：</w:t>
      </w:r>
      <w:r>
        <w:rPr>
          <w:rStyle w:val="11"/>
          <w:rFonts w:ascii="仿宋" w:hAnsi="仿宋" w:eastAsia="仿宋"/>
          <w:b w:val="0"/>
          <w:i w:val="0"/>
          <w:caps w:val="0"/>
          <w:spacing w:val="0"/>
          <w:w w:val="100"/>
          <w:kern w:val="2"/>
          <w:sz w:val="32"/>
          <w:szCs w:val="32"/>
          <w:lang w:val="en-US" w:eastAsia="zh-CN" w:bidi="ar-SA"/>
        </w:rPr>
        <w:t>反映其他用于国土资源事务方面的支出。</w:t>
      </w:r>
    </w:p>
    <w:p w14:paraId="6E29ECB7">
      <w:pPr>
        <w:snapToGrid/>
        <w:spacing w:before="0" w:beforeAutospacing="0" w:after="0" w:afterAutospacing="0" w:line="540" w:lineRule="exact"/>
        <w:ind w:firstLine="643" w:firstLineChars="200"/>
        <w:jc w:val="left"/>
        <w:textAlignment w:val="baseline"/>
        <w:rPr>
          <w:rFonts w:ascii="仿宋" w:hAnsi="仿宋" w:eastAsia="仿宋"/>
          <w:b/>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34.住房保障（类）住房改革（款）住房公积金（项）：</w:t>
      </w:r>
      <w:r>
        <w:rPr>
          <w:rStyle w:val="11"/>
          <w:rFonts w:ascii="仿宋" w:hAnsi="仿宋" w:eastAsia="仿宋"/>
          <w:b w:val="0"/>
          <w:i w:val="0"/>
          <w:caps w:val="0"/>
          <w:spacing w:val="0"/>
          <w:w w:val="100"/>
          <w:kern w:val="2"/>
          <w:sz w:val="32"/>
          <w:szCs w:val="32"/>
          <w:lang w:val="en-US" w:eastAsia="zh-CN" w:bidi="ar-SA"/>
        </w:rPr>
        <w:t>反映行政事业单位按人力资源和社会保障部、财政部规定的基本工资和津贴补贴以及规定比例为职工缴纳的住房公积金。</w:t>
      </w:r>
    </w:p>
    <w:p w14:paraId="03257DB5">
      <w:pPr>
        <w:snapToGrid/>
        <w:spacing w:before="0" w:beforeAutospacing="0" w:after="0" w:afterAutospacing="0" w:line="540" w:lineRule="exact"/>
        <w:ind w:firstLine="643" w:firstLineChars="200"/>
        <w:jc w:val="left"/>
        <w:textAlignment w:val="baseline"/>
        <w:rPr>
          <w:rFonts w:ascii="仿宋" w:hAnsi="仿宋" w:eastAsia="仿宋"/>
          <w:b w:val="0"/>
          <w:i w:val="0"/>
          <w:caps w:val="0"/>
          <w:spacing w:val="0"/>
          <w:w w:val="100"/>
          <w:kern w:val="2"/>
          <w:sz w:val="32"/>
          <w:szCs w:val="32"/>
          <w:lang w:val="en-US" w:eastAsia="zh-CN" w:bidi="ar-SA"/>
        </w:rPr>
      </w:pPr>
      <w:r>
        <w:rPr>
          <w:rStyle w:val="11"/>
          <w:rFonts w:ascii="仿宋" w:hAnsi="仿宋" w:eastAsia="仿宋"/>
          <w:b/>
          <w:i w:val="0"/>
          <w:caps w:val="0"/>
          <w:spacing w:val="0"/>
          <w:w w:val="100"/>
          <w:kern w:val="2"/>
          <w:sz w:val="32"/>
          <w:szCs w:val="32"/>
          <w:lang w:val="en-US" w:eastAsia="zh-CN" w:bidi="ar-SA"/>
        </w:rPr>
        <w:t>35.机关运行经费：</w:t>
      </w:r>
      <w:r>
        <w:rPr>
          <w:rStyle w:val="11"/>
          <w:rFonts w:ascii="仿宋" w:hAnsi="仿宋" w:eastAsia="仿宋"/>
          <w:b w:val="0"/>
          <w:i w:val="0"/>
          <w:caps w:val="0"/>
          <w:spacing w:val="0"/>
          <w:w w:val="100"/>
          <w:kern w:val="2"/>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footerReference r:id="rId4" w:type="even"/>
      <w:pgSz w:w="11906" w:h="16838"/>
      <w:pgMar w:top="1440" w:right="1588" w:bottom="1440" w:left="1588"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16FDC">
    <w:pPr>
      <w:pStyle w:val="2"/>
      <w:framePr w:wrap="around" w:vAnchor="margin" w:hAnchor="text" w:xAlign="center" w:yAlign="inline"/>
      <w:widowControl/>
      <w:snapToGrid w:val="0"/>
      <w:jc w:val="left"/>
      <w:textAlignment w:val="baseline"/>
      <w:rPr>
        <w:kern w:val="2"/>
        <w:sz w:val="18"/>
        <w:szCs w:val="18"/>
        <w:lang w:val="en-US" w:eastAsia="zh-CN" w:bidi="ar-SA"/>
      </w:rPr>
    </w:pPr>
  </w:p>
  <w:p w14:paraId="3D03E32B">
    <w:pPr>
      <w:pStyle w:val="2"/>
      <w:widowControl/>
      <w:snapToGrid w:val="0"/>
      <w:jc w:val="left"/>
      <w:textAlignment w:val="baseline"/>
      <w:rPr>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B7C1">
    <w:pPr>
      <w:pStyle w:val="2"/>
      <w:framePr w:wrap="around" w:vAnchor="margin" w:hAnchor="text" w:xAlign="center" w:yAlign="inline"/>
      <w:widowControl/>
      <w:snapToGrid w:val="0"/>
      <w:jc w:val="left"/>
      <w:textAlignment w:val="baseline"/>
      <w:rPr>
        <w:kern w:val="2"/>
        <w:sz w:val="18"/>
        <w:szCs w:val="18"/>
        <w:lang w:val="en-US" w:eastAsia="zh-CN" w:bidi="ar-SA"/>
      </w:rPr>
    </w:pPr>
  </w:p>
  <w:p w14:paraId="2FEFE877">
    <w:pPr>
      <w:pStyle w:val="2"/>
      <w:widowControl/>
      <w:snapToGrid w:val="0"/>
      <w:jc w:val="left"/>
      <w:textAlignment w:val="baseline"/>
      <w:rPr>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ODE1MmJmYTUxOGYxYmVhNmMyNTI0YzUwYmUwNjM2YjkifQ=="/>
  </w:docVars>
  <w:rsids>
    <w:rsidRoot w:val="00000000"/>
    <w:rsid w:val="00043812"/>
    <w:rsid w:val="00056D87"/>
    <w:rsid w:val="000946CB"/>
    <w:rsid w:val="00207DD5"/>
    <w:rsid w:val="00261F62"/>
    <w:rsid w:val="003354CF"/>
    <w:rsid w:val="00384E51"/>
    <w:rsid w:val="004B10FD"/>
    <w:rsid w:val="00526B6C"/>
    <w:rsid w:val="00615776"/>
    <w:rsid w:val="0068797A"/>
    <w:rsid w:val="006E4985"/>
    <w:rsid w:val="00707973"/>
    <w:rsid w:val="00725FF8"/>
    <w:rsid w:val="00891818"/>
    <w:rsid w:val="009A23C8"/>
    <w:rsid w:val="00A22300"/>
    <w:rsid w:val="00A27035"/>
    <w:rsid w:val="00A70CAC"/>
    <w:rsid w:val="00A918D9"/>
    <w:rsid w:val="00BD1B1F"/>
    <w:rsid w:val="00DB0124"/>
    <w:rsid w:val="00DE4622"/>
    <w:rsid w:val="00E756D0"/>
    <w:rsid w:val="00EB2D06"/>
    <w:rsid w:val="00EE55F4"/>
    <w:rsid w:val="00FD05B8"/>
    <w:rsid w:val="1C5D4192"/>
    <w:rsid w:val="207C1F2C"/>
    <w:rsid w:val="3C5B59CD"/>
    <w:rsid w:val="5B3468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uiPriority w:val="0"/>
    <w:pPr>
      <w:autoSpaceDE/>
      <w:autoSpaceDN/>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9"/>
    <w:uiPriority w:val="0"/>
    <w:pPr>
      <w:pBdr>
        <w:bottom w:val="single" w:color="000000" w:sz="6" w:space="1"/>
      </w:pBdr>
      <w:tabs>
        <w:tab w:val="center" w:pos="4153"/>
        <w:tab w:val="right" w:pos="8306"/>
      </w:tabs>
      <w:snapToGrid w:val="0"/>
      <w:jc w:val="center"/>
      <w:textAlignment w:val="baseline"/>
    </w:pPr>
    <w:rPr>
      <w:kern w:val="2"/>
      <w:sz w:val="18"/>
      <w:szCs w:val="18"/>
      <w:lang w:bidi="ar-SA"/>
    </w:rPr>
  </w:style>
  <w:style w:type="character" w:customStyle="1" w:styleId="6">
    <w:name w:val="UserStyle_1"/>
    <w:link w:val="7"/>
    <w:qFormat/>
    <w:uiPriority w:val="0"/>
    <w:rPr>
      <w:kern w:val="2"/>
      <w:sz w:val="18"/>
      <w:szCs w:val="18"/>
    </w:rPr>
  </w:style>
  <w:style w:type="paragraph" w:customStyle="1" w:styleId="7">
    <w:name w:val="Acetate"/>
    <w:basedOn w:val="1"/>
    <w:link w:val="6"/>
    <w:qFormat/>
    <w:uiPriority w:val="0"/>
    <w:pPr>
      <w:jc w:val="both"/>
      <w:textAlignment w:val="baseline"/>
    </w:pPr>
    <w:rPr>
      <w:kern w:val="2"/>
      <w:sz w:val="18"/>
      <w:szCs w:val="18"/>
      <w:lang w:bidi="ar-SA"/>
    </w:rPr>
  </w:style>
  <w:style w:type="paragraph" w:customStyle="1" w:styleId="8">
    <w:name w:val="UserStyle_2"/>
    <w:basedOn w:val="1"/>
    <w:uiPriority w:val="0"/>
    <w:pPr>
      <w:widowControl/>
      <w:jc w:val="left"/>
      <w:textAlignment w:val="baseline"/>
    </w:pPr>
    <w:rPr>
      <w:rFonts w:ascii="Verdana" w:hAnsi="Verdana" w:eastAsia="仿宋_GB2312"/>
      <w:kern w:val="0"/>
      <w:sz w:val="28"/>
      <w:szCs w:val="20"/>
      <w:lang w:val="en-US" w:eastAsia="en-US" w:bidi="ar-SA"/>
    </w:rPr>
  </w:style>
  <w:style w:type="character" w:customStyle="1" w:styleId="9">
    <w:name w:val="UserStyle_0"/>
    <w:link w:val="3"/>
    <w:qFormat/>
    <w:uiPriority w:val="0"/>
    <w:rPr>
      <w:kern w:val="2"/>
      <w:sz w:val="18"/>
      <w:szCs w:val="18"/>
    </w:rPr>
  </w:style>
  <w:style w:type="character" w:customStyle="1" w:styleId="10">
    <w:name w:val="PageNumber"/>
    <w:basedOn w:val="11"/>
    <w:link w:val="1"/>
    <w:qFormat/>
    <w:uiPriority w:val="0"/>
  </w:style>
  <w:style w:type="character" w:customStyle="1" w:styleId="11">
    <w:name w:val="NormalCharacter"/>
    <w:link w:val="1"/>
    <w:semiHidden/>
    <w:uiPriority w:val="0"/>
  </w:style>
  <w:style w:type="table" w:customStyle="1" w:styleId="12">
    <w:name w:val="TableNormal"/>
    <w:semiHidden/>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5871</Words>
  <Characters>6353</Characters>
  <TotalTime>0</TotalTime>
  <ScaleCrop>false</ScaleCrop>
  <LinksUpToDate>false</LinksUpToDate>
  <CharactersWithSpaces>6379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2024-11-15T14:33:00Z</dcterms:created>
  <dc:creator>Administrator</dc:creator>
  <cp:lastModifiedBy>WPS_1473302503</cp:lastModifiedBy>
  <dcterms:modified xsi:type="dcterms:W3CDTF">2024-11-15T06:34:15Z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C2CDC341809445A7B7FE7F657075D526_12</vt:lpwstr>
  </property>
</Properties>
</file>