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87" w:type="dxa"/>
        <w:tblInd w:w="96" w:type="dxa"/>
        <w:tblLayout w:type="fixed"/>
        <w:tblCellMar>
          <w:top w:w="0" w:type="dxa"/>
          <w:left w:w="108" w:type="dxa"/>
          <w:bottom w:w="0" w:type="dxa"/>
          <w:right w:w="108" w:type="dxa"/>
        </w:tblCellMar>
      </w:tblPr>
      <w:tblGrid>
        <w:gridCol w:w="800"/>
        <w:gridCol w:w="1300"/>
        <w:gridCol w:w="4980"/>
        <w:gridCol w:w="2060"/>
        <w:gridCol w:w="760"/>
        <w:gridCol w:w="680"/>
        <w:gridCol w:w="680"/>
        <w:gridCol w:w="680"/>
        <w:gridCol w:w="1539"/>
        <w:gridCol w:w="708"/>
      </w:tblGrid>
      <w:tr>
        <w:tblPrEx>
          <w:tblCellMar>
            <w:top w:w="0" w:type="dxa"/>
            <w:left w:w="108" w:type="dxa"/>
            <w:bottom w:w="0" w:type="dxa"/>
            <w:right w:w="108" w:type="dxa"/>
          </w:tblCellMar>
        </w:tblPrEx>
        <w:trPr>
          <w:trHeight w:val="792" w:hRule="atLeast"/>
        </w:trPr>
        <w:tc>
          <w:tcPr>
            <w:tcW w:w="14187" w:type="dxa"/>
            <w:gridSpan w:val="10"/>
            <w:tcBorders>
              <w:top w:val="nil"/>
              <w:left w:val="nil"/>
              <w:bottom w:val="nil"/>
              <w:right w:val="nil"/>
            </w:tcBorders>
            <w:shd w:val="clear" w:color="auto" w:fill="auto"/>
            <w:vAlign w:val="center"/>
          </w:tcPr>
          <w:p>
            <w:pPr>
              <w:widowControl/>
              <w:spacing w:line="600" w:lineRule="exact"/>
              <w:rPr>
                <w:rFonts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附件3：</w:t>
            </w:r>
          </w:p>
          <w:p>
            <w:pPr>
              <w:widowControl/>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巡察市文旅广电局党组反馈意见整改情况清单</w:t>
            </w:r>
          </w:p>
        </w:tc>
      </w:tr>
      <w:tr>
        <w:tblPrEx>
          <w:tblCellMar>
            <w:top w:w="0" w:type="dxa"/>
            <w:left w:w="108" w:type="dxa"/>
            <w:bottom w:w="0" w:type="dxa"/>
            <w:right w:w="108" w:type="dxa"/>
          </w:tblCellMar>
        </w:tblPrEx>
        <w:trPr>
          <w:trHeight w:val="780" w:hRule="atLeast"/>
        </w:trPr>
        <w:tc>
          <w:tcPr>
            <w:tcW w:w="7080" w:type="dxa"/>
            <w:gridSpan w:val="3"/>
            <w:tcBorders>
              <w:top w:val="nil"/>
              <w:left w:val="nil"/>
              <w:bottom w:val="nil"/>
              <w:right w:val="nil"/>
            </w:tcBorders>
            <w:shd w:val="clear" w:color="auto" w:fill="auto"/>
            <w:vAlign w:val="center"/>
          </w:tcPr>
          <w:p>
            <w:pPr>
              <w:widowControl/>
              <w:spacing w:line="600" w:lineRule="exact"/>
              <w:jc w:val="left"/>
              <w:rPr>
                <w:rFonts w:ascii="黑体" w:hAnsi="黑体" w:eastAsia="黑体" w:cs="宋体"/>
                <w:kern w:val="0"/>
                <w:sz w:val="26"/>
                <w:szCs w:val="26"/>
              </w:rPr>
            </w:pPr>
            <w:r>
              <w:rPr>
                <w:rFonts w:hint="eastAsia" w:ascii="黑体" w:hAnsi="黑体" w:eastAsia="黑体" w:cs="宋体"/>
                <w:kern w:val="0"/>
                <w:sz w:val="26"/>
                <w:szCs w:val="26"/>
              </w:rPr>
              <w:t>填报单位（盖章）：</w:t>
            </w:r>
            <w:r>
              <w:rPr>
                <w:rFonts w:hint="eastAsia" w:ascii="黑体" w:hAnsi="黑体" w:eastAsia="黑体" w:cs="宋体"/>
                <w:kern w:val="0"/>
                <w:sz w:val="26"/>
                <w:szCs w:val="26"/>
              </w:rPr>
              <w:br w:type="textWrapping"/>
            </w:r>
            <w:r>
              <w:rPr>
                <w:rFonts w:hint="eastAsia" w:ascii="黑体" w:hAnsi="黑体" w:eastAsia="黑体" w:cs="宋体"/>
                <w:kern w:val="0"/>
                <w:sz w:val="26"/>
                <w:szCs w:val="26"/>
              </w:rPr>
              <w:t xml:space="preserve">联系人及电话：             </w:t>
            </w:r>
          </w:p>
        </w:tc>
        <w:tc>
          <w:tcPr>
            <w:tcW w:w="2060" w:type="dxa"/>
            <w:tcBorders>
              <w:top w:val="nil"/>
              <w:left w:val="nil"/>
              <w:bottom w:val="nil"/>
              <w:right w:val="nil"/>
            </w:tcBorders>
            <w:shd w:val="clear" w:color="auto" w:fill="auto"/>
            <w:vAlign w:val="center"/>
          </w:tcPr>
          <w:p>
            <w:pPr>
              <w:widowControl/>
              <w:spacing w:line="600" w:lineRule="exact"/>
              <w:jc w:val="left"/>
              <w:rPr>
                <w:rFonts w:ascii="黑体" w:hAnsi="黑体" w:eastAsia="黑体" w:cs="宋体"/>
                <w:kern w:val="0"/>
                <w:sz w:val="26"/>
                <w:szCs w:val="26"/>
              </w:rPr>
            </w:pPr>
          </w:p>
        </w:tc>
        <w:tc>
          <w:tcPr>
            <w:tcW w:w="760" w:type="dxa"/>
            <w:tcBorders>
              <w:top w:val="nil"/>
              <w:left w:val="nil"/>
              <w:bottom w:val="nil"/>
              <w:right w:val="nil"/>
            </w:tcBorders>
            <w:shd w:val="clear" w:color="auto" w:fill="auto"/>
            <w:vAlign w:val="center"/>
          </w:tcPr>
          <w:p>
            <w:pPr>
              <w:widowControl/>
              <w:spacing w:line="600" w:lineRule="exact"/>
              <w:jc w:val="left"/>
              <w:rPr>
                <w:rFonts w:ascii="黑体" w:hAnsi="黑体" w:eastAsia="黑体" w:cs="宋体"/>
                <w:kern w:val="0"/>
                <w:sz w:val="26"/>
                <w:szCs w:val="26"/>
              </w:rPr>
            </w:pPr>
          </w:p>
        </w:tc>
        <w:tc>
          <w:tcPr>
            <w:tcW w:w="680" w:type="dxa"/>
            <w:tcBorders>
              <w:top w:val="nil"/>
              <w:left w:val="nil"/>
              <w:bottom w:val="nil"/>
              <w:right w:val="nil"/>
            </w:tcBorders>
            <w:shd w:val="clear" w:color="auto" w:fill="auto"/>
            <w:vAlign w:val="center"/>
          </w:tcPr>
          <w:p>
            <w:pPr>
              <w:widowControl/>
              <w:spacing w:line="600" w:lineRule="exact"/>
              <w:jc w:val="left"/>
              <w:rPr>
                <w:rFonts w:ascii="黑体" w:hAnsi="黑体" w:eastAsia="黑体" w:cs="宋体"/>
                <w:kern w:val="0"/>
                <w:sz w:val="26"/>
                <w:szCs w:val="26"/>
              </w:rPr>
            </w:pPr>
          </w:p>
        </w:tc>
        <w:tc>
          <w:tcPr>
            <w:tcW w:w="3607" w:type="dxa"/>
            <w:gridSpan w:val="4"/>
            <w:tcBorders>
              <w:top w:val="nil"/>
              <w:left w:val="nil"/>
              <w:bottom w:val="nil"/>
              <w:right w:val="nil"/>
            </w:tcBorders>
            <w:shd w:val="clear" w:color="auto" w:fill="auto"/>
            <w:vAlign w:val="center"/>
          </w:tcPr>
          <w:p>
            <w:pPr>
              <w:widowControl/>
              <w:spacing w:line="600" w:lineRule="exact"/>
              <w:jc w:val="left"/>
              <w:rPr>
                <w:rFonts w:ascii="黑体" w:hAnsi="黑体" w:eastAsia="黑体" w:cs="宋体"/>
                <w:kern w:val="0"/>
                <w:sz w:val="26"/>
                <w:szCs w:val="26"/>
              </w:rPr>
            </w:pPr>
            <w:r>
              <w:rPr>
                <w:rFonts w:hint="eastAsia" w:ascii="黑体" w:hAnsi="黑体" w:eastAsia="黑体" w:cs="宋体"/>
                <w:kern w:val="0"/>
                <w:sz w:val="26"/>
                <w:szCs w:val="26"/>
              </w:rPr>
              <w:t>填报日期：</w:t>
            </w:r>
          </w:p>
        </w:tc>
      </w:tr>
      <w:tr>
        <w:tblPrEx>
          <w:tblCellMar>
            <w:top w:w="0" w:type="dxa"/>
            <w:left w:w="108" w:type="dxa"/>
            <w:bottom w:w="0" w:type="dxa"/>
            <w:right w:w="108" w:type="dxa"/>
          </w:tblCellMar>
        </w:tblPrEx>
        <w:trPr>
          <w:trHeight w:val="708" w:hRule="atLeast"/>
        </w:trPr>
        <w:tc>
          <w:tcPr>
            <w:tcW w:w="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序号</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巡察反馈问题</w:t>
            </w:r>
          </w:p>
        </w:tc>
        <w:tc>
          <w:tcPr>
            <w:tcW w:w="4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问题具体表现</w:t>
            </w:r>
          </w:p>
        </w:tc>
        <w:tc>
          <w:tcPr>
            <w:tcW w:w="2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具体整改措施</w:t>
            </w: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完成</w:t>
            </w:r>
            <w:r>
              <w:rPr>
                <w:rFonts w:hint="eastAsia" w:ascii="黑体" w:hAnsi="黑体" w:eastAsia="黑体" w:cs="宋体"/>
                <w:kern w:val="0"/>
                <w:sz w:val="26"/>
                <w:szCs w:val="26"/>
              </w:rPr>
              <w:br w:type="textWrapping"/>
            </w:r>
            <w:r>
              <w:rPr>
                <w:rFonts w:hint="eastAsia" w:ascii="黑体" w:hAnsi="黑体" w:eastAsia="黑体" w:cs="宋体"/>
                <w:kern w:val="0"/>
                <w:sz w:val="26"/>
                <w:szCs w:val="26"/>
              </w:rPr>
              <w:t>时限</w:t>
            </w:r>
          </w:p>
        </w:tc>
        <w:tc>
          <w:tcPr>
            <w:tcW w:w="204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整改进展情况</w:t>
            </w:r>
            <w:r>
              <w:rPr>
                <w:rFonts w:hint="eastAsia" w:ascii="黑体" w:hAnsi="黑体" w:eastAsia="黑体" w:cs="宋体"/>
                <w:kern w:val="0"/>
                <w:sz w:val="26"/>
                <w:szCs w:val="26"/>
              </w:rPr>
              <w:br w:type="textWrapping"/>
            </w:r>
            <w:r>
              <w:rPr>
                <w:rFonts w:hint="eastAsia" w:ascii="黑体" w:hAnsi="黑体" w:eastAsia="黑体" w:cs="宋体"/>
                <w:kern w:val="0"/>
                <w:sz w:val="26"/>
                <w:szCs w:val="26"/>
              </w:rPr>
              <w:t>（划√号）</w:t>
            </w:r>
          </w:p>
        </w:tc>
        <w:tc>
          <w:tcPr>
            <w:tcW w:w="15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整改成效</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6"/>
                <w:szCs w:val="26"/>
              </w:rPr>
            </w:pPr>
            <w:r>
              <w:rPr>
                <w:rFonts w:hint="eastAsia" w:ascii="黑体" w:hAnsi="黑体" w:eastAsia="黑体" w:cs="宋体"/>
                <w:kern w:val="0"/>
                <w:sz w:val="26"/>
                <w:szCs w:val="26"/>
              </w:rPr>
              <w:t>情况说明</w:t>
            </w:r>
          </w:p>
        </w:tc>
      </w:tr>
      <w:tr>
        <w:tblPrEx>
          <w:tblCellMar>
            <w:top w:w="0" w:type="dxa"/>
            <w:left w:w="108" w:type="dxa"/>
            <w:bottom w:w="0" w:type="dxa"/>
            <w:right w:w="108" w:type="dxa"/>
          </w:tblCellMar>
        </w:tblPrEx>
        <w:trPr>
          <w:trHeight w:val="792" w:hRule="atLeast"/>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kern w:val="0"/>
                <w:sz w:val="26"/>
                <w:szCs w:val="26"/>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kern w:val="0"/>
                <w:sz w:val="26"/>
                <w:szCs w:val="26"/>
              </w:rPr>
            </w:pPr>
          </w:p>
        </w:tc>
        <w:tc>
          <w:tcPr>
            <w:tcW w:w="4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kern w:val="0"/>
                <w:sz w:val="26"/>
                <w:szCs w:val="26"/>
              </w:rPr>
            </w:pPr>
          </w:p>
        </w:tc>
        <w:tc>
          <w:tcPr>
            <w:tcW w:w="20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kern w:val="0"/>
                <w:sz w:val="26"/>
                <w:szCs w:val="26"/>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kern w:val="0"/>
                <w:sz w:val="26"/>
                <w:szCs w:val="26"/>
              </w:rPr>
            </w:pP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0"/>
                <w:szCs w:val="20"/>
              </w:rPr>
            </w:pPr>
            <w:r>
              <w:rPr>
                <w:rFonts w:hint="eastAsia" w:ascii="黑体" w:hAnsi="黑体" w:eastAsia="黑体" w:cs="宋体"/>
                <w:kern w:val="0"/>
                <w:sz w:val="20"/>
                <w:szCs w:val="20"/>
              </w:rPr>
              <w:t>已整改</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0"/>
                <w:szCs w:val="20"/>
              </w:rPr>
            </w:pPr>
            <w:r>
              <w:rPr>
                <w:rFonts w:hint="eastAsia" w:ascii="黑体" w:hAnsi="黑体" w:eastAsia="黑体" w:cs="宋体"/>
                <w:kern w:val="0"/>
                <w:sz w:val="20"/>
                <w:szCs w:val="20"/>
              </w:rPr>
              <w:t>正在</w:t>
            </w:r>
            <w:r>
              <w:rPr>
                <w:rFonts w:hint="eastAsia" w:ascii="黑体" w:hAnsi="黑体" w:eastAsia="黑体" w:cs="宋体"/>
                <w:kern w:val="0"/>
                <w:sz w:val="20"/>
                <w:szCs w:val="20"/>
              </w:rPr>
              <w:br w:type="textWrapping"/>
            </w:r>
            <w:r>
              <w:rPr>
                <w:rFonts w:hint="eastAsia" w:ascii="黑体" w:hAnsi="黑体" w:eastAsia="黑体" w:cs="宋体"/>
                <w:kern w:val="0"/>
                <w:sz w:val="20"/>
                <w:szCs w:val="20"/>
              </w:rPr>
              <w:t>整改</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黑体" w:hAnsi="黑体" w:eastAsia="黑体" w:cs="宋体"/>
                <w:kern w:val="0"/>
                <w:sz w:val="20"/>
                <w:szCs w:val="20"/>
              </w:rPr>
            </w:pPr>
            <w:r>
              <w:rPr>
                <w:rFonts w:hint="eastAsia" w:ascii="黑体" w:hAnsi="黑体" w:eastAsia="黑体" w:cs="宋体"/>
                <w:kern w:val="0"/>
                <w:sz w:val="20"/>
                <w:szCs w:val="20"/>
              </w:rPr>
              <w:t>未整改</w:t>
            </w:r>
          </w:p>
        </w:tc>
        <w:tc>
          <w:tcPr>
            <w:tcW w:w="15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kern w:val="0"/>
                <w:sz w:val="26"/>
                <w:szCs w:val="26"/>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kern w:val="0"/>
                <w:sz w:val="26"/>
                <w:szCs w:val="26"/>
              </w:rPr>
            </w:pPr>
          </w:p>
        </w:tc>
      </w:tr>
      <w:tr>
        <w:tblPrEx>
          <w:tblCellMar>
            <w:top w:w="0" w:type="dxa"/>
            <w:left w:w="108" w:type="dxa"/>
            <w:bottom w:w="0" w:type="dxa"/>
            <w:right w:w="108" w:type="dxa"/>
          </w:tblCellMar>
        </w:tblPrEx>
        <w:trPr>
          <w:trHeight w:val="792" w:hRule="atLeast"/>
        </w:trPr>
        <w:tc>
          <w:tcPr>
            <w:tcW w:w="141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left"/>
              <w:rPr>
                <w:rFonts w:ascii="黑体" w:hAnsi="黑体" w:eastAsia="黑体" w:cs="宋体"/>
                <w:kern w:val="0"/>
                <w:sz w:val="26"/>
                <w:szCs w:val="26"/>
              </w:rPr>
            </w:pPr>
            <w:r>
              <w:rPr>
                <w:rFonts w:hint="eastAsia" w:ascii="黑体" w:hAnsi="黑体" w:eastAsia="黑体" w:cs="宋体"/>
                <w:kern w:val="0"/>
                <w:sz w:val="26"/>
                <w:szCs w:val="26"/>
              </w:rPr>
              <w:t>（一）学习贯彻习近平总书记重要讲话、指示批示及市委“1+8+2”系列文件精神不到位，深化消化转化不充分</w:t>
            </w:r>
          </w:p>
        </w:tc>
      </w:tr>
      <w:tr>
        <w:tblPrEx>
          <w:tblCellMar>
            <w:top w:w="0" w:type="dxa"/>
            <w:left w:w="108" w:type="dxa"/>
            <w:bottom w:w="0" w:type="dxa"/>
            <w:right w:w="108" w:type="dxa"/>
          </w:tblCellMar>
        </w:tblPrEx>
        <w:trPr>
          <w:trHeight w:val="258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用习近平总书记重要讲话、指示批示精神统一思想和行动有差距。</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组理论学习中心组的示范带头作用不强。学习计划执行的不好，2019年计划13项内容有6项没有落实。学习联系整合后的职能变化不紧密，很少涉及总书记关于“文化自信”等重要论述、相关行业讲话以及有关法律法规等内容。带动全体党员大兴学习之风抓的不实，11个基层党组织普遍存在重业务轻党建、党建与业务工作脱节的问题。52名党员的调查问卷中，选错“四个意识”“四个自信”和“两个维护”内容的占35%。</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62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忘初心、牢记使命”主题教育成果转化不够好，形式主义问题犹存。党组在解决形式主义问题上，多是做部署、提要求，抓末端落实偏软，上热中温下冷的现象比较明显，文件资料照抄照搬、体会文章抄袭应付的风气较重。</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661"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贯彻落实市委市政府决策部署还有短板，谋划推动改革不够有力。</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打造旅游支柱产业的内生动力仍显不足。对以“做大红海滩、唱响芦苇荡”战略为牵引，统筹解决全市旅游资源碎片化同质化、文旅体多业融合发展等方面，抢抓政策“窗口期”破解难题的成效不够明显，“旅游+”产业的社会经济效益亟待提升，全市真正实现运营的10亿元以上旅游产业项目少，形成财税支撑的项目更少。内部的体系融合、人员融合和知识融合不够到位，文旅体等战线多是各自为战，与机构改革后的职能要求还有差距。</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52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优化行业营商环境工作滞后。截止今年5月份，全局46项行政许可事项中，有33项不能在市政务大厅窗口办理占72%。2019年7月至2020年5月，8890综合服务平台受理的119件涉及文旅广电系统的投诉中，旅游问题占72%。</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319"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惠民生工作质量不高。田园风光类景区就地就近安排周边困难群众少，为其创造就业机会不多；2017年以来，全市青少年竞技体育人才培养工作弱化，资金、场地设施和教练员投入不足，青训人才严重缺乏；2019年组织308场送文化下乡活动，偏重行政化配置，群众获得感和参与度不高。</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318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党的全面领导作用发挥不充分。</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意识形态工作责任制落实不到位，主阵地作用未充分体现。党组意识形态工作领导小组有成员没有明确分工。领导班子及成员的主题教育专题民主生活会剖析材料和班子成员的年度述职述廉报告，均未对落实意识形态工作责任制情况进行检视剖析。对所属阵地的工作指导不够，个别负责党建的同志甚至不了解什么是意识形态工作。2019年9月省暗访抽查中指出的，隐蔽销售和居民非法安装使用卫星地面接收设施问题，还没有彻底解决。</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3039"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统战、宗教和社会组织建设工作重视不够。党组没有成立统一战线领导小组，对如何抓好宗教领域非法出版物及印刷品缺少安排和部署；对行业管理的社会组织缺少调研分析研判，对其机构变化和成员思想缺乏了解，截止巡察进驻，有3家经市民政部门审批备案的社会组织没有纳入管理视线，有10家纳入视线的却没有经过市民政部门的正式审批备案。</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621" w:hRule="atLeast"/>
        </w:trPr>
        <w:tc>
          <w:tcPr>
            <w:tcW w:w="141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left"/>
              <w:rPr>
                <w:rFonts w:ascii="黑体" w:hAnsi="黑体" w:eastAsia="黑体" w:cs="宋体"/>
                <w:kern w:val="0"/>
                <w:sz w:val="26"/>
                <w:szCs w:val="26"/>
              </w:rPr>
            </w:pPr>
            <w:r>
              <w:rPr>
                <w:rFonts w:hint="eastAsia" w:ascii="黑体" w:hAnsi="黑体" w:eastAsia="黑体" w:cs="宋体"/>
                <w:kern w:val="0"/>
                <w:sz w:val="26"/>
                <w:szCs w:val="26"/>
              </w:rPr>
              <w:t>（二）履行全面从严治党主体责任力度不够，压力传导不到位</w:t>
            </w:r>
          </w:p>
        </w:tc>
      </w:tr>
      <w:tr>
        <w:tblPrEx>
          <w:tblCellMar>
            <w:top w:w="0" w:type="dxa"/>
            <w:left w:w="108" w:type="dxa"/>
            <w:bottom w:w="0" w:type="dxa"/>
            <w:right w:w="108" w:type="dxa"/>
          </w:tblCellMar>
        </w:tblPrEx>
        <w:trPr>
          <w:trHeight w:val="3039"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履行主体责任力度不够，且层层递减。</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党组成员落实廉政谈话制度要求不严格。4名党组成员2019年对所分管单位部门的廉政谈话记录，均无谈话人和被谈话人的签字。抓基层党组织队伍建设力度偏软，2017年度考评时未将党建工作纳入对所属基层党支部书记的考核内容，党员干部作风松散的问题没有得到有效治理，局党组2019年先后3次部署了作风纪律整治，但对基层触动不大，党组也未拿出行之有效的改进措施，一些基层单位的党员干部依然存在纪律作风松散的问题。</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68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个别党组成员落实“一岗双责”不到位。所分管单位先后有4人受到了党纪或政务处分，却只字未提。2019年，其分管的科室和下属单位中，有2个单位的3名班子成员分别受到了党纪或政务处分，也未在民主生活会上进行剖析。</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659"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案件查处后续工作跟进不够。巡察组抽查了文旅广电局2019年5名受处理人员的档案，其中有4人的处分决定没有装入个人档案，上轮巡察已经指出了类似问题，但局党组重视不够，相关流程和制度漏洞一直未予完善。</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701"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行业系统内违规违纪问题多发。2016年1月至2020年4月，市县（区）纪检监察机关查处文化、旅游系统违规违纪人员45人，其中2016年9人、2017年14人、2018年12人、2019年10人。</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739"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对上一轮巡察指出问题整改不彻底，警示效果不明显。</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的问题依然发生。2017年3月巡察指出原文广局存在落实“三重一大”集体研究决策制度不严格的问题，2018年省十三运开闭幕式期间，所属1个基层单位又发生未经班子集体讨论违规使用资金问题。2018年1月巡察指出原旅发委存在以支委会代替支部党员大会的问题，1个基层单位党支部自2019年5月成立以来，仍然没有分清两者的区别，两个会议都由全体党员参加，支委会的核心领导作用仍未突出出来。</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821"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的问题整改不力。审计发现，原旅发委不严格执行“三重一大”事项会议研究制度、不严格执行政府采购相关规定、挤占其他专项资金等问题；文旅广电局特别是原体育局，对市体育场多年以来房屋出租面积与实际面积不符的问题监管不力。</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68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制度和监管有漏洞，重点领域和关键岗位廉洁风险较大。</w:t>
            </w:r>
          </w:p>
        </w:tc>
        <w:tc>
          <w:tcPr>
            <w:tcW w:w="4980" w:type="dxa"/>
            <w:tcBorders>
              <w:top w:val="nil"/>
              <w:left w:val="nil"/>
              <w:bottom w:val="nil"/>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务管理制度不健全。市文旅广电局2019年4月以来对各类奖补资金的申报、拨付及信息公开等流程未制定具体规定；截止2020年5月8日，未向市政府提交2019年度旅游发展专项资金使用绩效评价报告；机构改革后，未重新修订和完善财务管理制度。</w:t>
            </w:r>
          </w:p>
        </w:tc>
        <w:tc>
          <w:tcPr>
            <w:tcW w:w="2060" w:type="dxa"/>
            <w:tcBorders>
              <w:top w:val="nil"/>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nil"/>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nil"/>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nil"/>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62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single" w:color="auto" w:sz="4" w:space="0"/>
              <w:left w:val="nil"/>
              <w:bottom w:val="nil"/>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日常监管不到位。所属单位财务管理不合规，存在固定资产不入账、挤占公务经费支付劳务费、违反临时用工程序长期雇用保安保洁等人员、借书证押金长期在账外管理、非班子成员负责财务审批等违规问题。</w:t>
            </w:r>
          </w:p>
        </w:tc>
        <w:tc>
          <w:tcPr>
            <w:tcW w:w="2060" w:type="dxa"/>
            <w:tcBorders>
              <w:top w:val="single" w:color="auto" w:sz="4" w:space="0"/>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single" w:color="auto" w:sz="4" w:space="0"/>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single" w:color="auto" w:sz="4" w:space="0"/>
              <w:left w:val="nil"/>
              <w:bottom w:val="nil"/>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single" w:color="auto" w:sz="4" w:space="0"/>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single" w:color="auto" w:sz="4" w:space="0"/>
              <w:left w:val="nil"/>
              <w:bottom w:val="nil"/>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single" w:color="auto" w:sz="4" w:space="0"/>
              <w:left w:val="nil"/>
              <w:bottom w:val="nil"/>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single" w:color="auto" w:sz="4" w:space="0"/>
              <w:left w:val="nil"/>
              <w:bottom w:val="nil"/>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780" w:hRule="atLeast"/>
        </w:trPr>
        <w:tc>
          <w:tcPr>
            <w:tcW w:w="141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left"/>
              <w:rPr>
                <w:rFonts w:ascii="黑体" w:hAnsi="黑体" w:eastAsia="黑体" w:cs="宋体"/>
                <w:kern w:val="0"/>
                <w:sz w:val="26"/>
                <w:szCs w:val="26"/>
              </w:rPr>
            </w:pPr>
            <w:r>
              <w:rPr>
                <w:rFonts w:hint="eastAsia" w:ascii="黑体" w:hAnsi="黑体" w:eastAsia="黑体" w:cs="宋体"/>
                <w:kern w:val="0"/>
                <w:sz w:val="26"/>
                <w:szCs w:val="26"/>
              </w:rPr>
              <w:t>（三）严肃党内政治生活意识不强，基层党建和干部人事管理存在薄弱环节</w:t>
            </w:r>
          </w:p>
        </w:tc>
      </w:tr>
      <w:tr>
        <w:tblPrEx>
          <w:tblCellMar>
            <w:top w:w="0" w:type="dxa"/>
            <w:left w:w="108" w:type="dxa"/>
            <w:bottom w:w="0" w:type="dxa"/>
            <w:right w:w="108" w:type="dxa"/>
          </w:tblCellMar>
        </w:tblPrEx>
        <w:trPr>
          <w:trHeight w:val="180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w:t>
            </w: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党内政治生活不规范不严肃。</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党组成员落实双重组织生活不到位。2019年主题教育中，3名班子成员未参加所在机关党支部的组织生活会。</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74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17</w:t>
            </w: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基层组织生活会质量不高。主题教育中，近一半党支部的组织生活会党员剖析材料抄袭。</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1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基层党建质量不高。</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基层党组织政治功能弱化。个别党支部自定标准收缴党费，对所谓“弹性工作人员”每月按3元标准收缴；2个基层党支部支委会会议仅为要求次数的三分之一，1个基层党支部历次党员大会的参会人员均未过半，个别党员2019年1至9月没有参加组织生活也未受到相应处理。</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1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19</w:t>
            </w: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共产党员先锋工程推进不扎实。1名公益岗人员党组织关系并未落入该党支部，却被该支部设为“党员先锋岗”。</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1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干部选拔任用工作不严谨。</w:t>
            </w: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任职人选廉洁纪律把关不严格。1名干部在未过处分影响期的情况下，于2019年6月被任命为某科科长。</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1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w:t>
            </w: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考察任用环节不规范。2019年6月选任文旅发展中心干部时，民主推荐汇总表中无收票人、计票人、监票人签字，征求意见表考察组成员无签字，考察环节不规范。</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160"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仿宋_GB2312" w:hAnsi="宋体" w:eastAsia="仿宋_GB2312" w:cs="宋体"/>
                <w:kern w:val="0"/>
                <w:sz w:val="24"/>
                <w:szCs w:val="24"/>
              </w:rPr>
            </w:pPr>
          </w:p>
        </w:tc>
        <w:tc>
          <w:tcPr>
            <w:tcW w:w="4980" w:type="dxa"/>
            <w:tcBorders>
              <w:top w:val="nil"/>
              <w:left w:val="nil"/>
              <w:bottom w:val="single" w:color="auto" w:sz="4" w:space="0"/>
              <w:right w:val="single" w:color="auto" w:sz="4" w:space="0"/>
            </w:tcBorders>
            <w:shd w:val="clear" w:color="auto" w:fill="auto"/>
            <w:vAlign w:val="center"/>
          </w:tcPr>
          <w:p>
            <w:pPr>
              <w:widowControl/>
              <w:spacing w:line="6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干部档案管理不严格。有多本出现未进行干部专审、缺干部任免表等问题。</w:t>
            </w:r>
          </w:p>
        </w:tc>
        <w:tc>
          <w:tcPr>
            <w:tcW w:w="20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680" w:type="dxa"/>
            <w:tcBorders>
              <w:top w:val="nil"/>
              <w:left w:val="nil"/>
              <w:bottom w:val="single" w:color="auto" w:sz="4" w:space="0"/>
              <w:right w:val="single" w:color="auto" w:sz="4" w:space="0"/>
            </w:tcBorders>
            <w:shd w:val="clear" w:color="auto" w:fill="auto"/>
            <w:vAlign w:val="bottom"/>
          </w:tcPr>
          <w:p>
            <w:pPr>
              <w:widowControl/>
              <w:spacing w:line="6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39" w:type="dxa"/>
            <w:tcBorders>
              <w:top w:val="nil"/>
              <w:left w:val="nil"/>
              <w:bottom w:val="single" w:color="auto" w:sz="4" w:space="0"/>
              <w:right w:val="single" w:color="auto" w:sz="4" w:space="0"/>
            </w:tcBorders>
            <w:shd w:val="clear" w:color="auto" w:fill="auto"/>
            <w:vAlign w:val="bottom"/>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720" w:hRule="atLeast"/>
        </w:trPr>
        <w:tc>
          <w:tcPr>
            <w:tcW w:w="800" w:type="dxa"/>
            <w:tcBorders>
              <w:top w:val="nil"/>
              <w:left w:val="nil"/>
              <w:bottom w:val="nil"/>
              <w:right w:val="nil"/>
            </w:tcBorders>
            <w:shd w:val="clear" w:color="auto" w:fill="auto"/>
            <w:vAlign w:val="center"/>
          </w:tcPr>
          <w:p>
            <w:pPr>
              <w:widowControl/>
              <w:spacing w:line="600" w:lineRule="exact"/>
              <w:jc w:val="center"/>
              <w:rPr>
                <w:rFonts w:ascii="宋体" w:hAnsi="宋体" w:eastAsia="宋体" w:cs="宋体"/>
                <w:kern w:val="0"/>
                <w:sz w:val="24"/>
                <w:szCs w:val="24"/>
              </w:rPr>
            </w:pPr>
          </w:p>
        </w:tc>
        <w:tc>
          <w:tcPr>
            <w:tcW w:w="13387" w:type="dxa"/>
            <w:gridSpan w:val="9"/>
            <w:tcBorders>
              <w:top w:val="nil"/>
              <w:left w:val="nil"/>
              <w:bottom w:val="nil"/>
              <w:right w:val="nil"/>
            </w:tcBorders>
            <w:shd w:val="clear" w:color="auto" w:fill="auto"/>
            <w:vAlign w:val="center"/>
          </w:tcPr>
          <w:p>
            <w:pPr>
              <w:widowControl/>
              <w:spacing w:line="600" w:lineRule="exact"/>
              <w:jc w:val="left"/>
              <w:rPr>
                <w:rFonts w:ascii="宋体" w:hAnsi="宋体" w:eastAsia="宋体" w:cs="宋体"/>
                <w:kern w:val="0"/>
                <w:sz w:val="24"/>
                <w:szCs w:val="24"/>
              </w:rPr>
            </w:pPr>
            <w:r>
              <w:rPr>
                <w:rFonts w:hint="eastAsia" w:ascii="黑体" w:hAnsi="黑体" w:eastAsia="黑体" w:cs="宋体"/>
                <w:kern w:val="0"/>
                <w:sz w:val="24"/>
                <w:szCs w:val="24"/>
              </w:rPr>
              <w:t>注：</w:t>
            </w:r>
            <w:r>
              <w:rPr>
                <w:rFonts w:hint="eastAsia" w:ascii="宋体" w:hAnsi="宋体" w:eastAsia="宋体" w:cs="宋体"/>
                <w:kern w:val="0"/>
                <w:sz w:val="24"/>
                <w:szCs w:val="24"/>
              </w:rPr>
              <w:t>“情况说明”一栏中，针对“正在整改”“未整改”情况简要说明，篇幅较长可另附说明材料。</w:t>
            </w:r>
          </w:p>
        </w:tc>
      </w:tr>
    </w:tbl>
    <w:p>
      <w:pPr>
        <w:pStyle w:val="2"/>
        <w:spacing w:before="0" w:after="0" w:line="600" w:lineRule="exact"/>
      </w:pPr>
    </w:p>
    <w:p>
      <w:pPr>
        <w:spacing w:line="600" w:lineRule="exact"/>
      </w:pPr>
    </w:p>
    <w:p>
      <w:pPr>
        <w:pStyle w:val="2"/>
        <w:spacing w:before="0" w:after="0" w:line="600" w:lineRule="exact"/>
      </w:pPr>
    </w:p>
    <w:p>
      <w:pPr>
        <w:spacing w:line="600" w:lineRule="exac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3882"/>
    <w:rsid w:val="00BE3882"/>
    <w:rsid w:val="00E47FCE"/>
    <w:rsid w:val="46F1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before="260" w:after="260" w:line="416" w:lineRule="auto"/>
    </w:pPr>
    <w:rPr>
      <w:b/>
      <w:bCs/>
      <w:sz w:val="32"/>
      <w:szCs w:val="32"/>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510</Words>
  <Characters>2911</Characters>
  <Lines>24</Lines>
  <Paragraphs>6</Paragraphs>
  <TotalTime>1</TotalTime>
  <ScaleCrop>false</ScaleCrop>
  <LinksUpToDate>false</LinksUpToDate>
  <CharactersWithSpaces>3415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2020-07-31T06:17:00Z</dcterms:created>
  <dc:creator>微软用户</dc:creator>
  <cp:lastModifiedBy>Administrator</cp:lastModifiedBy>
  <dcterms:modified xsi:type="dcterms:W3CDTF">2021-06-01T09:05:17Z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50C9A891768248ABA9D6F58461E0219E</vt:lpwstr>
  </property>
</Properties>
</file>