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rPr>
          <w:rFonts w:ascii="Times New Roman" w:hAnsi="Times New Roman" w:eastAsia="宋体" w:cs="Times New Roman"/>
          <w:color w:val="333333"/>
          <w:kern w:val="0"/>
          <w:szCs w:val="21"/>
        </w:rPr>
      </w:pPr>
      <w:r>
        <w:rPr>
          <w:rFonts w:ascii="Times New Roman" w:hAnsi="Times New Roman" w:eastAsia="宋体" w:cs="Times New Roman"/>
          <w:b/>
          <w:bCs/>
          <w:color w:val="333333"/>
          <w:kern w:val="0"/>
          <w:sz w:val="44"/>
          <w:szCs w:val="44"/>
        </w:rPr>
        <w:t> </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hint="eastAsia" w:ascii="宋体" w:hAnsi="宋体" w:eastAsia="宋体" w:cs="Times New Roman"/>
          <w:b/>
          <w:bCs/>
          <w:color w:val="333333"/>
          <w:kern w:val="0"/>
          <w:sz w:val="52"/>
          <w:szCs w:val="52"/>
        </w:rPr>
        <w:t>盘锦市兴隆台区环境保护局2019年度部门决算公开说明</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ascii="Times New Roman" w:hAnsi="Times New Roman" w:eastAsia="宋体" w:cs="Times New Roman"/>
          <w:b/>
          <w:bCs/>
          <w:color w:val="333333"/>
          <w:kern w:val="0"/>
          <w:sz w:val="44"/>
          <w:szCs w:val="44"/>
        </w:rPr>
        <w:t> </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ascii="Times New Roman" w:hAnsi="Times New Roman" w:eastAsia="宋体" w:cs="Times New Roman"/>
          <w:b/>
          <w:bCs/>
          <w:color w:val="333333"/>
          <w:kern w:val="0"/>
          <w:sz w:val="44"/>
          <w:szCs w:val="44"/>
        </w:rPr>
        <w:t> </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ascii="Times New Roman" w:hAnsi="Times New Roman" w:eastAsia="宋体" w:cs="Times New Roman"/>
          <w:b/>
          <w:bCs/>
          <w:color w:val="333333"/>
          <w:kern w:val="0"/>
          <w:sz w:val="44"/>
          <w:szCs w:val="44"/>
        </w:rPr>
        <w:t> </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ascii="Times New Roman" w:hAnsi="Times New Roman" w:eastAsia="宋体" w:cs="Times New Roman"/>
          <w:b/>
          <w:bCs/>
          <w:color w:val="333333"/>
          <w:kern w:val="0"/>
          <w:sz w:val="44"/>
          <w:szCs w:val="44"/>
        </w:rPr>
        <w:t> </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ascii="Times New Roman" w:hAnsi="Times New Roman" w:eastAsia="宋体" w:cs="Times New Roman"/>
          <w:b/>
          <w:bCs/>
          <w:color w:val="333333"/>
          <w:kern w:val="0"/>
          <w:sz w:val="44"/>
          <w:szCs w:val="44"/>
        </w:rPr>
        <w:t> </w:t>
      </w:r>
    </w:p>
    <w:p>
      <w:pPr>
        <w:widowControl/>
        <w:shd w:val="clear" w:color="auto" w:fill="FFFFFF"/>
        <w:spacing w:line="540" w:lineRule="atLeast"/>
        <w:jc w:val="both"/>
        <w:rPr>
          <w:rFonts w:ascii="Times New Roman" w:hAnsi="Times New Roman" w:eastAsia="宋体" w:cs="Times New Roman"/>
          <w:color w:val="333333"/>
          <w:kern w:val="0"/>
          <w:szCs w:val="21"/>
        </w:rPr>
      </w:pPr>
      <w:r>
        <w:rPr>
          <w:rFonts w:ascii="Times New Roman" w:hAnsi="Times New Roman" w:eastAsia="宋体" w:cs="Times New Roman"/>
          <w:b/>
          <w:bCs/>
          <w:color w:val="333333"/>
          <w:kern w:val="0"/>
          <w:sz w:val="44"/>
          <w:szCs w:val="44"/>
        </w:rPr>
        <w:t> </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ascii="Times New Roman" w:hAnsi="Times New Roman" w:eastAsia="宋体" w:cs="Times New Roman"/>
          <w:b/>
          <w:bCs/>
          <w:color w:val="333333"/>
          <w:kern w:val="0"/>
          <w:sz w:val="44"/>
          <w:szCs w:val="44"/>
        </w:rPr>
        <w:t> </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ascii="Times New Roman" w:hAnsi="Times New Roman" w:eastAsia="宋体" w:cs="Times New Roman"/>
          <w:b/>
          <w:bCs/>
          <w:color w:val="333333"/>
          <w:kern w:val="0"/>
          <w:sz w:val="44"/>
          <w:szCs w:val="44"/>
        </w:rPr>
        <w:t> </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ascii="Times New Roman" w:hAnsi="Times New Roman" w:eastAsia="宋体" w:cs="Times New Roman"/>
          <w:b/>
          <w:bCs/>
          <w:color w:val="333333"/>
          <w:kern w:val="0"/>
          <w:sz w:val="44"/>
          <w:szCs w:val="44"/>
        </w:rPr>
        <w:t> </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hint="eastAsia" w:ascii="宋体" w:hAnsi="宋体" w:eastAsia="宋体" w:cs="Times New Roman"/>
          <w:b/>
          <w:bCs/>
          <w:color w:val="333333"/>
          <w:kern w:val="0"/>
          <w:sz w:val="44"/>
          <w:szCs w:val="44"/>
        </w:rPr>
        <w:t>目</w:t>
      </w:r>
      <w:r>
        <w:rPr>
          <w:rFonts w:ascii="Times New Roman" w:hAnsi="Times New Roman" w:eastAsia="宋体" w:cs="Times New Roman"/>
          <w:b/>
          <w:bCs/>
          <w:color w:val="333333"/>
          <w:kern w:val="0"/>
          <w:sz w:val="44"/>
          <w:szCs w:val="44"/>
        </w:rPr>
        <w:t>    </w:t>
      </w:r>
      <w:r>
        <w:rPr>
          <w:rFonts w:hint="eastAsia" w:ascii="宋体" w:hAnsi="宋体" w:eastAsia="宋体" w:cs="Times New Roman"/>
          <w:b/>
          <w:bCs/>
          <w:color w:val="333333"/>
          <w:kern w:val="0"/>
          <w:sz w:val="44"/>
          <w:szCs w:val="44"/>
        </w:rPr>
        <w:t>录</w:t>
      </w:r>
    </w:p>
    <w:p>
      <w:pPr>
        <w:widowControl/>
        <w:shd w:val="clear" w:color="auto" w:fill="FFFFFF"/>
        <w:spacing w:line="540" w:lineRule="atLeast"/>
        <w:rPr>
          <w:rFonts w:ascii="Times New Roman" w:hAnsi="Times New Roman" w:eastAsia="宋体" w:cs="Times New Roman"/>
          <w:color w:val="333333"/>
          <w:kern w:val="0"/>
          <w:szCs w:val="21"/>
        </w:rPr>
      </w:pPr>
      <w:r>
        <w:rPr>
          <w:rFonts w:ascii="Times New Roman" w:hAnsi="Times New Roman" w:eastAsia="宋体" w:cs="Times New Roman"/>
          <w:b/>
          <w:bCs/>
          <w:color w:val="333333"/>
          <w:kern w:val="0"/>
          <w:sz w:val="44"/>
          <w:szCs w:val="44"/>
        </w:rPr>
        <w:t> </w:t>
      </w:r>
    </w:p>
    <w:p>
      <w:pPr>
        <w:widowControl/>
        <w:shd w:val="clear" w:color="auto" w:fill="FFFFFF"/>
        <w:spacing w:line="540" w:lineRule="atLeast"/>
        <w:rPr>
          <w:rFonts w:ascii="Times New Roman" w:hAnsi="Times New Roman" w:eastAsia="宋体" w:cs="Times New Roman"/>
          <w:color w:val="333333"/>
          <w:kern w:val="0"/>
          <w:szCs w:val="21"/>
        </w:rPr>
      </w:pPr>
      <w:r>
        <w:rPr>
          <w:rFonts w:ascii="Times New Roman" w:hAnsi="Times New Roman" w:eastAsia="宋体" w:cs="Times New Roman"/>
          <w:b/>
          <w:bCs/>
          <w:color w:val="333333"/>
          <w:kern w:val="0"/>
          <w:sz w:val="44"/>
          <w:szCs w:val="44"/>
        </w:rPr>
        <w:t> </w:t>
      </w:r>
    </w:p>
    <w:p>
      <w:pPr>
        <w:widowControl/>
        <w:shd w:val="clear" w:color="auto" w:fill="FFFFFF"/>
        <w:spacing w:line="540" w:lineRule="atLeast"/>
        <w:rPr>
          <w:rFonts w:ascii="Times New Roman" w:hAnsi="Times New Roman" w:eastAsia="宋体" w:cs="Times New Roman"/>
          <w:color w:val="333333"/>
          <w:kern w:val="0"/>
          <w:szCs w:val="21"/>
        </w:rPr>
      </w:pPr>
      <w:r>
        <w:rPr>
          <w:rFonts w:hint="eastAsia" w:ascii="黑体" w:hAnsi="黑体" w:eastAsia="黑体" w:cs="Times New Roman"/>
          <w:color w:val="333333"/>
          <w:kern w:val="0"/>
          <w:sz w:val="32"/>
          <w:szCs w:val="32"/>
        </w:rPr>
        <w:t>第一部分</w:t>
      </w:r>
      <w:r>
        <w:rPr>
          <w:rFonts w:ascii="Calibri" w:hAnsi="Calibri" w:eastAsia="黑体" w:cs="Calibri"/>
          <w:color w:val="333333"/>
          <w:kern w:val="0"/>
          <w:sz w:val="32"/>
          <w:szCs w:val="32"/>
        </w:rPr>
        <w:t>    </w:t>
      </w:r>
      <w:r>
        <w:rPr>
          <w:rFonts w:hint="eastAsia" w:ascii="黑体" w:hAnsi="黑体" w:eastAsia="黑体" w:cs="Times New Roman"/>
          <w:color w:val="333333"/>
          <w:kern w:val="0"/>
          <w:sz w:val="32"/>
          <w:szCs w:val="32"/>
        </w:rPr>
        <w:t>盘锦市兴隆台区环境保护局概况</w:t>
      </w:r>
    </w:p>
    <w:p>
      <w:pPr>
        <w:widowControl/>
        <w:shd w:val="clear" w:color="auto" w:fill="FFFFFF"/>
        <w:spacing w:line="540" w:lineRule="atLeast"/>
        <w:ind w:left="720" w:hanging="72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一、</w:t>
      </w:r>
      <w:r>
        <w:rPr>
          <w:rFonts w:ascii="Times New Roman" w:hAnsi="Times New Roman" w:eastAsia="仿宋" w:cs="Times New Roman"/>
          <w:color w:val="333333"/>
          <w:kern w:val="0"/>
          <w:sz w:val="14"/>
          <w:szCs w:val="14"/>
        </w:rPr>
        <w:t> </w:t>
      </w:r>
      <w:r>
        <w:rPr>
          <w:rFonts w:hint="eastAsia" w:ascii="仿宋" w:hAnsi="仿宋" w:eastAsia="仿宋" w:cs="Times New Roman"/>
          <w:color w:val="333333"/>
          <w:kern w:val="0"/>
          <w:sz w:val="32"/>
          <w:szCs w:val="32"/>
        </w:rPr>
        <w:t>主要职责及机构设置</w:t>
      </w:r>
    </w:p>
    <w:p>
      <w:pPr>
        <w:widowControl/>
        <w:shd w:val="clear" w:color="auto" w:fill="FFFFFF"/>
        <w:spacing w:line="540" w:lineRule="atLeast"/>
        <w:ind w:left="720" w:hanging="72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二、</w:t>
      </w:r>
      <w:r>
        <w:rPr>
          <w:rFonts w:ascii="Times New Roman" w:hAnsi="Times New Roman" w:eastAsia="仿宋" w:cs="Times New Roman"/>
          <w:color w:val="333333"/>
          <w:kern w:val="0"/>
          <w:sz w:val="14"/>
          <w:szCs w:val="14"/>
        </w:rPr>
        <w:t> </w:t>
      </w:r>
      <w:r>
        <w:rPr>
          <w:rFonts w:hint="eastAsia" w:ascii="仿宋" w:hAnsi="仿宋" w:eastAsia="仿宋" w:cs="Times New Roman"/>
          <w:color w:val="333333"/>
          <w:kern w:val="0"/>
          <w:sz w:val="32"/>
          <w:szCs w:val="32"/>
        </w:rPr>
        <w:t>部门决算单位构成</w:t>
      </w:r>
    </w:p>
    <w:p>
      <w:pPr>
        <w:widowControl/>
        <w:shd w:val="clear" w:color="auto" w:fill="FFFFFF"/>
        <w:spacing w:line="540" w:lineRule="atLeast"/>
        <w:rPr>
          <w:rFonts w:ascii="Times New Roman" w:hAnsi="Times New Roman" w:eastAsia="宋体" w:cs="Times New Roman"/>
          <w:color w:val="333333"/>
          <w:kern w:val="0"/>
          <w:szCs w:val="21"/>
        </w:rPr>
      </w:pPr>
      <w:r>
        <w:rPr>
          <w:rFonts w:hint="eastAsia" w:ascii="黑体" w:hAnsi="黑体" w:eastAsia="黑体" w:cs="Times New Roman"/>
          <w:color w:val="333333"/>
          <w:kern w:val="0"/>
          <w:sz w:val="32"/>
          <w:szCs w:val="32"/>
        </w:rPr>
        <w:t>第二部分</w:t>
      </w:r>
      <w:r>
        <w:rPr>
          <w:rFonts w:ascii="Calibri" w:hAnsi="Calibri" w:eastAsia="黑体" w:cs="Calibri"/>
          <w:color w:val="333333"/>
          <w:kern w:val="0"/>
          <w:sz w:val="32"/>
          <w:szCs w:val="32"/>
        </w:rPr>
        <w:t>  </w:t>
      </w:r>
      <w:r>
        <w:rPr>
          <w:rFonts w:hint="eastAsia" w:ascii="黑体" w:hAnsi="黑体" w:eastAsia="黑体" w:cs="Times New Roman"/>
          <w:color w:val="333333"/>
          <w:kern w:val="0"/>
          <w:sz w:val="32"/>
          <w:szCs w:val="32"/>
        </w:rPr>
        <w:t>盘锦市兴隆台区环境保护局2019年度部门决算报表</w:t>
      </w:r>
    </w:p>
    <w:p>
      <w:pPr>
        <w:widowControl/>
        <w:shd w:val="clear" w:color="auto" w:fill="FFFFFF"/>
        <w:spacing w:line="540" w:lineRule="atLeas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一、2019年度收入支出决算总表</w:t>
      </w:r>
    </w:p>
    <w:p>
      <w:pPr>
        <w:widowControl/>
        <w:shd w:val="clear" w:color="auto" w:fill="FFFFFF"/>
        <w:spacing w:line="540" w:lineRule="atLeas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二、2019年度收入决算表</w:t>
      </w:r>
    </w:p>
    <w:p>
      <w:pPr>
        <w:widowControl/>
        <w:shd w:val="clear" w:color="auto" w:fill="FFFFFF"/>
        <w:spacing w:line="540" w:lineRule="atLeas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三、2019年度支出决算表</w:t>
      </w:r>
    </w:p>
    <w:p>
      <w:pPr>
        <w:widowControl/>
        <w:shd w:val="clear" w:color="auto" w:fill="FFFFFF"/>
        <w:spacing w:line="540" w:lineRule="atLeas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四、2019年度财政拨款收入支出决算表</w:t>
      </w:r>
    </w:p>
    <w:p>
      <w:pPr>
        <w:widowControl/>
        <w:shd w:val="clear" w:color="auto" w:fill="FFFFFF"/>
        <w:spacing w:line="540" w:lineRule="atLeas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五、2019年度一般公共预算财政拨款收入支出决算表</w:t>
      </w:r>
    </w:p>
    <w:p>
      <w:pPr>
        <w:widowControl/>
        <w:shd w:val="clear" w:color="auto" w:fill="FFFFFF"/>
        <w:spacing w:line="540" w:lineRule="atLeas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六、2019年度一般公共预算财政拨款基本支出决算表</w:t>
      </w:r>
    </w:p>
    <w:p>
      <w:pPr>
        <w:widowControl/>
        <w:shd w:val="clear" w:color="auto" w:fill="FFFFFF"/>
        <w:spacing w:line="540" w:lineRule="atLeas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七、2019年度政府性基金预算财政拨款收入支出决算表</w:t>
      </w:r>
    </w:p>
    <w:p>
      <w:pPr>
        <w:widowControl/>
        <w:shd w:val="clear" w:color="auto" w:fill="FFFFFF"/>
        <w:spacing w:line="540" w:lineRule="atLeas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八、2019年度财政专户管理资金收入支出决算表</w:t>
      </w:r>
    </w:p>
    <w:p>
      <w:pPr>
        <w:widowControl/>
        <w:shd w:val="clear" w:color="auto" w:fill="FFFFFF"/>
        <w:spacing w:line="540" w:lineRule="atLeast"/>
        <w:ind w:left="640" w:hanging="64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九、2019年度一般公共预算财政拨款“三公”经费支出决算表</w:t>
      </w:r>
    </w:p>
    <w:p>
      <w:pPr>
        <w:widowControl/>
        <w:shd w:val="clear" w:color="auto" w:fill="FFFFFF"/>
        <w:spacing w:line="540" w:lineRule="atLeast"/>
        <w:rPr>
          <w:rFonts w:ascii="Times New Roman" w:hAnsi="Times New Roman" w:eastAsia="宋体" w:cs="Times New Roman"/>
          <w:color w:val="333333"/>
          <w:kern w:val="0"/>
          <w:szCs w:val="21"/>
        </w:rPr>
      </w:pPr>
      <w:r>
        <w:rPr>
          <w:rFonts w:hint="eastAsia" w:ascii="黑体" w:hAnsi="黑体" w:eastAsia="黑体" w:cs="Times New Roman"/>
          <w:color w:val="333333"/>
          <w:kern w:val="0"/>
          <w:sz w:val="32"/>
          <w:szCs w:val="32"/>
        </w:rPr>
        <w:t>第三部分</w:t>
      </w:r>
      <w:r>
        <w:rPr>
          <w:rFonts w:ascii="Calibri" w:hAnsi="Calibri" w:eastAsia="黑体" w:cs="Calibri"/>
          <w:color w:val="333333"/>
          <w:kern w:val="0"/>
          <w:sz w:val="32"/>
          <w:szCs w:val="32"/>
        </w:rPr>
        <w:t>  </w:t>
      </w:r>
      <w:r>
        <w:rPr>
          <w:rFonts w:hint="eastAsia" w:ascii="黑体" w:hAnsi="黑体" w:eastAsia="黑体" w:cs="Times New Roman"/>
          <w:color w:val="333333"/>
          <w:kern w:val="0"/>
          <w:sz w:val="32"/>
          <w:szCs w:val="32"/>
        </w:rPr>
        <w:t>盘锦市兴隆台区环境保护局2019年度部门决算情况说明</w:t>
      </w:r>
    </w:p>
    <w:p>
      <w:pPr>
        <w:widowControl/>
        <w:shd w:val="clear" w:color="auto" w:fill="FFFFFF"/>
        <w:spacing w:line="540" w:lineRule="atLeast"/>
        <w:rPr>
          <w:rFonts w:ascii="Times New Roman" w:hAnsi="Times New Roman" w:eastAsia="宋体" w:cs="Times New Roman"/>
          <w:color w:val="333333"/>
          <w:kern w:val="0"/>
          <w:szCs w:val="21"/>
        </w:rPr>
      </w:pPr>
      <w:r>
        <w:rPr>
          <w:rFonts w:hint="eastAsia" w:ascii="黑体" w:hAnsi="黑体" w:eastAsia="黑体" w:cs="Times New Roman"/>
          <w:color w:val="333333"/>
          <w:kern w:val="0"/>
          <w:sz w:val="32"/>
          <w:szCs w:val="32"/>
        </w:rPr>
        <w:t>第四部分</w:t>
      </w:r>
      <w:r>
        <w:rPr>
          <w:rFonts w:ascii="Calibri" w:hAnsi="Calibri" w:eastAsia="黑体" w:cs="Calibri"/>
          <w:color w:val="333333"/>
          <w:kern w:val="0"/>
          <w:sz w:val="32"/>
          <w:szCs w:val="32"/>
        </w:rPr>
        <w:t>    </w:t>
      </w:r>
      <w:r>
        <w:rPr>
          <w:rFonts w:hint="eastAsia" w:ascii="黑体" w:hAnsi="黑体" w:eastAsia="黑体" w:cs="Times New Roman"/>
          <w:color w:val="333333"/>
          <w:kern w:val="0"/>
          <w:sz w:val="32"/>
          <w:szCs w:val="32"/>
        </w:rPr>
        <w:t>名词解释</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ascii="Calibri" w:hAnsi="Calibri" w:eastAsia="黑体" w:cs="Calibri"/>
          <w:b/>
          <w:bCs/>
          <w:color w:val="333333"/>
          <w:kern w:val="0"/>
          <w:sz w:val="44"/>
          <w:szCs w:val="44"/>
        </w:rPr>
        <w:t> </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ascii="Times New Roman" w:hAnsi="Times New Roman" w:eastAsia="宋体" w:cs="Times New Roman"/>
          <w:b/>
          <w:bCs/>
          <w:color w:val="333333"/>
          <w:kern w:val="0"/>
          <w:sz w:val="44"/>
          <w:szCs w:val="44"/>
        </w:rPr>
        <w:t> </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ascii="Times New Roman" w:hAnsi="Times New Roman" w:eastAsia="宋体" w:cs="Times New Roman"/>
          <w:b/>
          <w:bCs/>
          <w:color w:val="333333"/>
          <w:kern w:val="0"/>
          <w:sz w:val="44"/>
          <w:szCs w:val="44"/>
        </w:rPr>
        <w:t> </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ascii="Times New Roman" w:hAnsi="Times New Roman" w:eastAsia="宋体" w:cs="Times New Roman"/>
          <w:b/>
          <w:bCs/>
          <w:color w:val="333333"/>
          <w:kern w:val="0"/>
          <w:sz w:val="44"/>
          <w:szCs w:val="44"/>
        </w:rPr>
        <w:t> </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ascii="Calibri" w:hAnsi="Calibri" w:eastAsia="黑体" w:cs="Calibri"/>
          <w:color w:val="333333"/>
          <w:kern w:val="0"/>
          <w:sz w:val="32"/>
          <w:szCs w:val="32"/>
        </w:rPr>
        <w:t> </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ascii="Calibri" w:hAnsi="Calibri" w:eastAsia="黑体" w:cs="Calibri"/>
          <w:color w:val="333333"/>
          <w:kern w:val="0"/>
          <w:sz w:val="32"/>
          <w:szCs w:val="32"/>
        </w:rPr>
        <w:t> </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hint="eastAsia" w:ascii="宋体" w:hAnsi="宋体" w:eastAsia="宋体" w:cs="Times New Roman"/>
          <w:b/>
          <w:bCs/>
          <w:color w:val="333333"/>
          <w:kern w:val="0"/>
          <w:sz w:val="36"/>
          <w:szCs w:val="36"/>
        </w:rPr>
        <w:t>第一部分</w:t>
      </w:r>
      <w:r>
        <w:rPr>
          <w:rFonts w:hint="eastAsia" w:ascii="黑体" w:hAnsi="黑体" w:eastAsia="黑体" w:cs="Times New Roman"/>
          <w:color w:val="333333"/>
          <w:kern w:val="0"/>
          <w:sz w:val="32"/>
          <w:szCs w:val="32"/>
        </w:rPr>
        <w:t>盘锦市兴隆台区环境保护局</w:t>
      </w:r>
      <w:r>
        <w:rPr>
          <w:rFonts w:hint="eastAsia" w:ascii="宋体" w:hAnsi="宋体" w:eastAsia="宋体" w:cs="Times New Roman"/>
          <w:b/>
          <w:bCs/>
          <w:color w:val="333333"/>
          <w:kern w:val="0"/>
          <w:sz w:val="36"/>
          <w:szCs w:val="36"/>
        </w:rPr>
        <w:t>概况</w:t>
      </w:r>
    </w:p>
    <w:p>
      <w:pPr>
        <w:widowControl/>
        <w:shd w:val="clear" w:color="auto" w:fill="FFFFFF"/>
        <w:spacing w:line="540" w:lineRule="atLeast"/>
        <w:ind w:firstLine="640"/>
        <w:jc w:val="left"/>
        <w:rPr>
          <w:rFonts w:ascii="Times New Roman" w:hAnsi="Times New Roman" w:eastAsia="宋体" w:cs="Times New Roman"/>
          <w:color w:val="333333"/>
          <w:kern w:val="0"/>
          <w:szCs w:val="21"/>
        </w:rPr>
      </w:pPr>
      <w:r>
        <w:rPr>
          <w:rFonts w:ascii="Calibri" w:hAnsi="Calibri" w:eastAsia="黑体" w:cs="Calibri"/>
          <w:color w:val="333333"/>
          <w:kern w:val="0"/>
          <w:sz w:val="32"/>
          <w:szCs w:val="32"/>
        </w:rPr>
        <w:t> </w:t>
      </w:r>
    </w:p>
    <w:p>
      <w:pPr>
        <w:widowControl/>
        <w:shd w:val="clear" w:color="auto" w:fill="FFFFFF"/>
        <w:spacing w:line="540" w:lineRule="atLeast"/>
        <w:ind w:firstLine="640"/>
        <w:jc w:val="left"/>
        <w:rPr>
          <w:rFonts w:ascii="Times New Roman" w:hAnsi="Times New Roman" w:eastAsia="宋体" w:cs="Times New Roman"/>
          <w:color w:val="333333"/>
          <w:kern w:val="0"/>
          <w:szCs w:val="21"/>
        </w:rPr>
      </w:pPr>
      <w:r>
        <w:rPr>
          <w:rFonts w:hint="eastAsia" w:ascii="黑体" w:hAnsi="黑体" w:eastAsia="黑体" w:cs="Times New Roman"/>
          <w:color w:val="333333"/>
          <w:kern w:val="0"/>
          <w:sz w:val="32"/>
          <w:szCs w:val="32"/>
        </w:rPr>
        <w:t>一、主要职责及机构设置</w:t>
      </w:r>
    </w:p>
    <w:p>
      <w:pPr>
        <w:widowControl/>
        <w:shd w:val="clear" w:color="auto" w:fill="FFFFFF"/>
        <w:spacing w:line="600" w:lineRule="atLeas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--兴隆台区环保局职能：</w:t>
      </w:r>
      <w:r>
        <w:rPr>
          <w:rFonts w:hint="eastAsia" w:ascii="仿宋" w:hAnsi="仿宋" w:eastAsia="仿宋" w:cs="Times New Roman"/>
          <w:color w:val="333333"/>
          <w:kern w:val="0"/>
          <w:sz w:val="32"/>
          <w:szCs w:val="32"/>
        </w:rPr>
        <w:t>依照国家和省、市有关法律、法规、政策，对全区环境保护工作实施统一监督管理，保护和改善生活环境与生态环境，防治污染和其他公害，保障公民身体健康，促进经济和社会持续、协调、健康的发展。统一监督管理固定废物、废水、废气、粉尘、恶臭其他、噪声、振动、放射性物质、电磁波辐射等污染与防治，做好全区环境综合整治定量考核的组织、协调与防治。负责权限内规划和建设项目的环评审批，“三同时”监督管理和环境保护设施的验收工作。负责大气、噪声和地表水等的各项环境要素的质量状况监测工作。负责环境监察、统计、环境信息工作；负责查处上报环境重特大污染事故，生态破坏事件，处理环境信访，征收排污费。负责权限内大气、水污染物排污许可证、危险废物经营许可证、烟尘排放合格证的办理。组织、指导和协调环境保护宣传教育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w:t>
      </w:r>
      <w:r>
        <w:rPr>
          <w:rFonts w:ascii="Calibri" w:hAnsi="Calibri" w:eastAsia="仿宋" w:cs="Calibri"/>
          <w:color w:val="333333"/>
          <w:kern w:val="0"/>
          <w:sz w:val="32"/>
          <w:szCs w:val="32"/>
        </w:rPr>
        <w:t> </w:t>
      </w:r>
      <w:r>
        <w:rPr>
          <w:rFonts w:hint="eastAsia" w:ascii="仿宋" w:hAnsi="仿宋" w:eastAsia="仿宋" w:cs="Times New Roman"/>
          <w:b/>
          <w:bCs/>
          <w:color w:val="333333"/>
          <w:kern w:val="0"/>
          <w:sz w:val="32"/>
          <w:szCs w:val="32"/>
        </w:rPr>
        <w:t>--内部共设置5个职能科室，1个直属事业单位：</w:t>
      </w:r>
      <w:r>
        <w:rPr>
          <w:rFonts w:hint="eastAsia" w:ascii="仿宋" w:hAnsi="仿宋" w:eastAsia="仿宋" w:cs="Times New Roman"/>
          <w:color w:val="333333"/>
          <w:kern w:val="0"/>
          <w:sz w:val="32"/>
          <w:szCs w:val="32"/>
        </w:rPr>
        <w:t>职能科室分别为综合办公室、监督管理办公室、污染防治办公室、安全督查办公室、行政审批办公室；直属事业单位为兴隆台区环境监测站。</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楷体" w:hAnsi="楷体" w:eastAsia="楷体" w:cs="Times New Roman"/>
          <w:b/>
          <w:bCs/>
          <w:color w:val="333333"/>
          <w:kern w:val="0"/>
          <w:sz w:val="32"/>
          <w:szCs w:val="32"/>
        </w:rPr>
        <w:t>一、主要领导及工作分工</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负责人：赵广慧---负责全面工作，分管综合办公室</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副局长：郑</w:t>
      </w: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丽---分管监督管理办公室、污染防治办公室、行政审批办公室、环境监测站、</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楷体" w:hAnsi="楷体" w:eastAsia="楷体" w:cs="Times New Roman"/>
          <w:b/>
          <w:bCs/>
          <w:color w:val="333333"/>
          <w:kern w:val="0"/>
          <w:sz w:val="32"/>
          <w:szCs w:val="32"/>
        </w:rPr>
        <w:t>二、各科室及直属事业单位职能分工</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b/>
          <w:bCs/>
          <w:color w:val="333333"/>
          <w:kern w:val="0"/>
          <w:sz w:val="32"/>
          <w:szCs w:val="32"/>
        </w:rPr>
        <w:t>（一）综合办公室</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工作职责：</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1、负责起草局工作计划、总结，并组织实施；</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2、负责党务、纪检监察工作；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3、负责机关和直属单位的组织人事、劳动工资、财务、综合统计、政府采购、保密、行政接待、后勤保障工作；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4、拟定监督制度并执行；</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5、负责局内部和直属事业单位绩效考核工作；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6、负责文件的收发、传阅、督办、文秘和文书档案管理；</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7、负责固定资产、办公设备用品、局印章的管理工作。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b/>
          <w:bCs/>
          <w:color w:val="333333"/>
          <w:kern w:val="0"/>
          <w:sz w:val="32"/>
          <w:szCs w:val="32"/>
        </w:rPr>
        <w:t>（二）监督管理办公室</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工作职责：</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1、组织实施排污申报登记、城市环境综合整治定量考核等管理制度、环境统计上报工作；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2、组织拟定有关污染防治规划并对实施情况进行监督；</w:t>
      </w:r>
      <w:r>
        <w:rPr>
          <w:rFonts w:hint="eastAsia" w:ascii="仿宋" w:hAnsi="仿宋" w:eastAsia="仿宋" w:cs="Times New Roman"/>
          <w:color w:val="333333"/>
          <w:kern w:val="0"/>
          <w:sz w:val="32"/>
          <w:szCs w:val="32"/>
        </w:rPr>
        <w:br w:type="textWrapping"/>
      </w: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3、负责组织对建设项目跟踪监督管理并进行“三同时”检查；对试生产申请和项目竣工环境保护验收申请作出验收审批意见；</w:t>
      </w:r>
      <w:r>
        <w:rPr>
          <w:rFonts w:hint="eastAsia" w:ascii="仿宋" w:hAnsi="仿宋" w:eastAsia="仿宋" w:cs="Times New Roman"/>
          <w:color w:val="333333"/>
          <w:kern w:val="0"/>
          <w:sz w:val="32"/>
          <w:szCs w:val="32"/>
        </w:rPr>
        <w:br w:type="textWrapping"/>
      </w: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4、负责拟定并实施本辖区污染物排放总量控制计划，落实减排专项资金和其他环保专项资金使用，推进污染减排；</w:t>
      </w:r>
      <w:r>
        <w:rPr>
          <w:rFonts w:hint="eastAsia" w:ascii="仿宋" w:hAnsi="仿宋" w:eastAsia="仿宋" w:cs="Times New Roman"/>
          <w:color w:val="333333"/>
          <w:kern w:val="0"/>
          <w:sz w:val="32"/>
          <w:szCs w:val="32"/>
        </w:rPr>
        <w:br w:type="textWrapping"/>
      </w: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5、负责上报审批重大项目的推进协调工作；</w:t>
      </w:r>
      <w:r>
        <w:rPr>
          <w:rFonts w:hint="eastAsia" w:ascii="仿宋" w:hAnsi="仿宋" w:eastAsia="仿宋" w:cs="Times New Roman"/>
          <w:color w:val="333333"/>
          <w:kern w:val="0"/>
          <w:sz w:val="32"/>
          <w:szCs w:val="32"/>
        </w:rPr>
        <w:br w:type="textWrapping"/>
      </w: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6、土壤污染防治污染源调查工作；</w:t>
      </w:r>
      <w:r>
        <w:rPr>
          <w:rFonts w:hint="eastAsia" w:ascii="仿宋" w:hAnsi="仿宋" w:eastAsia="仿宋" w:cs="Times New Roman"/>
          <w:color w:val="333333"/>
          <w:kern w:val="0"/>
          <w:sz w:val="32"/>
          <w:szCs w:val="32"/>
        </w:rPr>
        <w:br w:type="textWrapping"/>
      </w: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7、秸秆禁烧防治工作；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8、大气污染防治工作；</w:t>
      </w:r>
      <w:r>
        <w:rPr>
          <w:rFonts w:hint="eastAsia" w:ascii="仿宋" w:hAnsi="仿宋" w:eastAsia="仿宋" w:cs="Times New Roman"/>
          <w:color w:val="333333"/>
          <w:kern w:val="0"/>
          <w:sz w:val="32"/>
          <w:szCs w:val="32"/>
        </w:rPr>
        <w:br w:type="textWrapping"/>
      </w: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9、建成区内燃煤锅炉取缔拆除及改清洁能源工作。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b/>
          <w:bCs/>
          <w:color w:val="333333"/>
          <w:kern w:val="0"/>
          <w:sz w:val="32"/>
          <w:szCs w:val="32"/>
        </w:rPr>
        <w:t>（三）污染防治办公室</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工作职责：</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污染防治类</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1、负责辖区内环境污染防治计划的制订；</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2、负责支流河沿岸的废水等污染源的监督和管理；</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3、负责饮用水源地环境保护；</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4、负责环境设施建设和专业化运营单位监管；</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5、负责污水处理设施运行管理工作；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6、负责污染防治相关工程和设施建设和日常管理工作。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生态管理类</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1、负责管理农村生态环境保护工作;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2、负责指导生态产业发展，编制生态产业发展规划，组织生态产业的监测和评估；</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3、负责区生态建设项目论证、立项、验收及资金筹措使用等指导管理工作；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4、负责拟定农村环境保护规划，并组织实施；</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5、负责组织指导农村环境综合整治工作；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6、监督、指导农村土壤污染防治工作；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7、监督、协调有机食品发展工作；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8、指导、监督养殖污染综合防治、农村面源污染防治工作；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9、负责监督管理自然环境保护工作；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10、监督对生态环境有影响的资源开发活动；</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11、监督检查各类自然保护区、风景名胜区的环境保护工作；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12、监督检查生物多样性、野生动植物保护、湿地环境保护工作;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13、负责重要生态环境建设和生态破坏恢复工作。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b/>
          <w:bCs/>
          <w:color w:val="333333"/>
          <w:kern w:val="0"/>
          <w:sz w:val="32"/>
          <w:szCs w:val="32"/>
        </w:rPr>
        <w:t>    </w:t>
      </w:r>
      <w:r>
        <w:rPr>
          <w:rFonts w:ascii="Calibri" w:hAnsi="Calibri" w:eastAsia="仿宋" w:cs="Calibri"/>
          <w:color w:val="333333"/>
          <w:kern w:val="0"/>
          <w:sz w:val="32"/>
          <w:szCs w:val="32"/>
        </w:rPr>
        <w:t> </w:t>
      </w:r>
      <w:r>
        <w:rPr>
          <w:rFonts w:hint="eastAsia" w:ascii="仿宋" w:hAnsi="仿宋" w:eastAsia="仿宋" w:cs="Times New Roman"/>
          <w:b/>
          <w:bCs/>
          <w:color w:val="333333"/>
          <w:kern w:val="0"/>
          <w:sz w:val="32"/>
          <w:szCs w:val="32"/>
        </w:rPr>
        <w:t>（四）安全督查办公室</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工作职责：</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法制监管类---对接上级部门（市、区）法制办的相关工作，对环境监察处罚案卷的监督管理工作，落实依法行政的各项工作。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网络平台类---负责沟通协调与区网格中心对接的相关工作，负责全局的网站平台建设与维护工作。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宣传报导类</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1、组织指导和协调全局宣传教育工作；</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2、参与拟定、实施辖区内环境保护宣传教育计划和重大活动的总体方案；</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w:t>
      </w: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3、开展环境友好型社会建设的有关宣传教育工作，推动社会公众和社会组织参与环境保护；</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p>
    <w:p>
      <w:pPr>
        <w:widowControl/>
        <w:shd w:val="clear" w:color="auto" w:fill="FFFFFF"/>
        <w:spacing w:line="600" w:lineRule="atLeas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（五）行政审批办公室</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工作职责：</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w:t>
      </w: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1、负责环境影响评价制度相关法律、规章、制度、政策的执行；</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2、负责权限内规划环境影响评价文件预审、审查、项目环境影响评价文件的审批、备案及事中事后全过程监管；</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3、受理建设项目试生产（试运行）的环境保护审批和竣工环境保护申请；</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4、排污许可证发放；</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5、负责行政审批大厅相关业务申请受理和审批工作。</w:t>
      </w:r>
      <w:r>
        <w:rPr>
          <w:rFonts w:ascii="Calibri" w:hAnsi="Calibri" w:eastAsia="仿宋" w:cs="Calibri"/>
          <w:color w:val="333333"/>
          <w:kern w:val="0"/>
          <w:sz w:val="32"/>
          <w:szCs w:val="32"/>
        </w:rPr>
        <w:t>     </w:t>
      </w:r>
    </w:p>
    <w:p>
      <w:pPr>
        <w:widowControl/>
        <w:shd w:val="clear" w:color="auto" w:fill="FFFFFF"/>
        <w:spacing w:line="540" w:lineRule="atLeast"/>
        <w:ind w:firstLine="640"/>
        <w:jc w:val="lef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下设一个二级单位，环境监测站：</w:t>
      </w:r>
    </w:p>
    <w:p>
      <w:pPr>
        <w:widowControl/>
        <w:shd w:val="clear" w:color="auto" w:fill="FFFFFF"/>
        <w:spacing w:line="600" w:lineRule="atLeas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工作职责：</w:t>
      </w:r>
    </w:p>
    <w:p>
      <w:pPr>
        <w:widowControl/>
        <w:shd w:val="clear" w:color="auto" w:fill="FFFFFF"/>
        <w:spacing w:line="600" w:lineRule="atLeast"/>
        <w:rPr>
          <w:rFonts w:ascii="Times New Roman" w:hAnsi="Times New Roman" w:eastAsia="宋体" w:cs="Times New Roman"/>
          <w:color w:val="333333"/>
          <w:kern w:val="0"/>
          <w:szCs w:val="21"/>
        </w:rPr>
      </w:pP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1、对辖区内各种环境要素的质量状况，按照国家统一规定要求，制定监测计划，进行经常性监测；</w:t>
      </w:r>
      <w:r>
        <w:rPr>
          <w:rFonts w:hint="eastAsia" w:ascii="仿宋" w:hAnsi="仿宋" w:eastAsia="仿宋" w:cs="Times New Roman"/>
          <w:color w:val="333333"/>
          <w:kern w:val="0"/>
          <w:sz w:val="32"/>
          <w:szCs w:val="32"/>
        </w:rPr>
        <w:br w:type="textWrapping"/>
      </w: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2、对区内排污单位进行定期或不定期的监测，监督和检查各单位执行各类环境法规和标准情况，为排污收费和环境管理提供监测数据；</w:t>
      </w:r>
      <w:r>
        <w:rPr>
          <w:rFonts w:hint="eastAsia" w:ascii="仿宋" w:hAnsi="仿宋" w:eastAsia="仿宋" w:cs="Times New Roman"/>
          <w:color w:val="333333"/>
          <w:kern w:val="0"/>
          <w:sz w:val="32"/>
          <w:szCs w:val="32"/>
        </w:rPr>
        <w:br w:type="textWrapping"/>
      </w: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3、完成环境保护主管部门为进行环境管理所需要的各项监测任务；</w:t>
      </w:r>
      <w:r>
        <w:rPr>
          <w:rFonts w:hint="eastAsia" w:ascii="仿宋" w:hAnsi="仿宋" w:eastAsia="仿宋" w:cs="Times New Roman"/>
          <w:color w:val="333333"/>
          <w:kern w:val="0"/>
          <w:sz w:val="32"/>
          <w:szCs w:val="32"/>
        </w:rPr>
        <w:br w:type="textWrapping"/>
      </w: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4、参加区内污染事件调查，为仲裁环境污染纠纷提供监测数据；</w:t>
      </w:r>
      <w:r>
        <w:rPr>
          <w:rFonts w:hint="eastAsia" w:ascii="仿宋" w:hAnsi="仿宋" w:eastAsia="仿宋" w:cs="Times New Roman"/>
          <w:color w:val="333333"/>
          <w:kern w:val="0"/>
          <w:sz w:val="32"/>
          <w:szCs w:val="32"/>
        </w:rPr>
        <w:br w:type="textWrapping"/>
      </w: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5、对区内污染源的治理提供监测数据，为政府领导对环境保护工作的各种决策提供依据；</w:t>
      </w:r>
      <w:r>
        <w:rPr>
          <w:rFonts w:hint="eastAsia" w:ascii="仿宋" w:hAnsi="仿宋" w:eastAsia="仿宋" w:cs="Times New Roman"/>
          <w:color w:val="333333"/>
          <w:kern w:val="0"/>
          <w:sz w:val="32"/>
          <w:szCs w:val="32"/>
        </w:rPr>
        <w:br w:type="textWrapping"/>
      </w:r>
      <w:r>
        <w:rPr>
          <w:rFonts w:ascii="Calibri" w:hAnsi="Calibri" w:eastAsia="仿宋" w:cs="Calibri"/>
          <w:color w:val="333333"/>
          <w:kern w:val="0"/>
          <w:sz w:val="32"/>
          <w:szCs w:val="32"/>
        </w:rPr>
        <w:t>   </w:t>
      </w:r>
      <w:r>
        <w:rPr>
          <w:rFonts w:hint="eastAsia" w:ascii="仿宋" w:hAnsi="仿宋" w:eastAsia="仿宋" w:cs="Times New Roman"/>
          <w:color w:val="333333"/>
          <w:kern w:val="0"/>
          <w:sz w:val="32"/>
          <w:szCs w:val="32"/>
        </w:rPr>
        <w:t xml:space="preserve"> 6、对辖区内的突发污染事件，应做出快速反映，及时进入事件现场进行监测；</w:t>
      </w:r>
    </w:p>
    <w:p>
      <w:pPr>
        <w:widowControl/>
        <w:shd w:val="clear" w:color="auto" w:fill="FFFFFF"/>
        <w:spacing w:line="540" w:lineRule="atLeast"/>
        <w:ind w:firstLine="640"/>
        <w:jc w:val="left"/>
        <w:rPr>
          <w:rFonts w:ascii="Times New Roman" w:hAnsi="Times New Roman" w:eastAsia="宋体" w:cs="Times New Roman"/>
          <w:color w:val="333333"/>
          <w:kern w:val="0"/>
          <w:szCs w:val="21"/>
        </w:rPr>
      </w:pPr>
      <w:r>
        <w:rPr>
          <w:rFonts w:hint="eastAsia" w:ascii="黑体" w:hAnsi="黑体" w:eastAsia="黑体" w:cs="Times New Roman"/>
          <w:color w:val="333333"/>
          <w:kern w:val="0"/>
          <w:sz w:val="32"/>
          <w:szCs w:val="32"/>
        </w:rPr>
        <w:t>二、部门决算单位构成</w:t>
      </w:r>
    </w:p>
    <w:p>
      <w:pPr>
        <w:widowControl/>
        <w:shd w:val="clear" w:color="auto" w:fill="FFFFFF"/>
        <w:spacing w:line="540" w:lineRule="atLeast"/>
        <w:ind w:firstLine="640"/>
        <w:jc w:val="lef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根据《关于批复2019年度部门决算的通知》（盘财库[2019]168号）文件要求，纳入盘锦市兴隆台区环境保护局2019年部门决算编制范围的二级预算单位包括：</w:t>
      </w:r>
    </w:p>
    <w:p>
      <w:pPr>
        <w:widowControl/>
        <w:shd w:val="clear" w:color="auto" w:fill="FFFFFF"/>
        <w:spacing w:line="540" w:lineRule="atLeast"/>
        <w:ind w:firstLine="640"/>
        <w:jc w:val="lef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1.兴隆台区环境保护局</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hint="eastAsia" w:ascii="宋体" w:hAnsi="宋体" w:eastAsia="宋体" w:cs="Times New Roman"/>
          <w:b/>
          <w:bCs/>
          <w:color w:val="333333"/>
          <w:kern w:val="0"/>
          <w:sz w:val="36"/>
          <w:szCs w:val="36"/>
        </w:rPr>
        <w:t> </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hint="eastAsia" w:ascii="宋体" w:hAnsi="宋体" w:eastAsia="宋体" w:cs="Times New Roman"/>
          <w:b/>
          <w:bCs/>
          <w:color w:val="333333"/>
          <w:kern w:val="0"/>
          <w:sz w:val="36"/>
          <w:szCs w:val="36"/>
        </w:rPr>
        <w:t>第二部分</w:t>
      </w:r>
      <w:r>
        <w:rPr>
          <w:rFonts w:hint="eastAsia" w:ascii="黑体" w:hAnsi="黑体" w:eastAsia="黑体" w:cs="Times New Roman"/>
          <w:color w:val="333333"/>
          <w:kern w:val="0"/>
          <w:sz w:val="32"/>
          <w:szCs w:val="32"/>
        </w:rPr>
        <w:t>盘锦市兴隆台区环境保护局</w:t>
      </w:r>
      <w:r>
        <w:rPr>
          <w:rFonts w:hint="eastAsia" w:ascii="宋体" w:hAnsi="宋体" w:eastAsia="宋体" w:cs="Times New Roman"/>
          <w:b/>
          <w:bCs/>
          <w:color w:val="333333"/>
          <w:kern w:val="0"/>
          <w:sz w:val="36"/>
          <w:szCs w:val="36"/>
        </w:rPr>
        <w:t>2019年度部门决算公开报表</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ascii="Calibri" w:hAnsi="Calibri" w:eastAsia="仿宋" w:cs="Calibri"/>
          <w:b/>
          <w:bCs/>
          <w:color w:val="333333"/>
          <w:kern w:val="0"/>
          <w:sz w:val="32"/>
          <w:szCs w:val="32"/>
        </w:rPr>
        <w:t> </w:t>
      </w:r>
    </w:p>
    <w:p>
      <w:pPr>
        <w:widowControl/>
        <w:shd w:val="clear" w:color="auto" w:fill="FFFFFF"/>
        <w:spacing w:line="540" w:lineRule="atLeast"/>
        <w:ind w:firstLine="640"/>
        <w:jc w:val="lef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1.2019年度收入支出决算总表</w:t>
      </w:r>
    </w:p>
    <w:p>
      <w:pPr>
        <w:widowControl/>
        <w:shd w:val="clear" w:color="auto" w:fill="FFFFFF"/>
        <w:spacing w:line="540" w:lineRule="atLeast"/>
        <w:ind w:firstLine="640"/>
        <w:jc w:val="lef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2.2019年度收入决算表</w:t>
      </w:r>
    </w:p>
    <w:p>
      <w:pPr>
        <w:widowControl/>
        <w:shd w:val="clear" w:color="auto" w:fill="FFFFFF"/>
        <w:spacing w:line="540" w:lineRule="atLeast"/>
        <w:ind w:firstLine="640"/>
        <w:jc w:val="lef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3.2019年度支出决算表</w:t>
      </w:r>
    </w:p>
    <w:p>
      <w:pPr>
        <w:widowControl/>
        <w:shd w:val="clear" w:color="auto" w:fill="FFFFFF"/>
        <w:spacing w:line="540" w:lineRule="atLeast"/>
        <w:ind w:firstLine="640"/>
        <w:jc w:val="lef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4.2019年度财政拨款收入支出决算表</w:t>
      </w:r>
    </w:p>
    <w:p>
      <w:pPr>
        <w:widowControl/>
        <w:shd w:val="clear" w:color="auto" w:fill="FFFFFF"/>
        <w:spacing w:line="540" w:lineRule="atLeast"/>
        <w:ind w:firstLine="640"/>
        <w:jc w:val="lef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5.2019年度一般公共预算财政拨款收入支出决算表</w:t>
      </w:r>
    </w:p>
    <w:p>
      <w:pPr>
        <w:widowControl/>
        <w:shd w:val="clear" w:color="auto" w:fill="FFFFFF"/>
        <w:spacing w:line="540" w:lineRule="atLeast"/>
        <w:ind w:firstLine="640"/>
        <w:jc w:val="lef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6.2019年度一般公共预算财政拨款基本支出决算表</w:t>
      </w:r>
    </w:p>
    <w:p>
      <w:pPr>
        <w:widowControl/>
        <w:shd w:val="clear" w:color="auto" w:fill="FFFFFF"/>
        <w:spacing w:line="540" w:lineRule="atLeast"/>
        <w:ind w:firstLine="640"/>
        <w:jc w:val="lef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7.2019年度政府性基金预算财政拨款收入支出决算表</w:t>
      </w:r>
    </w:p>
    <w:p>
      <w:pPr>
        <w:widowControl/>
        <w:shd w:val="clear" w:color="auto" w:fill="FFFFFF"/>
        <w:spacing w:line="540" w:lineRule="atLeast"/>
        <w:ind w:firstLine="640"/>
        <w:jc w:val="lef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8.2019年度财政专户管理资金收入支出决算表</w:t>
      </w:r>
    </w:p>
    <w:p>
      <w:pPr>
        <w:widowControl/>
        <w:shd w:val="clear" w:color="auto" w:fill="FFFFFF"/>
        <w:spacing w:line="540" w:lineRule="atLeast"/>
        <w:ind w:firstLine="640"/>
        <w:jc w:val="lef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9.2019年度一般公共预算财政拨款“三公”经费支出决算表</w:t>
      </w:r>
    </w:p>
    <w:p>
      <w:pPr>
        <w:widowControl/>
        <w:shd w:val="clear" w:color="auto" w:fill="FFFFFF"/>
        <w:spacing w:line="540" w:lineRule="atLeast"/>
        <w:ind w:firstLine="640"/>
        <w:jc w:val="left"/>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详见《盘锦市兴隆台区环境保护局2019年度部门决算公开报表》</w:t>
      </w:r>
    </w:p>
    <w:p>
      <w:pPr>
        <w:widowControl/>
        <w:shd w:val="clear" w:color="auto" w:fill="FFFFFF"/>
        <w:spacing w:line="540" w:lineRule="atLeast"/>
        <w:rPr>
          <w:rFonts w:ascii="Times New Roman" w:hAnsi="Times New Roman" w:eastAsia="宋体" w:cs="Times New Roman"/>
          <w:color w:val="333333"/>
          <w:kern w:val="0"/>
          <w:szCs w:val="21"/>
        </w:rPr>
      </w:pPr>
      <w:r>
        <w:rPr>
          <w:rFonts w:ascii="Calibri" w:hAnsi="Calibri" w:eastAsia="仿宋" w:cs="Calibri"/>
          <w:b/>
          <w:bCs/>
          <w:color w:val="333333"/>
          <w:kern w:val="0"/>
          <w:sz w:val="32"/>
          <w:szCs w:val="32"/>
        </w:rPr>
        <w:t> </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hint="eastAsia" w:ascii="宋体" w:hAnsi="宋体" w:eastAsia="宋体" w:cs="Times New Roman"/>
          <w:b/>
          <w:bCs/>
          <w:color w:val="333333"/>
          <w:kern w:val="0"/>
          <w:sz w:val="36"/>
          <w:szCs w:val="36"/>
        </w:rPr>
        <w:t>第三部分</w:t>
      </w:r>
      <w:r>
        <w:rPr>
          <w:rFonts w:hint="eastAsia" w:ascii="黑体" w:hAnsi="黑体" w:eastAsia="黑体" w:cs="Times New Roman"/>
          <w:color w:val="333333"/>
          <w:kern w:val="0"/>
          <w:sz w:val="32"/>
          <w:szCs w:val="32"/>
        </w:rPr>
        <w:t>盘锦市兴隆台区环境保护局</w:t>
      </w:r>
      <w:r>
        <w:rPr>
          <w:rFonts w:hint="eastAsia" w:ascii="宋体" w:hAnsi="宋体" w:eastAsia="宋体" w:cs="Times New Roman"/>
          <w:b/>
          <w:bCs/>
          <w:color w:val="333333"/>
          <w:kern w:val="0"/>
          <w:sz w:val="36"/>
          <w:szCs w:val="36"/>
        </w:rPr>
        <w:t>2019年度部门</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hint="eastAsia" w:ascii="宋体" w:hAnsi="宋体" w:eastAsia="宋体" w:cs="Times New Roman"/>
          <w:b/>
          <w:bCs/>
          <w:color w:val="333333"/>
          <w:kern w:val="0"/>
          <w:sz w:val="36"/>
          <w:szCs w:val="36"/>
        </w:rPr>
        <w:t>决算情况说明</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hint="eastAsia" w:ascii="宋体" w:hAnsi="宋体" w:eastAsia="宋体" w:cs="Times New Roman"/>
          <w:b/>
          <w:bCs/>
          <w:color w:val="333333"/>
          <w:kern w:val="0"/>
          <w:sz w:val="36"/>
          <w:szCs w:val="36"/>
        </w:rPr>
        <w:t> </w:t>
      </w:r>
    </w:p>
    <w:p>
      <w:pPr>
        <w:widowControl/>
        <w:shd w:val="clear" w:color="auto" w:fill="FFFFFF"/>
        <w:spacing w:line="540" w:lineRule="atLeast"/>
        <w:ind w:firstLine="627"/>
        <w:rPr>
          <w:rFonts w:ascii="Times New Roman" w:hAnsi="Times New Roman" w:eastAsia="宋体" w:cs="Times New Roman"/>
          <w:color w:val="333333"/>
          <w:kern w:val="0"/>
          <w:szCs w:val="21"/>
        </w:rPr>
      </w:pPr>
      <w:r>
        <w:rPr>
          <w:rFonts w:hint="eastAsia" w:ascii="黑体" w:hAnsi="黑体" w:eastAsia="黑体" w:cs="Times New Roman"/>
          <w:color w:val="333333"/>
          <w:kern w:val="0"/>
          <w:sz w:val="32"/>
          <w:szCs w:val="32"/>
        </w:rPr>
        <w:t>一、收入支出决算总体情况</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楷体" w:hAnsi="楷体" w:eastAsia="楷体" w:cs="Times New Roman"/>
          <w:b/>
          <w:bCs/>
          <w:color w:val="333333"/>
          <w:kern w:val="0"/>
          <w:sz w:val="32"/>
          <w:szCs w:val="32"/>
        </w:rPr>
        <w:t>（一）收入总计</w:t>
      </w:r>
      <w:r>
        <w:rPr>
          <w:rFonts w:hint="eastAsia" w:ascii="楷体" w:hAnsi="楷体" w:eastAsia="楷体" w:cs="Times New Roman"/>
          <w:b/>
          <w:bCs/>
          <w:color w:val="333333"/>
          <w:kern w:val="0"/>
          <w:sz w:val="32"/>
          <w:szCs w:val="32"/>
          <w:lang w:val="en-US" w:eastAsia="zh-CN"/>
        </w:rPr>
        <w:t>670.57</w:t>
      </w:r>
      <w:r>
        <w:rPr>
          <w:rFonts w:hint="eastAsia" w:ascii="楷体" w:hAnsi="楷体" w:eastAsia="楷体" w:cs="Times New Roman"/>
          <w:b/>
          <w:bCs/>
          <w:color w:val="333333"/>
          <w:kern w:val="0"/>
          <w:sz w:val="32"/>
          <w:szCs w:val="32"/>
        </w:rPr>
        <w:t>万元，</w:t>
      </w:r>
      <w:r>
        <w:rPr>
          <w:rFonts w:hint="eastAsia" w:ascii="仿宋" w:hAnsi="仿宋" w:eastAsia="仿宋" w:cs="Times New Roman"/>
          <w:color w:val="333333"/>
          <w:kern w:val="0"/>
          <w:sz w:val="32"/>
          <w:szCs w:val="32"/>
        </w:rPr>
        <w:t>与2018年度部门决算相比较，</w:t>
      </w:r>
      <w:r>
        <w:rPr>
          <w:rFonts w:hint="eastAsia" w:ascii="仿宋" w:hAnsi="仿宋" w:eastAsia="仿宋" w:cs="Times New Roman"/>
          <w:color w:val="000000"/>
          <w:kern w:val="0"/>
          <w:sz w:val="32"/>
          <w:szCs w:val="32"/>
        </w:rPr>
        <w:t>今年收入减少</w:t>
      </w:r>
      <w:r>
        <w:rPr>
          <w:rFonts w:hint="eastAsia" w:ascii="仿宋" w:hAnsi="仿宋" w:eastAsia="仿宋" w:cs="Times New Roman"/>
          <w:color w:val="000000"/>
          <w:kern w:val="0"/>
          <w:sz w:val="32"/>
          <w:szCs w:val="32"/>
          <w:lang w:val="en-US" w:eastAsia="zh-CN"/>
        </w:rPr>
        <w:t>113.81</w:t>
      </w:r>
      <w:r>
        <w:rPr>
          <w:rFonts w:hint="eastAsia" w:ascii="仿宋" w:hAnsi="仿宋" w:eastAsia="仿宋" w:cs="Times New Roman"/>
          <w:color w:val="000000"/>
          <w:kern w:val="0"/>
          <w:sz w:val="32"/>
          <w:szCs w:val="32"/>
        </w:rPr>
        <w:t>万元，降低</w:t>
      </w:r>
      <w:r>
        <w:rPr>
          <w:rFonts w:hint="eastAsia" w:ascii="仿宋" w:hAnsi="仿宋" w:eastAsia="仿宋" w:cs="Times New Roman"/>
          <w:color w:val="000000"/>
          <w:kern w:val="0"/>
          <w:sz w:val="32"/>
          <w:szCs w:val="32"/>
          <w:lang w:val="en-US" w:eastAsia="zh-CN"/>
        </w:rPr>
        <w:t>14.51</w:t>
      </w:r>
      <w:r>
        <w:rPr>
          <w:rFonts w:hint="eastAsia" w:ascii="仿宋" w:hAnsi="仿宋" w:eastAsia="仿宋" w:cs="Times New Roman"/>
          <w:color w:val="000000"/>
          <w:kern w:val="0"/>
          <w:sz w:val="32"/>
          <w:szCs w:val="32"/>
        </w:rPr>
        <w:t>%，主要原因：一是机构改革后，机构人员减少造成的财政保障性拨款减少；二是预算内项目支出减少。</w:t>
      </w:r>
      <w:r>
        <w:rPr>
          <w:rFonts w:hint="eastAsia" w:ascii="楷体" w:hAnsi="楷体" w:eastAsia="楷体" w:cs="Times New Roman"/>
          <w:b/>
          <w:bCs/>
          <w:color w:val="333333"/>
          <w:kern w:val="0"/>
          <w:sz w:val="32"/>
          <w:szCs w:val="32"/>
        </w:rPr>
        <w:t>收入包括：</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1.财政拨款收入</w:t>
      </w:r>
      <w:r>
        <w:rPr>
          <w:rFonts w:hint="eastAsia" w:ascii="仿宋" w:hAnsi="仿宋" w:eastAsia="仿宋" w:cs="Times New Roman"/>
          <w:color w:val="333333"/>
          <w:kern w:val="0"/>
          <w:sz w:val="32"/>
          <w:szCs w:val="32"/>
          <w:lang w:val="en-US" w:eastAsia="zh-CN"/>
        </w:rPr>
        <w:t>598.21</w:t>
      </w:r>
      <w:r>
        <w:rPr>
          <w:rFonts w:hint="eastAsia" w:ascii="仿宋" w:hAnsi="仿宋" w:eastAsia="仿宋" w:cs="Times New Roman"/>
          <w:color w:val="333333"/>
          <w:kern w:val="0"/>
          <w:sz w:val="32"/>
          <w:szCs w:val="32"/>
        </w:rPr>
        <w:t>万元，占收入总计的</w:t>
      </w:r>
      <w:r>
        <w:rPr>
          <w:rFonts w:hint="eastAsia" w:ascii="仿宋" w:hAnsi="仿宋" w:eastAsia="仿宋" w:cs="Times New Roman"/>
          <w:color w:val="333333"/>
          <w:kern w:val="0"/>
          <w:sz w:val="32"/>
          <w:szCs w:val="32"/>
          <w:lang w:val="en-US" w:eastAsia="zh-CN"/>
        </w:rPr>
        <w:t>89.21</w:t>
      </w:r>
      <w:r>
        <w:rPr>
          <w:rFonts w:hint="eastAsia" w:ascii="仿宋" w:hAnsi="仿宋" w:eastAsia="仿宋" w:cs="Times New Roman"/>
          <w:color w:val="333333"/>
          <w:kern w:val="0"/>
          <w:sz w:val="32"/>
          <w:szCs w:val="32"/>
        </w:rPr>
        <w:t>%。其中：公共预算财政拨款收入</w:t>
      </w:r>
      <w:r>
        <w:rPr>
          <w:rFonts w:hint="eastAsia" w:ascii="仿宋" w:hAnsi="仿宋" w:eastAsia="仿宋" w:cs="Times New Roman"/>
          <w:color w:val="333333"/>
          <w:kern w:val="0"/>
          <w:sz w:val="32"/>
          <w:szCs w:val="32"/>
          <w:lang w:val="en-US" w:eastAsia="zh-CN"/>
        </w:rPr>
        <w:t>598.21</w:t>
      </w:r>
      <w:r>
        <w:rPr>
          <w:rFonts w:hint="eastAsia" w:ascii="仿宋" w:hAnsi="仿宋" w:eastAsia="仿宋" w:cs="Times New Roman"/>
          <w:color w:val="333333"/>
          <w:kern w:val="0"/>
          <w:sz w:val="32"/>
          <w:szCs w:val="32"/>
        </w:rPr>
        <w:t>万元，政府性基金收入</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2.上级补助收入</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3.事业收入</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4.经营收入</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5.附属单位上缴收入</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6.其他收入</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7.用事业基金弥补收支差额</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8.上年结转和结余</w:t>
      </w:r>
      <w:r>
        <w:rPr>
          <w:rFonts w:hint="eastAsia" w:ascii="仿宋" w:hAnsi="仿宋" w:eastAsia="仿宋" w:cs="Times New Roman"/>
          <w:color w:val="333333"/>
          <w:kern w:val="0"/>
          <w:sz w:val="32"/>
          <w:szCs w:val="32"/>
          <w:lang w:val="en-US" w:eastAsia="zh-CN"/>
        </w:rPr>
        <w:t>72.36</w:t>
      </w:r>
      <w:r>
        <w:rPr>
          <w:rFonts w:hint="eastAsia" w:ascii="仿宋" w:hAnsi="仿宋" w:eastAsia="仿宋" w:cs="Times New Roman"/>
          <w:color w:val="333333"/>
          <w:kern w:val="0"/>
          <w:sz w:val="32"/>
          <w:szCs w:val="32"/>
        </w:rPr>
        <w:t>万元，占收入总计的</w:t>
      </w:r>
      <w:r>
        <w:rPr>
          <w:rFonts w:hint="eastAsia" w:ascii="仿宋" w:hAnsi="仿宋" w:eastAsia="仿宋" w:cs="Times New Roman"/>
          <w:color w:val="333333"/>
          <w:kern w:val="0"/>
          <w:sz w:val="32"/>
          <w:szCs w:val="32"/>
          <w:lang w:val="en-US" w:eastAsia="zh-CN"/>
        </w:rPr>
        <w:t>10.79</w:t>
      </w:r>
      <w:r>
        <w:rPr>
          <w:rFonts w:hint="eastAsia" w:ascii="仿宋" w:hAnsi="仿宋" w:eastAsia="仿宋" w:cs="Times New Roman"/>
          <w:color w:val="333333"/>
          <w:kern w:val="0"/>
          <w:sz w:val="32"/>
          <w:szCs w:val="32"/>
        </w:rPr>
        <w:t>%。主要是2018年预算内未及时支付的项目支出资金等。</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000000"/>
          <w:kern w:val="0"/>
          <w:sz w:val="32"/>
          <w:szCs w:val="32"/>
        </w:rPr>
        <w:t>与上年相比，今年收入减少127.34万元，降低16.23%，主要原因：一是机构改革后，机构人员减少造成的财政保障性拨款减少；二是预算内项目支出减少。</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楷体" w:hAnsi="楷体" w:eastAsia="楷体" w:cs="Times New Roman"/>
          <w:b/>
          <w:bCs/>
          <w:color w:val="000000"/>
          <w:kern w:val="0"/>
          <w:sz w:val="32"/>
          <w:szCs w:val="32"/>
        </w:rPr>
        <w:t>（二）支出总计</w:t>
      </w:r>
      <w:r>
        <w:rPr>
          <w:rFonts w:hint="eastAsia" w:ascii="楷体" w:hAnsi="楷体" w:eastAsia="楷体" w:cs="Times New Roman"/>
          <w:b/>
          <w:bCs/>
          <w:color w:val="000000"/>
          <w:kern w:val="0"/>
          <w:sz w:val="32"/>
          <w:szCs w:val="32"/>
          <w:lang w:val="en-US" w:eastAsia="zh-CN"/>
        </w:rPr>
        <w:t>670.57</w:t>
      </w:r>
      <w:r>
        <w:rPr>
          <w:rFonts w:hint="eastAsia" w:ascii="楷体" w:hAnsi="楷体" w:eastAsia="楷体" w:cs="Times New Roman"/>
          <w:b/>
          <w:bCs/>
          <w:color w:val="000000"/>
          <w:kern w:val="0"/>
          <w:sz w:val="32"/>
          <w:szCs w:val="32"/>
        </w:rPr>
        <w:t>万元，</w:t>
      </w:r>
      <w:r>
        <w:rPr>
          <w:rFonts w:hint="eastAsia" w:ascii="仿宋" w:hAnsi="仿宋" w:eastAsia="仿宋" w:cs="Times New Roman"/>
          <w:color w:val="333333"/>
          <w:kern w:val="0"/>
          <w:sz w:val="32"/>
          <w:szCs w:val="32"/>
        </w:rPr>
        <w:t>与2018年度部门决算相比较，</w:t>
      </w:r>
      <w:r>
        <w:rPr>
          <w:rFonts w:hint="eastAsia" w:ascii="仿宋" w:hAnsi="仿宋" w:eastAsia="仿宋" w:cs="Times New Roman"/>
          <w:color w:val="000000"/>
          <w:kern w:val="0"/>
          <w:sz w:val="32"/>
          <w:szCs w:val="32"/>
        </w:rPr>
        <w:t>今年支出减少</w:t>
      </w:r>
      <w:r>
        <w:rPr>
          <w:rFonts w:hint="eastAsia" w:ascii="仿宋" w:hAnsi="仿宋" w:eastAsia="仿宋" w:cs="Times New Roman"/>
          <w:color w:val="000000"/>
          <w:kern w:val="0"/>
          <w:sz w:val="32"/>
          <w:szCs w:val="32"/>
          <w:lang w:val="en-US" w:eastAsia="zh-CN"/>
        </w:rPr>
        <w:t>113.81</w:t>
      </w:r>
      <w:r>
        <w:rPr>
          <w:rFonts w:hint="eastAsia" w:ascii="仿宋" w:hAnsi="仿宋" w:eastAsia="仿宋" w:cs="Times New Roman"/>
          <w:color w:val="000000"/>
          <w:kern w:val="0"/>
          <w:sz w:val="32"/>
          <w:szCs w:val="32"/>
        </w:rPr>
        <w:t>万元，降低</w:t>
      </w:r>
      <w:r>
        <w:rPr>
          <w:rFonts w:hint="eastAsia" w:ascii="仿宋" w:hAnsi="仿宋" w:eastAsia="仿宋" w:cs="Times New Roman"/>
          <w:color w:val="000000"/>
          <w:kern w:val="0"/>
          <w:sz w:val="32"/>
          <w:szCs w:val="32"/>
          <w:lang w:val="en-US" w:eastAsia="zh-CN"/>
        </w:rPr>
        <w:t>14.51</w:t>
      </w:r>
      <w:r>
        <w:rPr>
          <w:rFonts w:hint="eastAsia" w:ascii="仿宋" w:hAnsi="仿宋" w:eastAsia="仿宋" w:cs="Times New Roman"/>
          <w:color w:val="000000"/>
          <w:kern w:val="0"/>
          <w:sz w:val="32"/>
          <w:szCs w:val="32"/>
        </w:rPr>
        <w:t>%，主要原因：一是机构改革后，机构人员减少造成的财政保障性拨款减少；二是预算内项目支出减少。</w:t>
      </w:r>
      <w:r>
        <w:rPr>
          <w:rFonts w:hint="eastAsia" w:ascii="楷体" w:hAnsi="楷体" w:eastAsia="楷体" w:cs="Times New Roman"/>
          <w:b/>
          <w:bCs/>
          <w:color w:val="000000"/>
          <w:kern w:val="0"/>
          <w:sz w:val="32"/>
          <w:szCs w:val="32"/>
        </w:rPr>
        <w:t>支出包括：</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1.基本支出260.2万元，占支出总计的38.80%。主要是为保障机构正常运转、完成日常工作任务而发生的各项支出，其中：工资福利支出235.83万元，对个人和家庭的补助支出0.71万元，商品和服务支出23.66万元。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2.项目支出410.37万元，占支出总计的61.2%。主要包括节能环保支出等业务支出。</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3.上缴上级支出</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4.经营支出</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5.对附属单位补助支出</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楷体" w:hAnsi="楷体" w:eastAsia="楷体" w:cs="Times New Roman"/>
          <w:b/>
          <w:bCs/>
          <w:color w:val="333333"/>
          <w:kern w:val="0"/>
          <w:sz w:val="32"/>
          <w:szCs w:val="32"/>
        </w:rPr>
        <w:t>（三）年末结转和结余</w:t>
      </w:r>
      <w:r>
        <w:rPr>
          <w:rFonts w:ascii="楷体" w:hAnsi="楷体" w:eastAsia="楷体" w:cs="Times New Roman"/>
          <w:b/>
          <w:bCs/>
          <w:color w:val="333333"/>
          <w:kern w:val="0"/>
          <w:sz w:val="32"/>
          <w:szCs w:val="32"/>
        </w:rPr>
        <w:t>0</w:t>
      </w:r>
      <w:r>
        <w:rPr>
          <w:rFonts w:hint="eastAsia" w:ascii="楷体" w:hAnsi="楷体" w:eastAsia="楷体" w:cs="Times New Roman"/>
          <w:b/>
          <w:bCs/>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主要是2018年预算内未及时支付的项目支出资金等原因形成的结余。与上年相比，今年结转结余减少</w:t>
      </w:r>
      <w:r>
        <w:rPr>
          <w:rFonts w:hint="eastAsia" w:ascii="仿宋" w:hAnsi="仿宋" w:eastAsia="仿宋" w:cs="Times New Roman"/>
          <w:color w:val="333333"/>
          <w:kern w:val="0"/>
          <w:sz w:val="32"/>
          <w:szCs w:val="32"/>
          <w:lang w:val="en-US" w:eastAsia="zh-CN"/>
        </w:rPr>
        <w:t>72.36</w:t>
      </w:r>
      <w:r>
        <w:rPr>
          <w:rFonts w:hint="eastAsia" w:ascii="仿宋" w:hAnsi="仿宋" w:eastAsia="仿宋" w:cs="Times New Roman"/>
          <w:color w:val="333333"/>
          <w:kern w:val="0"/>
          <w:sz w:val="32"/>
          <w:szCs w:val="32"/>
        </w:rPr>
        <w:t>万元，降低</w:t>
      </w:r>
      <w:r>
        <w:rPr>
          <w:rFonts w:hint="eastAsia" w:ascii="仿宋" w:hAnsi="仿宋" w:eastAsia="仿宋" w:cs="Times New Roman"/>
          <w:color w:val="333333"/>
          <w:kern w:val="0"/>
          <w:sz w:val="32"/>
          <w:szCs w:val="32"/>
          <w:lang w:val="en-US" w:eastAsia="zh-CN"/>
        </w:rPr>
        <w:t>100</w:t>
      </w:r>
      <w:r>
        <w:rPr>
          <w:rFonts w:hint="eastAsia" w:ascii="仿宋" w:hAnsi="仿宋" w:eastAsia="仿宋" w:cs="Times New Roman"/>
          <w:color w:val="333333"/>
          <w:kern w:val="0"/>
          <w:sz w:val="32"/>
          <w:szCs w:val="32"/>
        </w:rPr>
        <w:t>%，主要原因：一是项目支出减少；二是上级专项资金余额减少。</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黑体" w:hAnsi="黑体" w:eastAsia="黑体" w:cs="Times New Roman"/>
          <w:color w:val="333333"/>
          <w:kern w:val="0"/>
          <w:sz w:val="32"/>
          <w:szCs w:val="32"/>
        </w:rPr>
        <w:t>二、财政拨款支出决算情况</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楷体" w:hAnsi="楷体" w:eastAsia="楷体" w:cs="Times New Roman"/>
          <w:b/>
          <w:bCs/>
          <w:color w:val="333333"/>
          <w:kern w:val="0"/>
          <w:sz w:val="32"/>
          <w:szCs w:val="32"/>
        </w:rPr>
        <w:t>（一）总体情况。</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2019年度财政拨款支出</w:t>
      </w:r>
      <w:r>
        <w:rPr>
          <w:rFonts w:hint="eastAsia" w:ascii="仿宋" w:hAnsi="仿宋" w:eastAsia="仿宋" w:cs="Times New Roman"/>
          <w:color w:val="333333"/>
          <w:kern w:val="0"/>
          <w:sz w:val="32"/>
          <w:szCs w:val="32"/>
          <w:lang w:val="en-US" w:eastAsia="zh-CN"/>
        </w:rPr>
        <w:t>670.57</w:t>
      </w:r>
      <w:r>
        <w:rPr>
          <w:rFonts w:hint="eastAsia" w:ascii="仿宋" w:hAnsi="仿宋" w:eastAsia="仿宋" w:cs="Times New Roman"/>
          <w:color w:val="333333"/>
          <w:kern w:val="0"/>
          <w:sz w:val="32"/>
          <w:szCs w:val="32"/>
        </w:rPr>
        <w:t>万元，其中：基本支出260.2万元，项目支出</w:t>
      </w:r>
      <w:r>
        <w:rPr>
          <w:rFonts w:hint="eastAsia" w:ascii="仿宋" w:hAnsi="仿宋" w:eastAsia="仿宋" w:cs="Times New Roman"/>
          <w:color w:val="333333"/>
          <w:kern w:val="0"/>
          <w:sz w:val="32"/>
          <w:szCs w:val="32"/>
          <w:lang w:val="en-US" w:eastAsia="zh-CN"/>
        </w:rPr>
        <w:t>410.37</w:t>
      </w:r>
      <w:r>
        <w:rPr>
          <w:rFonts w:hint="eastAsia" w:ascii="仿宋" w:hAnsi="仿宋" w:eastAsia="仿宋" w:cs="Times New Roman"/>
          <w:color w:val="333333"/>
          <w:kern w:val="0"/>
          <w:sz w:val="32"/>
          <w:szCs w:val="32"/>
        </w:rPr>
        <w:t>万元。与上年相比，财政拨款支出减少</w:t>
      </w:r>
      <w:r>
        <w:rPr>
          <w:rFonts w:hint="eastAsia" w:ascii="仿宋" w:hAnsi="仿宋" w:eastAsia="仿宋" w:cs="Times New Roman"/>
          <w:color w:val="333333"/>
          <w:kern w:val="0"/>
          <w:sz w:val="32"/>
          <w:szCs w:val="32"/>
          <w:lang w:val="en-US" w:eastAsia="zh-CN"/>
        </w:rPr>
        <w:t>113.81</w:t>
      </w:r>
      <w:r>
        <w:rPr>
          <w:rFonts w:hint="eastAsia" w:ascii="仿宋" w:hAnsi="仿宋" w:eastAsia="仿宋" w:cs="Times New Roman"/>
          <w:color w:val="333333"/>
          <w:kern w:val="0"/>
          <w:sz w:val="32"/>
          <w:szCs w:val="32"/>
        </w:rPr>
        <w:t>万元，降低</w:t>
      </w:r>
      <w:r>
        <w:rPr>
          <w:rFonts w:hint="eastAsia" w:ascii="仿宋" w:hAnsi="仿宋" w:eastAsia="仿宋" w:cs="Times New Roman"/>
          <w:color w:val="333333"/>
          <w:kern w:val="0"/>
          <w:sz w:val="32"/>
          <w:szCs w:val="32"/>
          <w:lang w:val="en-US" w:eastAsia="zh-CN"/>
        </w:rPr>
        <w:t>14.51</w:t>
      </w:r>
      <w:r>
        <w:rPr>
          <w:rFonts w:hint="eastAsia" w:ascii="仿宋" w:hAnsi="仿宋" w:eastAsia="仿宋" w:cs="Times New Roman"/>
          <w:color w:val="333333"/>
          <w:kern w:val="0"/>
          <w:sz w:val="32"/>
          <w:szCs w:val="32"/>
        </w:rPr>
        <w:t>%，主要原因：</w:t>
      </w:r>
      <w:r>
        <w:rPr>
          <w:rFonts w:hint="eastAsia" w:ascii="仿宋" w:hAnsi="仿宋" w:eastAsia="仿宋" w:cs="Times New Roman"/>
          <w:color w:val="000000"/>
          <w:kern w:val="0"/>
          <w:sz w:val="32"/>
          <w:szCs w:val="32"/>
        </w:rPr>
        <w:t>一是机构改革后，机构人员减少造成的财政保障性拨款减少；二是预算内项目支出减少。</w:t>
      </w:r>
      <w:r>
        <w:rPr>
          <w:rFonts w:hint="eastAsia" w:ascii="仿宋" w:hAnsi="仿宋" w:eastAsia="仿宋" w:cs="Times New Roman"/>
          <w:color w:val="333333"/>
          <w:kern w:val="0"/>
          <w:sz w:val="32"/>
          <w:szCs w:val="32"/>
        </w:rPr>
        <w:t>与年初预算相比，2019财政拨款支出完成年初预算的</w:t>
      </w:r>
      <w:r>
        <w:rPr>
          <w:rFonts w:hint="eastAsia" w:ascii="仿宋" w:hAnsi="仿宋" w:eastAsia="仿宋" w:cs="Times New Roman"/>
          <w:color w:val="333333"/>
          <w:kern w:val="0"/>
          <w:sz w:val="32"/>
          <w:szCs w:val="32"/>
          <w:lang w:val="en-US" w:eastAsia="zh-CN"/>
        </w:rPr>
        <w:t>126.93</w:t>
      </w:r>
      <w:r>
        <w:rPr>
          <w:rFonts w:hint="eastAsia" w:ascii="仿宋" w:hAnsi="仿宋" w:eastAsia="仿宋" w:cs="Times New Roman"/>
          <w:color w:val="333333"/>
          <w:kern w:val="0"/>
          <w:sz w:val="32"/>
          <w:szCs w:val="32"/>
        </w:rPr>
        <w:t>%，其中：基本支出完成年初预算的</w:t>
      </w:r>
      <w:r>
        <w:rPr>
          <w:rFonts w:hint="eastAsia" w:ascii="仿宋" w:hAnsi="仿宋" w:eastAsia="仿宋" w:cs="Times New Roman"/>
          <w:color w:val="333333"/>
          <w:kern w:val="0"/>
          <w:sz w:val="32"/>
          <w:szCs w:val="32"/>
          <w:lang w:val="en-US" w:eastAsia="zh-CN"/>
        </w:rPr>
        <w:t>74.84</w:t>
      </w:r>
      <w:r>
        <w:rPr>
          <w:rFonts w:hint="eastAsia" w:ascii="仿宋" w:hAnsi="仿宋" w:eastAsia="仿宋" w:cs="Times New Roman"/>
          <w:color w:val="333333"/>
          <w:kern w:val="0"/>
          <w:sz w:val="32"/>
          <w:szCs w:val="32"/>
        </w:rPr>
        <w:t>%，项目完成年初预算的</w:t>
      </w:r>
      <w:r>
        <w:rPr>
          <w:rFonts w:hint="eastAsia" w:ascii="仿宋" w:hAnsi="仿宋" w:eastAsia="仿宋" w:cs="Times New Roman"/>
          <w:color w:val="333333"/>
          <w:kern w:val="0"/>
          <w:sz w:val="32"/>
          <w:szCs w:val="32"/>
          <w:lang w:val="en-US" w:eastAsia="zh-CN"/>
        </w:rPr>
        <w:t>227.23</w:t>
      </w:r>
      <w:r>
        <w:rPr>
          <w:rFonts w:hint="eastAsia" w:ascii="仿宋" w:hAnsi="仿宋" w:eastAsia="仿宋" w:cs="Times New Roman"/>
          <w:color w:val="333333"/>
          <w:kern w:val="0"/>
          <w:sz w:val="32"/>
          <w:szCs w:val="32"/>
        </w:rPr>
        <w:t>%。</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楷体" w:hAnsi="楷体" w:eastAsia="楷体" w:cs="Times New Roman"/>
          <w:b/>
          <w:bCs/>
          <w:color w:val="333333"/>
          <w:kern w:val="0"/>
          <w:sz w:val="32"/>
          <w:szCs w:val="32"/>
        </w:rPr>
        <w:t>（二）具体情况。</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2019年度财政拨款支出</w:t>
      </w:r>
      <w:r>
        <w:rPr>
          <w:rFonts w:hint="eastAsia" w:ascii="仿宋" w:hAnsi="仿宋" w:eastAsia="仿宋" w:cs="Times New Roman"/>
          <w:color w:val="333333"/>
          <w:kern w:val="0"/>
          <w:sz w:val="32"/>
          <w:szCs w:val="32"/>
          <w:lang w:val="en-US" w:eastAsia="zh-CN"/>
        </w:rPr>
        <w:t>670.57</w:t>
      </w:r>
      <w:r>
        <w:rPr>
          <w:rFonts w:hint="eastAsia" w:ascii="仿宋" w:hAnsi="仿宋" w:eastAsia="仿宋" w:cs="Times New Roman"/>
          <w:color w:val="333333"/>
          <w:kern w:val="0"/>
          <w:sz w:val="32"/>
          <w:szCs w:val="32"/>
        </w:rPr>
        <w:t>万元，按支出功能分类科目分，包括：一般公共服务支出</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万元；社会保障和就业支出</w:t>
      </w:r>
      <w:r>
        <w:rPr>
          <w:rFonts w:hint="eastAsia" w:ascii="仿宋" w:hAnsi="仿宋" w:eastAsia="仿宋" w:cs="Times New Roman"/>
          <w:color w:val="333333"/>
          <w:kern w:val="0"/>
          <w:sz w:val="32"/>
          <w:szCs w:val="32"/>
          <w:lang w:val="en-US" w:eastAsia="zh-CN"/>
        </w:rPr>
        <w:t>21.99</w:t>
      </w:r>
      <w:r>
        <w:rPr>
          <w:rFonts w:hint="eastAsia" w:ascii="仿宋" w:hAnsi="仿宋" w:eastAsia="仿宋" w:cs="Times New Roman"/>
          <w:color w:val="333333"/>
          <w:kern w:val="0"/>
          <w:sz w:val="32"/>
          <w:szCs w:val="32"/>
        </w:rPr>
        <w:t>万元，占</w:t>
      </w:r>
      <w:r>
        <w:rPr>
          <w:rFonts w:hint="eastAsia" w:ascii="仿宋" w:hAnsi="仿宋" w:eastAsia="仿宋" w:cs="Times New Roman"/>
          <w:color w:val="333333"/>
          <w:kern w:val="0"/>
          <w:sz w:val="32"/>
          <w:szCs w:val="32"/>
          <w:lang w:val="en-US" w:eastAsia="zh-CN"/>
        </w:rPr>
        <w:t>3.28</w:t>
      </w:r>
      <w:r>
        <w:rPr>
          <w:rFonts w:hint="eastAsia" w:ascii="仿宋" w:hAnsi="仿宋" w:eastAsia="仿宋" w:cs="Times New Roman"/>
          <w:color w:val="333333"/>
          <w:kern w:val="0"/>
          <w:sz w:val="32"/>
          <w:szCs w:val="32"/>
        </w:rPr>
        <w:t>%；医疗卫生与计划生育支出8.04万元，占</w:t>
      </w:r>
      <w:r>
        <w:rPr>
          <w:rFonts w:hint="eastAsia" w:ascii="仿宋" w:hAnsi="仿宋" w:eastAsia="仿宋" w:cs="Times New Roman"/>
          <w:color w:val="333333"/>
          <w:kern w:val="0"/>
          <w:sz w:val="32"/>
          <w:szCs w:val="32"/>
          <w:lang w:val="en-US" w:eastAsia="zh-CN"/>
        </w:rPr>
        <w:t>1.20</w:t>
      </w:r>
      <w:r>
        <w:rPr>
          <w:rFonts w:hint="eastAsia" w:ascii="仿宋" w:hAnsi="仿宋" w:eastAsia="仿宋" w:cs="Times New Roman"/>
          <w:color w:val="333333"/>
          <w:kern w:val="0"/>
          <w:sz w:val="32"/>
          <w:szCs w:val="32"/>
        </w:rPr>
        <w:t>%；节能环保支出</w:t>
      </w:r>
      <w:r>
        <w:rPr>
          <w:rFonts w:hint="eastAsia" w:ascii="仿宋" w:hAnsi="仿宋" w:eastAsia="仿宋" w:cs="Times New Roman"/>
          <w:color w:val="333333"/>
          <w:kern w:val="0"/>
          <w:sz w:val="32"/>
          <w:szCs w:val="32"/>
          <w:lang w:val="en-US" w:eastAsia="zh-CN"/>
        </w:rPr>
        <w:t>626.91</w:t>
      </w:r>
      <w:r>
        <w:rPr>
          <w:rFonts w:hint="eastAsia" w:ascii="仿宋" w:hAnsi="仿宋" w:eastAsia="仿宋" w:cs="Times New Roman"/>
          <w:color w:val="333333"/>
          <w:kern w:val="0"/>
          <w:sz w:val="32"/>
          <w:szCs w:val="32"/>
        </w:rPr>
        <w:t>万元，占</w:t>
      </w:r>
      <w:r>
        <w:rPr>
          <w:rFonts w:hint="eastAsia" w:ascii="仿宋" w:hAnsi="仿宋" w:eastAsia="仿宋" w:cs="Times New Roman"/>
          <w:color w:val="333333"/>
          <w:kern w:val="0"/>
          <w:sz w:val="32"/>
          <w:szCs w:val="32"/>
          <w:lang w:val="en-US" w:eastAsia="zh-CN"/>
        </w:rPr>
        <w:t>93.48</w:t>
      </w:r>
      <w:r>
        <w:rPr>
          <w:rFonts w:hint="eastAsia" w:ascii="仿宋" w:hAnsi="仿宋" w:eastAsia="仿宋" w:cs="Times New Roman"/>
          <w:color w:val="333333"/>
          <w:kern w:val="0"/>
          <w:sz w:val="32"/>
          <w:szCs w:val="32"/>
        </w:rPr>
        <w:t>%；农林水支出</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万元；交通运输支出</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万元；资源勘探信息等支出</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万元；援助其他地区支出</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万元；国土海洋气象等支出</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万元；住房保障支出13.62万元，占2.0</w:t>
      </w:r>
      <w:r>
        <w:rPr>
          <w:rFonts w:hint="eastAsia" w:ascii="仿宋" w:hAnsi="仿宋" w:eastAsia="仿宋" w:cs="Times New Roman"/>
          <w:color w:val="333333"/>
          <w:kern w:val="0"/>
          <w:sz w:val="32"/>
          <w:szCs w:val="32"/>
          <w:lang w:val="en-US" w:eastAsia="zh-CN"/>
        </w:rPr>
        <w:t>4</w:t>
      </w:r>
      <w:r>
        <w:rPr>
          <w:rFonts w:hint="eastAsia" w:ascii="仿宋" w:hAnsi="仿宋" w:eastAsia="仿宋" w:cs="Times New Roman"/>
          <w:color w:val="333333"/>
          <w:kern w:val="0"/>
          <w:sz w:val="32"/>
          <w:szCs w:val="32"/>
        </w:rPr>
        <w:t>%。</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1.一般公共服务支出</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万元，具体包括：</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（1）行政运行</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（2）一般行政管理事务</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（3）预算改革业务</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（4）财政国库业务</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（5）信息化建设</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（6）事业运行</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（7）其他财政事务支出</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2.社会保障和就业支出</w:t>
      </w:r>
      <w:r>
        <w:rPr>
          <w:rFonts w:hint="eastAsia" w:ascii="仿宋" w:hAnsi="仿宋" w:eastAsia="仿宋" w:cs="Times New Roman"/>
          <w:color w:val="333333"/>
          <w:kern w:val="0"/>
          <w:sz w:val="32"/>
          <w:szCs w:val="32"/>
          <w:lang w:val="en-US" w:eastAsia="zh-CN"/>
        </w:rPr>
        <w:t>21.99</w:t>
      </w:r>
      <w:r>
        <w:rPr>
          <w:rFonts w:hint="eastAsia" w:ascii="仿宋" w:hAnsi="仿宋" w:eastAsia="仿宋" w:cs="Times New Roman"/>
          <w:color w:val="333333"/>
          <w:kern w:val="0"/>
          <w:sz w:val="32"/>
          <w:szCs w:val="32"/>
        </w:rPr>
        <w:t>万元，具体包括：</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（1）归口管理的行政单位离退休</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（2）行政事业单位离退休其他支出0.71万元，主要是取暖费等支出，完成年初预算的</w:t>
      </w:r>
      <w:r>
        <w:rPr>
          <w:rFonts w:ascii="仿宋" w:hAnsi="仿宋" w:eastAsia="仿宋" w:cs="Times New Roman"/>
          <w:color w:val="333333"/>
          <w:kern w:val="0"/>
          <w:sz w:val="32"/>
          <w:szCs w:val="32"/>
        </w:rPr>
        <w:t>100</w:t>
      </w:r>
      <w:r>
        <w:rPr>
          <w:rFonts w:hint="eastAsia" w:ascii="仿宋" w:hAnsi="仿宋" w:eastAsia="仿宋" w:cs="Times New Roman"/>
          <w:color w:val="333333"/>
          <w:kern w:val="0"/>
          <w:sz w:val="32"/>
          <w:szCs w:val="32"/>
        </w:rPr>
        <w:t>%。</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（3）机关事业单位基本养老保险缴费21.28万元，主要是基本养老保险缴费等支出，完成年初预算的72.47%，决算数小于年初预算数的原因主要是人员减少。</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（4）死亡抚恤</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（5）伤残抚恤</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3.医疗卫生与计划生育支出8.04万元，包括：</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（1）行政单位医疗3.57万元，主要是行政医疗保险等支出，完成年初预算的457.69%，决算数大于年初预算数的原因主要是工资基数调整。</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（2）事业单位医疗4.47万元，主要是直属事业单位职工医疗保险等支出，完成年初预算的206.94%，决算数大于年初预算数的原因主要是工资基数调整。</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4.节能环保支出</w:t>
      </w:r>
      <w:r>
        <w:rPr>
          <w:rFonts w:hint="eastAsia" w:ascii="仿宋" w:hAnsi="仿宋" w:eastAsia="仿宋" w:cs="Times New Roman"/>
          <w:color w:val="333333"/>
          <w:kern w:val="0"/>
          <w:sz w:val="32"/>
          <w:szCs w:val="32"/>
          <w:lang w:val="en-US" w:eastAsia="zh-CN"/>
        </w:rPr>
        <w:t>626.91</w:t>
      </w:r>
      <w:r>
        <w:rPr>
          <w:rFonts w:hint="eastAsia" w:ascii="仿宋" w:hAnsi="仿宋" w:eastAsia="仿宋" w:cs="Times New Roman"/>
          <w:color w:val="333333"/>
          <w:kern w:val="0"/>
          <w:sz w:val="32"/>
          <w:szCs w:val="32"/>
        </w:rPr>
        <w:t>万元，具体包括：</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lang w:eastAsia="zh-CN"/>
        </w:rPr>
        <w:t>环境保护管理事务</w:t>
      </w:r>
      <w:r>
        <w:rPr>
          <w:rFonts w:hint="eastAsia" w:ascii="仿宋" w:hAnsi="仿宋" w:eastAsia="仿宋" w:cs="Times New Roman"/>
          <w:color w:val="333333"/>
          <w:kern w:val="0"/>
          <w:sz w:val="32"/>
          <w:szCs w:val="32"/>
          <w:lang w:val="en-US" w:eastAsia="zh-CN"/>
        </w:rPr>
        <w:t>611.11万元</w:t>
      </w:r>
      <w:r>
        <w:rPr>
          <w:rFonts w:hint="eastAsia" w:ascii="仿宋" w:hAnsi="仿宋" w:eastAsia="仿宋" w:cs="Times New Roman"/>
          <w:color w:val="333333"/>
          <w:kern w:val="0"/>
          <w:sz w:val="32"/>
          <w:szCs w:val="32"/>
        </w:rPr>
        <w:t>，主要是</w:t>
      </w:r>
      <w:r>
        <w:rPr>
          <w:rFonts w:hint="eastAsia" w:ascii="仿宋" w:hAnsi="仿宋" w:eastAsia="仿宋" w:cs="Times New Roman"/>
          <w:color w:val="333333"/>
          <w:kern w:val="0"/>
          <w:sz w:val="32"/>
          <w:szCs w:val="32"/>
          <w:lang w:eastAsia="zh-CN"/>
        </w:rPr>
        <w:t>行政运行及其他环境保护管理事务支出</w:t>
      </w:r>
      <w:r>
        <w:rPr>
          <w:rFonts w:hint="eastAsia" w:ascii="仿宋" w:hAnsi="仿宋" w:eastAsia="仿宋" w:cs="Times New Roman"/>
          <w:color w:val="333333"/>
          <w:kern w:val="0"/>
          <w:sz w:val="32"/>
          <w:szCs w:val="32"/>
        </w:rPr>
        <w:t>等支出，</w:t>
      </w:r>
      <w:r>
        <w:rPr>
          <w:rFonts w:hint="eastAsia" w:ascii="仿宋" w:hAnsi="仿宋" w:eastAsia="仿宋" w:cs="Times New Roman"/>
          <w:color w:val="333333"/>
          <w:kern w:val="0"/>
          <w:sz w:val="32"/>
          <w:szCs w:val="32"/>
          <w:lang w:eastAsia="zh-CN"/>
        </w:rPr>
        <w:t>大气污染防治</w:t>
      </w:r>
      <w:r>
        <w:rPr>
          <w:rFonts w:hint="eastAsia" w:ascii="仿宋" w:hAnsi="仿宋" w:eastAsia="仿宋" w:cs="Times New Roman"/>
          <w:color w:val="333333"/>
          <w:kern w:val="0"/>
          <w:sz w:val="32"/>
          <w:szCs w:val="32"/>
          <w:lang w:val="en-US" w:eastAsia="zh-CN"/>
        </w:rPr>
        <w:t>15.8万元，整体</w:t>
      </w:r>
      <w:r>
        <w:rPr>
          <w:rFonts w:hint="eastAsia" w:ascii="仿宋" w:hAnsi="仿宋" w:eastAsia="仿宋" w:cs="Times New Roman"/>
          <w:color w:val="333333"/>
          <w:kern w:val="0"/>
          <w:sz w:val="32"/>
          <w:szCs w:val="32"/>
        </w:rPr>
        <w:t>完成年初预算的</w:t>
      </w:r>
      <w:r>
        <w:rPr>
          <w:rFonts w:hint="eastAsia" w:ascii="仿宋" w:hAnsi="仿宋" w:eastAsia="仿宋" w:cs="Times New Roman"/>
          <w:color w:val="333333"/>
          <w:kern w:val="0"/>
          <w:sz w:val="32"/>
          <w:szCs w:val="32"/>
          <w:lang w:val="en-US" w:eastAsia="zh-CN"/>
        </w:rPr>
        <w:t>127.74</w:t>
      </w:r>
      <w:r>
        <w:rPr>
          <w:rFonts w:hint="eastAsia" w:ascii="仿宋" w:hAnsi="仿宋" w:eastAsia="仿宋" w:cs="Times New Roman"/>
          <w:color w:val="333333"/>
          <w:kern w:val="0"/>
          <w:sz w:val="32"/>
          <w:szCs w:val="32"/>
        </w:rPr>
        <w:t>%，决算数大于年初预算数的原因主要是预算外新增加项目支出。</w:t>
      </w:r>
    </w:p>
    <w:p>
      <w:pPr>
        <w:widowControl/>
        <w:shd w:val="clear" w:color="auto" w:fill="FFFFFF"/>
        <w:spacing w:line="540" w:lineRule="atLeast"/>
        <w:ind w:firstLine="660"/>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5.农林水事务支出</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6.交通运输支出</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7.资源勘探信息等支出</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8.国土海洋气象等事务支出</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9.住房保障支出13.62万元，具体包括：</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住房公积金13.62万元，主要是职工住房公积金等支出，完成年初预算的77.29%，决算数小于年初预算数的原因主要是职工人数减少。</w:t>
      </w:r>
    </w:p>
    <w:p>
      <w:pPr>
        <w:widowControl/>
        <w:shd w:val="clear" w:color="auto" w:fill="FFFFFF"/>
        <w:spacing w:line="540" w:lineRule="atLeast"/>
        <w:ind w:firstLine="660"/>
        <w:rPr>
          <w:rFonts w:ascii="Times New Roman" w:hAnsi="Times New Roman" w:eastAsia="宋体" w:cs="Times New Roman"/>
          <w:color w:val="333333"/>
          <w:kern w:val="0"/>
          <w:szCs w:val="21"/>
        </w:rPr>
      </w:pPr>
      <w:r>
        <w:rPr>
          <w:rFonts w:hint="eastAsia" w:ascii="黑体" w:hAnsi="黑体" w:eastAsia="黑体" w:cs="Times New Roman"/>
          <w:color w:val="333333"/>
          <w:kern w:val="0"/>
          <w:sz w:val="32"/>
          <w:szCs w:val="32"/>
        </w:rPr>
        <w:t>三、一般公共预算财政拨款“三公”经费支出决算情况</w:t>
      </w:r>
    </w:p>
    <w:p>
      <w:pPr>
        <w:widowControl/>
        <w:shd w:val="clear" w:color="auto" w:fill="FFFFFF"/>
        <w:spacing w:line="540" w:lineRule="atLeast"/>
        <w:ind w:firstLine="645"/>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2019年度一般公共预算财政拨款安排的“三公”经费支出4.5万元，完成年初预算的23.78%，决算数小于年初预算数的主要原因是公车使用率降低。与2018年度决算数相比较，</w:t>
      </w:r>
      <w:r>
        <w:rPr>
          <w:rFonts w:hint="eastAsia" w:ascii="仿宋" w:hAnsi="仿宋" w:eastAsia="仿宋" w:cs="Times New Roman"/>
          <w:color w:val="000000"/>
          <w:kern w:val="0"/>
          <w:sz w:val="32"/>
          <w:szCs w:val="32"/>
        </w:rPr>
        <w:t>今年支出减少9.38万元，降低89.76%，主要原因：一是公车使用率降低；二是机构改革后单位公务用车数量减少</w:t>
      </w:r>
      <w:r>
        <w:rPr>
          <w:rFonts w:hint="eastAsia" w:ascii="仿宋" w:hAnsi="仿宋" w:eastAsia="仿宋" w:cs="Times New Roman"/>
          <w:color w:val="333333"/>
          <w:kern w:val="0"/>
          <w:sz w:val="32"/>
          <w:szCs w:val="32"/>
        </w:rPr>
        <w:t>。其中：因公出国（境）费0万元，公务接待费0万元，公务用车购置及运行维护费1.07万元。</w:t>
      </w:r>
    </w:p>
    <w:p>
      <w:pPr>
        <w:widowControl/>
        <w:shd w:val="clear" w:color="auto" w:fill="FFFFFF"/>
        <w:spacing w:line="540" w:lineRule="atLeast"/>
        <w:ind w:firstLine="645"/>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1.因公出国（境）费</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45"/>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2.公务接待费</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45"/>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3.</w:t>
      </w:r>
      <w:r>
        <w:rPr>
          <w:rFonts w:ascii="Calibri" w:hAnsi="Calibri" w:eastAsia="仿宋" w:cs="Calibri"/>
          <w:color w:val="333333"/>
          <w:kern w:val="0"/>
          <w:szCs w:val="21"/>
        </w:rPr>
        <w:t> </w:t>
      </w:r>
      <w:r>
        <w:rPr>
          <w:rFonts w:hint="eastAsia" w:ascii="仿宋" w:hAnsi="仿宋" w:eastAsia="仿宋" w:cs="Times New Roman"/>
          <w:color w:val="333333"/>
          <w:kern w:val="0"/>
          <w:sz w:val="32"/>
          <w:szCs w:val="32"/>
        </w:rPr>
        <w:t>公务用车购置及运行费1.07万元，比上年减少9.38万元，下降89.76%，主要</w:t>
      </w:r>
      <w:r>
        <w:rPr>
          <w:rFonts w:hint="eastAsia" w:ascii="仿宋" w:hAnsi="仿宋" w:eastAsia="仿宋" w:cs="Times New Roman"/>
          <w:color w:val="000000"/>
          <w:kern w:val="0"/>
          <w:sz w:val="32"/>
          <w:szCs w:val="32"/>
        </w:rPr>
        <w:t>公车使用率降低；机构改革后单位公务用车数量减少</w:t>
      </w:r>
      <w:r>
        <w:rPr>
          <w:rFonts w:hint="eastAsia" w:ascii="仿宋" w:hAnsi="仿宋" w:eastAsia="仿宋" w:cs="Times New Roman"/>
          <w:color w:val="333333"/>
          <w:kern w:val="0"/>
          <w:sz w:val="32"/>
          <w:szCs w:val="32"/>
        </w:rPr>
        <w:t>等原因。</w:t>
      </w:r>
    </w:p>
    <w:p>
      <w:pPr>
        <w:widowControl/>
        <w:shd w:val="clear" w:color="auto" w:fill="FFFFFF"/>
        <w:spacing w:line="540" w:lineRule="atLeast"/>
        <w:ind w:firstLine="645"/>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公务用车购置费</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45"/>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公务用车运行维护费1.07万元，主要用于车辆维护及燃油等。截至年末使用一般公共预算财政拨款开支的公务用车保有量1辆。</w:t>
      </w:r>
    </w:p>
    <w:p>
      <w:pPr>
        <w:widowControl/>
        <w:shd w:val="clear" w:color="auto" w:fill="FFFFFF"/>
        <w:spacing w:line="540" w:lineRule="atLeast"/>
        <w:ind w:firstLine="645"/>
        <w:rPr>
          <w:rFonts w:ascii="Times New Roman" w:hAnsi="Times New Roman" w:eastAsia="宋体" w:cs="Times New Roman"/>
          <w:color w:val="333333"/>
          <w:kern w:val="0"/>
          <w:szCs w:val="21"/>
        </w:rPr>
      </w:pPr>
      <w:r>
        <w:rPr>
          <w:rFonts w:hint="eastAsia" w:ascii="黑体" w:hAnsi="黑体" w:eastAsia="黑体" w:cs="Times New Roman"/>
          <w:color w:val="333333"/>
          <w:kern w:val="0"/>
          <w:sz w:val="32"/>
          <w:szCs w:val="32"/>
        </w:rPr>
        <w:t>四、一般公共预算财政拨款基本支出决算情况说明</w:t>
      </w:r>
    </w:p>
    <w:p>
      <w:pPr>
        <w:widowControl/>
        <w:shd w:val="clear" w:color="auto" w:fill="FFFFFF"/>
        <w:spacing w:line="540" w:lineRule="atLeast"/>
        <w:ind w:firstLine="645"/>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2019年度一般公共预算财政拨款基本支出260.20万元，其中：人员经费</w:t>
      </w:r>
      <w:r>
        <w:rPr>
          <w:rFonts w:hint="eastAsia" w:ascii="仿宋" w:hAnsi="仿宋" w:eastAsia="仿宋" w:cs="Times New Roman"/>
          <w:color w:val="333333"/>
          <w:kern w:val="0"/>
          <w:sz w:val="32"/>
          <w:szCs w:val="32"/>
          <w:lang w:val="en-US" w:eastAsia="zh-CN"/>
        </w:rPr>
        <w:t>236.54</w:t>
      </w:r>
      <w:r>
        <w:rPr>
          <w:rFonts w:hint="eastAsia" w:ascii="仿宋" w:hAnsi="仿宋" w:eastAsia="仿宋" w:cs="Times New Roman"/>
          <w:color w:val="333333"/>
          <w:kern w:val="0"/>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23.66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widowControl/>
        <w:shd w:val="clear" w:color="auto" w:fill="FFFFFF"/>
        <w:spacing w:line="540" w:lineRule="atLeast"/>
        <w:ind w:firstLine="640"/>
        <w:rPr>
          <w:rFonts w:ascii="Times New Roman" w:hAnsi="Times New Roman" w:eastAsia="宋体" w:cs="Times New Roman"/>
          <w:color w:val="333333"/>
          <w:kern w:val="0"/>
          <w:szCs w:val="21"/>
        </w:rPr>
      </w:pPr>
      <w:r>
        <w:rPr>
          <w:rFonts w:hint="eastAsia" w:ascii="黑体" w:hAnsi="黑体" w:eastAsia="黑体" w:cs="Times New Roman"/>
          <w:color w:val="333333"/>
          <w:kern w:val="0"/>
          <w:sz w:val="32"/>
          <w:szCs w:val="32"/>
        </w:rPr>
        <w:t>五、其他重要事项的情况说明</w:t>
      </w:r>
    </w:p>
    <w:p>
      <w:pPr>
        <w:widowControl/>
        <w:shd w:val="clear" w:color="auto" w:fill="FFFFFF"/>
        <w:spacing w:line="540" w:lineRule="atLeast"/>
        <w:ind w:firstLine="643"/>
        <w:rPr>
          <w:rFonts w:ascii="Times New Roman" w:hAnsi="Times New Roman" w:eastAsia="宋体" w:cs="Times New Roman"/>
          <w:color w:val="333333"/>
          <w:kern w:val="0"/>
          <w:szCs w:val="21"/>
        </w:rPr>
      </w:pPr>
      <w:r>
        <w:rPr>
          <w:rFonts w:hint="eastAsia" w:ascii="楷体" w:hAnsi="楷体" w:eastAsia="楷体" w:cs="Times New Roman"/>
          <w:b/>
          <w:bCs/>
          <w:color w:val="333333"/>
          <w:kern w:val="0"/>
          <w:sz w:val="32"/>
          <w:szCs w:val="32"/>
        </w:rPr>
        <w:t>（一）机关运行经费支出情况。</w:t>
      </w:r>
    </w:p>
    <w:p>
      <w:pPr>
        <w:widowControl/>
        <w:shd w:val="clear" w:color="auto" w:fill="FFFFFF"/>
        <w:spacing w:line="540" w:lineRule="atLeast"/>
        <w:ind w:firstLine="64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2019年环保局机关运行经费支出</w:t>
      </w:r>
      <w:r>
        <w:rPr>
          <w:rFonts w:hint="eastAsia" w:ascii="仿宋" w:hAnsi="仿宋" w:eastAsia="仿宋" w:cs="Times New Roman"/>
          <w:color w:val="333333"/>
          <w:kern w:val="0"/>
          <w:sz w:val="32"/>
          <w:szCs w:val="32"/>
          <w:lang w:val="en-US" w:eastAsia="zh-CN"/>
        </w:rPr>
        <w:t>23.66</w:t>
      </w:r>
      <w:r>
        <w:rPr>
          <w:rFonts w:hint="eastAsia" w:ascii="仿宋" w:hAnsi="仿宋" w:eastAsia="仿宋" w:cs="Times New Roman"/>
          <w:color w:val="333333"/>
          <w:kern w:val="0"/>
          <w:sz w:val="32"/>
          <w:szCs w:val="32"/>
        </w:rPr>
        <w:t>万元，比上年减少</w:t>
      </w:r>
      <w:r>
        <w:rPr>
          <w:rFonts w:hint="eastAsia" w:ascii="仿宋" w:hAnsi="仿宋" w:eastAsia="仿宋" w:cs="Times New Roman"/>
          <w:color w:val="333333"/>
          <w:kern w:val="0"/>
          <w:sz w:val="32"/>
          <w:szCs w:val="32"/>
          <w:lang w:val="en-US" w:eastAsia="zh-CN"/>
        </w:rPr>
        <w:t>218.14</w:t>
      </w:r>
      <w:r>
        <w:rPr>
          <w:rFonts w:hint="eastAsia" w:ascii="仿宋" w:hAnsi="仿宋" w:eastAsia="仿宋" w:cs="Times New Roman"/>
          <w:color w:val="333333"/>
          <w:kern w:val="0"/>
          <w:sz w:val="32"/>
          <w:szCs w:val="32"/>
        </w:rPr>
        <w:t>万元，降低</w:t>
      </w:r>
      <w:r>
        <w:rPr>
          <w:rFonts w:hint="eastAsia" w:ascii="仿宋" w:hAnsi="仿宋" w:eastAsia="仿宋" w:cs="Times New Roman"/>
          <w:color w:val="333333"/>
          <w:kern w:val="0"/>
          <w:sz w:val="32"/>
          <w:szCs w:val="32"/>
          <w:lang w:val="en-US" w:eastAsia="zh-CN"/>
        </w:rPr>
        <w:t>90.21</w:t>
      </w:r>
      <w:r>
        <w:rPr>
          <w:rFonts w:hint="eastAsia" w:ascii="仿宋" w:hAnsi="仿宋" w:eastAsia="仿宋" w:cs="Times New Roman"/>
          <w:color w:val="333333"/>
          <w:kern w:val="0"/>
          <w:sz w:val="32"/>
          <w:szCs w:val="32"/>
        </w:rPr>
        <w:t>%，主要原因是人员减少及经费压缩</w:t>
      </w:r>
      <w:r>
        <w:rPr>
          <w:rFonts w:hint="eastAsia" w:ascii="仿宋" w:hAnsi="仿宋" w:eastAsia="仿宋" w:cs="Times New Roman"/>
          <w:color w:val="333333"/>
          <w:kern w:val="0"/>
          <w:sz w:val="32"/>
          <w:szCs w:val="32"/>
          <w:lang w:eastAsia="zh-CN"/>
        </w:rPr>
        <w:t>和委托业务费减少</w:t>
      </w:r>
      <w:bookmarkStart w:id="0" w:name="_GoBack"/>
      <w:bookmarkEnd w:id="0"/>
      <w:r>
        <w:rPr>
          <w:rFonts w:hint="eastAsia" w:ascii="仿宋" w:hAnsi="仿宋" w:eastAsia="仿宋" w:cs="Times New Roman"/>
          <w:color w:val="333333"/>
          <w:kern w:val="0"/>
          <w:sz w:val="32"/>
          <w:szCs w:val="32"/>
        </w:rPr>
        <w:t>。其中：办公费8.93万元、印刷费</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万元、水费</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万元、电费</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万元、邮电费0.55万元、差旅费0.09万元、工会经费2.25万元、公务用车运行维护费1.07万元、其他交通附加费用1.78万元、其他商品和服务支出9.00万元……</w:t>
      </w:r>
    </w:p>
    <w:p>
      <w:pPr>
        <w:widowControl/>
        <w:shd w:val="clear" w:color="auto" w:fill="FFFFFF"/>
        <w:spacing w:line="540" w:lineRule="atLeast"/>
        <w:ind w:firstLine="640"/>
        <w:rPr>
          <w:rFonts w:ascii="仿宋" w:hAnsi="仿宋" w:eastAsia="仿宋" w:cs="Times New Roman"/>
          <w:color w:val="333333"/>
          <w:kern w:val="0"/>
          <w:sz w:val="32"/>
          <w:szCs w:val="32"/>
        </w:rPr>
      </w:pPr>
      <w:r>
        <w:rPr>
          <w:rFonts w:hint="eastAsia" w:ascii="仿宋" w:hAnsi="仿宋" w:eastAsia="仿宋" w:cs="Times New Roman"/>
          <w:color w:val="333333"/>
          <w:kern w:val="0"/>
          <w:sz w:val="32"/>
          <w:szCs w:val="32"/>
        </w:rPr>
        <w:t>（数据来源部门决算填报说明项下的部门决算相关信息统计表）</w:t>
      </w:r>
    </w:p>
    <w:p>
      <w:pPr>
        <w:widowControl/>
        <w:shd w:val="clear" w:color="auto" w:fill="FFFFFF"/>
        <w:spacing w:line="540" w:lineRule="atLeast"/>
        <w:ind w:firstLine="643"/>
        <w:rPr>
          <w:rFonts w:ascii="Times New Roman" w:hAnsi="Times New Roman" w:eastAsia="宋体" w:cs="Times New Roman"/>
          <w:color w:val="333333"/>
          <w:kern w:val="0"/>
          <w:szCs w:val="21"/>
        </w:rPr>
      </w:pPr>
      <w:r>
        <w:rPr>
          <w:rFonts w:hint="eastAsia" w:ascii="楷体" w:hAnsi="楷体" w:eastAsia="楷体" w:cs="Times New Roman"/>
          <w:b/>
          <w:bCs/>
          <w:color w:val="333333"/>
          <w:kern w:val="0"/>
          <w:sz w:val="32"/>
          <w:szCs w:val="32"/>
        </w:rPr>
        <w:t>（二）政府采购支出情况。</w:t>
      </w:r>
    </w:p>
    <w:p>
      <w:pPr>
        <w:widowControl/>
        <w:shd w:val="clear" w:color="auto" w:fill="FFFFFF"/>
        <w:spacing w:line="540" w:lineRule="atLeast"/>
        <w:ind w:firstLine="64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2019年环保局政府采购支出总额</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万元，其中：政府采购货物支出</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万元，政府采购工程支出</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万元，政府采购服务支出</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万元。授予中小企业合同金额</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万元。</w:t>
      </w:r>
    </w:p>
    <w:p>
      <w:pPr>
        <w:widowControl/>
        <w:shd w:val="clear" w:color="auto" w:fill="FFFFFF"/>
        <w:spacing w:line="540" w:lineRule="atLeast"/>
        <w:ind w:firstLine="643"/>
        <w:rPr>
          <w:rFonts w:ascii="Times New Roman" w:hAnsi="Times New Roman" w:eastAsia="宋体" w:cs="Times New Roman"/>
          <w:color w:val="333333"/>
          <w:kern w:val="0"/>
          <w:szCs w:val="21"/>
        </w:rPr>
      </w:pPr>
      <w:r>
        <w:rPr>
          <w:rFonts w:hint="eastAsia" w:ascii="楷体" w:hAnsi="楷体" w:eastAsia="楷体" w:cs="Times New Roman"/>
          <w:b/>
          <w:bCs/>
          <w:color w:val="333333"/>
          <w:kern w:val="0"/>
          <w:sz w:val="32"/>
          <w:szCs w:val="32"/>
        </w:rPr>
        <w:t>（三）国有资产占用情况。</w:t>
      </w:r>
    </w:p>
    <w:p>
      <w:pPr>
        <w:widowControl/>
        <w:shd w:val="clear" w:color="auto" w:fill="FFFFFF"/>
        <w:spacing w:line="540" w:lineRule="atLeast"/>
        <w:ind w:firstLine="64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截至2019年12月31日，环保局共有车辆3辆，其中：一般公务用车3辆，一般执法执勤用车</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辆，特种专业技术用车</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辆，其他用车</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辆；单位价值50万元以上通用设备</w:t>
      </w:r>
      <w:r>
        <w:rPr>
          <w:rFonts w:ascii="仿宋" w:hAnsi="仿宋" w:eastAsia="仿宋" w:cs="Times New Roman"/>
          <w:color w:val="333333"/>
          <w:kern w:val="0"/>
          <w:sz w:val="32"/>
          <w:szCs w:val="32"/>
        </w:rPr>
        <w:t>0</w:t>
      </w:r>
      <w:r>
        <w:rPr>
          <w:rFonts w:hint="eastAsia" w:ascii="仿宋" w:hAnsi="仿宋" w:eastAsia="仿宋" w:cs="Times New Roman"/>
          <w:color w:val="333333"/>
          <w:kern w:val="0"/>
          <w:sz w:val="32"/>
          <w:szCs w:val="32"/>
        </w:rPr>
        <w:t>台（套），单价100万元以上专用设备1台（套）。</w:t>
      </w:r>
    </w:p>
    <w:p>
      <w:pPr>
        <w:widowControl/>
        <w:shd w:val="clear" w:color="auto" w:fill="FFFFFF"/>
        <w:spacing w:line="540" w:lineRule="atLeast"/>
        <w:ind w:firstLine="643"/>
        <w:rPr>
          <w:rFonts w:ascii="Times New Roman" w:hAnsi="Times New Roman" w:eastAsia="宋体" w:cs="Times New Roman"/>
          <w:color w:val="333333"/>
          <w:kern w:val="0"/>
          <w:szCs w:val="21"/>
        </w:rPr>
      </w:pPr>
      <w:r>
        <w:rPr>
          <w:rFonts w:hint="eastAsia" w:ascii="楷体" w:hAnsi="楷体" w:eastAsia="楷体" w:cs="Times New Roman"/>
          <w:b/>
          <w:bCs/>
          <w:color w:val="333333"/>
          <w:kern w:val="0"/>
          <w:sz w:val="32"/>
          <w:szCs w:val="32"/>
        </w:rPr>
        <w:t>（四）预算绩效管理工作开展情况。</w:t>
      </w:r>
    </w:p>
    <w:p>
      <w:pPr>
        <w:widowControl/>
        <w:shd w:val="clear" w:color="auto" w:fill="FFFFFF"/>
        <w:spacing w:line="540" w:lineRule="atLeast"/>
        <w:ind w:firstLine="64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根据财政预算管理要求，我局组织对2019年度预算项目支出全面开展绩效自评，共涉及预算支出项目7个，涉及资金180.6万元，自评覆盖率（开展绩效自评的项目数/年初批复绩效目标的项目数）达到100%，自评平均分（开展绩效自评的项目分数总和/开展绩效自评的项目数）85分。</w:t>
      </w:r>
    </w:p>
    <w:p>
      <w:pPr>
        <w:widowControl/>
        <w:shd w:val="clear" w:color="auto" w:fill="FFFFFF"/>
        <w:spacing w:line="540" w:lineRule="atLeast"/>
        <w:ind w:firstLine="640"/>
        <w:rPr>
          <w:rFonts w:ascii="Times New Roman" w:hAnsi="Times New Roman" w:eastAsia="宋体" w:cs="Times New Roman"/>
          <w:color w:val="333333"/>
          <w:kern w:val="0"/>
          <w:szCs w:val="21"/>
        </w:rPr>
      </w:pPr>
      <w:r>
        <w:rPr>
          <w:rFonts w:hint="eastAsia" w:ascii="仿宋" w:hAnsi="仿宋" w:eastAsia="仿宋" w:cs="Times New Roman"/>
          <w:color w:val="333333"/>
          <w:kern w:val="0"/>
          <w:sz w:val="32"/>
          <w:szCs w:val="32"/>
        </w:rPr>
        <w:t>通过绩效自评发现预算项目管理主要存在以下问题：一是资金使用不到位;二是预算项目工作开展不具体。</w:t>
      </w:r>
    </w:p>
    <w:p>
      <w:pPr>
        <w:widowControl/>
        <w:shd w:val="clear" w:color="auto" w:fill="FFFFFF"/>
        <w:spacing w:line="540" w:lineRule="atLeast"/>
        <w:rPr>
          <w:rFonts w:ascii="Times New Roman" w:hAnsi="Times New Roman" w:eastAsia="宋体" w:cs="Times New Roman"/>
          <w:color w:val="333333"/>
          <w:kern w:val="0"/>
          <w:szCs w:val="21"/>
        </w:rPr>
      </w:pPr>
      <w:r>
        <w:rPr>
          <w:rFonts w:ascii="Calibri" w:hAnsi="Calibri" w:eastAsia="仿宋" w:cs="Calibri"/>
          <w:b/>
          <w:bCs/>
          <w:color w:val="333333"/>
          <w:kern w:val="0"/>
          <w:sz w:val="36"/>
          <w:szCs w:val="36"/>
        </w:rPr>
        <w:t> </w:t>
      </w:r>
    </w:p>
    <w:p>
      <w:pPr>
        <w:widowControl/>
        <w:shd w:val="clear" w:color="auto" w:fill="FFFFFF"/>
        <w:spacing w:line="540" w:lineRule="atLeast"/>
        <w:jc w:val="center"/>
        <w:rPr>
          <w:rFonts w:ascii="Times New Roman" w:hAnsi="Times New Roman" w:eastAsia="宋体" w:cs="Times New Roman"/>
          <w:color w:val="333333"/>
          <w:kern w:val="0"/>
          <w:szCs w:val="21"/>
        </w:rPr>
      </w:pPr>
      <w:r>
        <w:rPr>
          <w:rFonts w:hint="eastAsia" w:ascii="宋体" w:hAnsi="宋体" w:eastAsia="宋体" w:cs="Times New Roman"/>
          <w:b/>
          <w:bCs/>
          <w:color w:val="333333"/>
          <w:kern w:val="0"/>
          <w:sz w:val="36"/>
          <w:szCs w:val="36"/>
        </w:rPr>
        <w:t>第四部分 名词解释</w:t>
      </w:r>
    </w:p>
    <w:p>
      <w:pPr>
        <w:widowControl/>
        <w:shd w:val="clear" w:color="auto" w:fill="FFFFFF"/>
        <w:spacing w:line="540" w:lineRule="atLeast"/>
        <w:ind w:firstLine="540"/>
        <w:jc w:val="left"/>
        <w:rPr>
          <w:rFonts w:ascii="Times New Roman" w:hAnsi="Times New Roman" w:eastAsia="宋体" w:cs="Times New Roman"/>
          <w:color w:val="333333"/>
          <w:kern w:val="0"/>
          <w:szCs w:val="21"/>
        </w:rPr>
      </w:pPr>
      <w:r>
        <w:rPr>
          <w:rFonts w:ascii="Calibri" w:hAnsi="Calibri" w:eastAsia="黑体" w:cs="Calibri"/>
          <w:color w:val="333333"/>
          <w:kern w:val="0"/>
          <w:sz w:val="36"/>
          <w:szCs w:val="36"/>
        </w:rPr>
        <w:t> </w:t>
      </w:r>
    </w:p>
    <w:p>
      <w:pPr>
        <w:widowControl/>
        <w:shd w:val="clear" w:color="auto" w:fill="FFFFFF"/>
        <w:spacing w:line="540" w:lineRule="atLeast"/>
        <w:ind w:firstLine="482"/>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1.财政拨款收入：</w:t>
      </w:r>
      <w:r>
        <w:rPr>
          <w:rFonts w:hint="eastAsia" w:ascii="仿宋" w:hAnsi="仿宋" w:eastAsia="仿宋" w:cs="Times New Roman"/>
          <w:color w:val="333333"/>
          <w:kern w:val="0"/>
          <w:sz w:val="32"/>
          <w:szCs w:val="32"/>
        </w:rPr>
        <w:t>指单位从同级财政部门取得的财政预算资金。</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2.上级补助收入：</w:t>
      </w:r>
      <w:r>
        <w:rPr>
          <w:rFonts w:hint="eastAsia" w:ascii="仿宋" w:hAnsi="仿宋" w:eastAsia="仿宋" w:cs="Times New Roman"/>
          <w:color w:val="333333"/>
          <w:kern w:val="0"/>
          <w:sz w:val="32"/>
          <w:szCs w:val="32"/>
        </w:rPr>
        <w:t>指单位从主管部门和上级单位取得的非财政性补助收入。</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3.事业收入：</w:t>
      </w:r>
      <w:r>
        <w:rPr>
          <w:rFonts w:hint="eastAsia" w:ascii="仿宋" w:hAnsi="仿宋" w:eastAsia="仿宋" w:cs="Times New Roman"/>
          <w:color w:val="333333"/>
          <w:kern w:val="0"/>
          <w:sz w:val="32"/>
          <w:szCs w:val="32"/>
        </w:rPr>
        <w:t>指事业单位开展专业业务活动及辅助活动所取得的收入。</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4.经营收入：</w:t>
      </w:r>
      <w:r>
        <w:rPr>
          <w:rFonts w:hint="eastAsia" w:ascii="仿宋" w:hAnsi="仿宋" w:eastAsia="仿宋" w:cs="Times New Roman"/>
          <w:color w:val="333333"/>
          <w:kern w:val="0"/>
          <w:sz w:val="32"/>
          <w:szCs w:val="32"/>
        </w:rPr>
        <w:t>指事业单位在专业业务活动及辅助活动之外开展非独立核算经营活动取得的收入。</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5.附属单位上缴收入：</w:t>
      </w:r>
      <w:r>
        <w:rPr>
          <w:rFonts w:hint="eastAsia" w:ascii="仿宋" w:hAnsi="仿宋" w:eastAsia="仿宋" w:cs="Times New Roman"/>
          <w:color w:val="333333"/>
          <w:kern w:val="0"/>
          <w:sz w:val="32"/>
          <w:szCs w:val="32"/>
        </w:rPr>
        <w:t>指单位附属的独立核算单位按照规定上缴的收入。</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6.其他收入：</w:t>
      </w:r>
      <w:r>
        <w:rPr>
          <w:rFonts w:hint="eastAsia" w:ascii="仿宋" w:hAnsi="仿宋" w:eastAsia="仿宋" w:cs="Times New Roman"/>
          <w:color w:val="333333"/>
          <w:kern w:val="0"/>
          <w:sz w:val="32"/>
          <w:szCs w:val="32"/>
        </w:rPr>
        <w:t>指除上述“财政拨款收入”、</w:t>
      </w:r>
      <w:r>
        <w:rPr>
          <w:rFonts w:ascii="Calibri" w:hAnsi="Calibri" w:eastAsia="仿宋" w:cs="Calibri"/>
          <w:b/>
          <w:bCs/>
          <w:color w:val="333333"/>
          <w:kern w:val="0"/>
          <w:sz w:val="32"/>
          <w:szCs w:val="32"/>
        </w:rPr>
        <w:t> </w:t>
      </w:r>
      <w:r>
        <w:rPr>
          <w:rFonts w:hint="eastAsia" w:ascii="仿宋" w:hAnsi="仿宋" w:eastAsia="仿宋" w:cs="Times New Roman"/>
          <w:color w:val="333333"/>
          <w:kern w:val="0"/>
          <w:sz w:val="32"/>
          <w:szCs w:val="32"/>
        </w:rPr>
        <w:t>“上级补助收入”、“事业收入”、“经营收入”、“附属单位上缴收入”等以外的收入。</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7.用事业基金弥补收支差额：</w:t>
      </w:r>
      <w:r>
        <w:rPr>
          <w:rFonts w:hint="eastAsia" w:ascii="仿宋" w:hAnsi="仿宋" w:eastAsia="仿宋" w:cs="Times New Roman"/>
          <w:color w:val="333333"/>
          <w:kern w:val="0"/>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8.上年结转和结余：</w:t>
      </w:r>
      <w:r>
        <w:rPr>
          <w:rFonts w:hint="eastAsia" w:ascii="仿宋" w:hAnsi="仿宋" w:eastAsia="仿宋" w:cs="Times New Roman"/>
          <w:color w:val="333333"/>
          <w:kern w:val="0"/>
          <w:sz w:val="32"/>
          <w:szCs w:val="32"/>
        </w:rPr>
        <w:t>指以前年度尚未完成、结转到本年按有关规定继续使用的资金。</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9.基本支出：</w:t>
      </w:r>
      <w:r>
        <w:rPr>
          <w:rFonts w:hint="eastAsia" w:ascii="仿宋" w:hAnsi="仿宋" w:eastAsia="仿宋" w:cs="Times New Roman"/>
          <w:color w:val="333333"/>
          <w:kern w:val="0"/>
          <w:sz w:val="32"/>
          <w:szCs w:val="32"/>
        </w:rPr>
        <w:t>指保障机构正常运转、完成日常工作任务而发生的人员支出和公用支出。</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10.项目支出：</w:t>
      </w:r>
      <w:r>
        <w:rPr>
          <w:rFonts w:hint="eastAsia" w:ascii="仿宋" w:hAnsi="仿宋" w:eastAsia="仿宋" w:cs="Times New Roman"/>
          <w:color w:val="333333"/>
          <w:kern w:val="0"/>
          <w:sz w:val="32"/>
          <w:szCs w:val="32"/>
        </w:rPr>
        <w:t>指在基本支出之外为完成特定行政任务和事业发展目标所发生的支出。</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11.上缴上级支出：</w:t>
      </w:r>
      <w:r>
        <w:rPr>
          <w:rFonts w:hint="eastAsia" w:ascii="仿宋" w:hAnsi="仿宋" w:eastAsia="仿宋" w:cs="Times New Roman"/>
          <w:color w:val="333333"/>
          <w:kern w:val="0"/>
          <w:sz w:val="32"/>
          <w:szCs w:val="32"/>
        </w:rPr>
        <w:t>指事业单位按照财政部门和主管部门的规定上缴上级单位的支出。</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12.经营支出：</w:t>
      </w:r>
      <w:r>
        <w:rPr>
          <w:rFonts w:hint="eastAsia" w:ascii="仿宋" w:hAnsi="仿宋" w:eastAsia="仿宋" w:cs="Times New Roman"/>
          <w:color w:val="333333"/>
          <w:kern w:val="0"/>
          <w:sz w:val="32"/>
          <w:szCs w:val="32"/>
        </w:rPr>
        <w:t>指事业单位在专业活动及辅助活动之外开展非独立核算经营活动发生的支出。</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13.对附属单位补助支出：</w:t>
      </w:r>
      <w:r>
        <w:rPr>
          <w:rFonts w:hint="eastAsia" w:ascii="仿宋" w:hAnsi="仿宋" w:eastAsia="仿宋" w:cs="Times New Roman"/>
          <w:color w:val="333333"/>
          <w:kern w:val="0"/>
          <w:sz w:val="32"/>
          <w:szCs w:val="32"/>
        </w:rPr>
        <w:t>指事业单位用财政补助收入之外的收入对附属单位补助发生的支出。</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14.“三公”经费：</w:t>
      </w:r>
      <w:r>
        <w:rPr>
          <w:rFonts w:hint="eastAsia" w:ascii="仿宋" w:hAnsi="仿宋" w:eastAsia="仿宋" w:cs="Times New Roman"/>
          <w:color w:val="333333"/>
          <w:kern w:val="0"/>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15.一般公共服务（类）财政事务（款）行政运行（项）：</w:t>
      </w:r>
      <w:r>
        <w:rPr>
          <w:rFonts w:hint="eastAsia" w:ascii="仿宋" w:hAnsi="仿宋" w:eastAsia="仿宋" w:cs="Times New Roman"/>
          <w:color w:val="333333"/>
          <w:kern w:val="0"/>
          <w:sz w:val="32"/>
          <w:szCs w:val="32"/>
        </w:rPr>
        <w:t>反映行政单位（包括实行公务员管理的事业单位）的基本支出。</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16.一般公共服务（类）财政事务（款）一般行政管理事务（项）：</w:t>
      </w:r>
      <w:r>
        <w:rPr>
          <w:rFonts w:hint="eastAsia" w:ascii="仿宋" w:hAnsi="仿宋" w:eastAsia="仿宋" w:cs="Times New Roman"/>
          <w:color w:val="333333"/>
          <w:kern w:val="0"/>
          <w:sz w:val="32"/>
          <w:szCs w:val="32"/>
        </w:rPr>
        <w:t>反映行政单位（包括实行公务员管理的事业单位）未单独设置项级科目的其他项目支出。</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17.一般公共服务（类）财政事务（款）预算改革业务（项）：</w:t>
      </w:r>
      <w:r>
        <w:rPr>
          <w:rFonts w:hint="eastAsia" w:ascii="仿宋" w:hAnsi="仿宋" w:eastAsia="仿宋" w:cs="Times New Roman"/>
          <w:color w:val="333333"/>
          <w:kern w:val="0"/>
          <w:sz w:val="32"/>
          <w:szCs w:val="32"/>
        </w:rPr>
        <w:t>反映财政部门用于预算改革方面的支出。</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18.一般公共服务（类）财政事务（款）财政国库业务（项）：</w:t>
      </w:r>
      <w:r>
        <w:rPr>
          <w:rFonts w:hint="eastAsia" w:ascii="仿宋" w:hAnsi="仿宋" w:eastAsia="仿宋" w:cs="Times New Roman"/>
          <w:color w:val="333333"/>
          <w:kern w:val="0"/>
          <w:sz w:val="32"/>
          <w:szCs w:val="32"/>
        </w:rPr>
        <w:t>反映财政部门用于财政国库集中收付业务方面的支出。</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19.一般公共服务（类）财政事务（款）信息化建设支出（项）：</w:t>
      </w:r>
      <w:r>
        <w:rPr>
          <w:rFonts w:hint="eastAsia" w:ascii="仿宋" w:hAnsi="仿宋" w:eastAsia="仿宋" w:cs="Times New Roman"/>
          <w:color w:val="333333"/>
          <w:kern w:val="0"/>
          <w:sz w:val="32"/>
          <w:szCs w:val="32"/>
        </w:rPr>
        <w:t>反映财政部门用于“金财工程”等信息化建设方面的支出。</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20.一般公共服务（类）财政事务（款）事业运行（项）：</w:t>
      </w:r>
      <w:r>
        <w:rPr>
          <w:rFonts w:hint="eastAsia" w:ascii="仿宋" w:hAnsi="仿宋" w:eastAsia="仿宋" w:cs="Times New Roman"/>
          <w:color w:val="333333"/>
          <w:kern w:val="0"/>
          <w:sz w:val="32"/>
          <w:szCs w:val="32"/>
        </w:rPr>
        <w:t>反映事业单位的基本支出，不包括行政单位（包括实行公务员管理的事业单位）后勤服务中心、医务室等附属事业单位。</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21.一般公共服务（类）财政事务（款）其他财政事务支出（项）：</w:t>
      </w:r>
      <w:r>
        <w:rPr>
          <w:rFonts w:hint="eastAsia" w:ascii="仿宋" w:hAnsi="仿宋" w:eastAsia="仿宋" w:cs="Times New Roman"/>
          <w:color w:val="333333"/>
          <w:kern w:val="0"/>
          <w:sz w:val="32"/>
          <w:szCs w:val="32"/>
        </w:rPr>
        <w:t>反映除上述项目以外其他财政事务方面的支出。</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22.社会保障和就业（类）行政事业单位离退休（款）归口管理的行政单位离退休（项）：</w:t>
      </w:r>
      <w:r>
        <w:rPr>
          <w:rFonts w:hint="eastAsia" w:ascii="仿宋" w:hAnsi="仿宋" w:eastAsia="仿宋" w:cs="Times New Roman"/>
          <w:color w:val="333333"/>
          <w:kern w:val="0"/>
          <w:sz w:val="32"/>
          <w:szCs w:val="32"/>
        </w:rPr>
        <w:t>反映实行归口管理的行政单位（包括实行公务员管理的事业单位）开支的离退休经费。</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23.社会保障和就业（类）行政事业单位离退休（款）事业单位离退休（项）：</w:t>
      </w:r>
      <w:r>
        <w:rPr>
          <w:rFonts w:hint="eastAsia" w:ascii="仿宋" w:hAnsi="仿宋" w:eastAsia="仿宋" w:cs="Times New Roman"/>
          <w:color w:val="333333"/>
          <w:kern w:val="0"/>
          <w:sz w:val="32"/>
          <w:szCs w:val="32"/>
        </w:rPr>
        <w:t>反映实行归口管理的事业单位开支的离退休经费。</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24.社会保障和就业（类）抚恤（款）死亡抚恤（项）：</w:t>
      </w:r>
      <w:r>
        <w:rPr>
          <w:rFonts w:hint="eastAsia" w:ascii="仿宋" w:hAnsi="仿宋" w:eastAsia="仿宋" w:cs="Times New Roman"/>
          <w:color w:val="333333"/>
          <w:kern w:val="0"/>
          <w:sz w:val="32"/>
          <w:szCs w:val="32"/>
        </w:rPr>
        <w:t>反映按规定用于烈士和牺牲、病故人员家属的一次性和定期抚恤金以及丧葬补助费。</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25.社会保障和就业（类）抚恤（款）伤残抚恤（项）：</w:t>
      </w:r>
      <w:r>
        <w:rPr>
          <w:rFonts w:hint="eastAsia" w:ascii="仿宋" w:hAnsi="仿宋" w:eastAsia="仿宋" w:cs="Times New Roman"/>
          <w:color w:val="333333"/>
          <w:kern w:val="0"/>
          <w:sz w:val="32"/>
          <w:szCs w:val="32"/>
        </w:rPr>
        <w:t>反映按规定用于伤残人员的抚恤金和按规定开支的各种伤残补助费。</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26.医疗卫生与计划生育（类）行政事业单位医疗（款）行政单位医疗（项）：</w:t>
      </w:r>
      <w:r>
        <w:rPr>
          <w:rFonts w:hint="eastAsia" w:ascii="仿宋" w:hAnsi="仿宋" w:eastAsia="仿宋" w:cs="Times New Roman"/>
          <w:color w:val="333333"/>
          <w:kern w:val="0"/>
          <w:sz w:val="32"/>
          <w:szCs w:val="32"/>
        </w:rPr>
        <w:t>反映财政部门集中安排的行政单位基本医疗保险缴费经费，未参加医疗保险的行政单位的公费医疗经费，按国家规定享受离休人员、红军老战士待遇人员的医疗经费。</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27.</w:t>
      </w:r>
      <w:r>
        <w:rPr>
          <w:rFonts w:ascii="Calibri" w:hAnsi="Calibri" w:eastAsia="仿宋" w:cs="Calibri"/>
          <w:b/>
          <w:bCs/>
          <w:color w:val="333333"/>
          <w:kern w:val="0"/>
          <w:sz w:val="32"/>
          <w:szCs w:val="32"/>
        </w:rPr>
        <w:t> </w:t>
      </w:r>
      <w:r>
        <w:rPr>
          <w:rFonts w:hint="eastAsia" w:ascii="仿宋" w:hAnsi="仿宋" w:eastAsia="仿宋" w:cs="Times New Roman"/>
          <w:b/>
          <w:bCs/>
          <w:color w:val="333333"/>
          <w:kern w:val="0"/>
          <w:sz w:val="32"/>
          <w:szCs w:val="32"/>
        </w:rPr>
        <w:t>医疗卫生与计划生育（类）行政事业单位医疗（款）事业单位医疗（项）：</w:t>
      </w:r>
      <w:r>
        <w:rPr>
          <w:rFonts w:hint="eastAsia" w:ascii="仿宋" w:hAnsi="仿宋" w:eastAsia="仿宋" w:cs="Times New Roman"/>
          <w:color w:val="333333"/>
          <w:kern w:val="0"/>
          <w:sz w:val="32"/>
          <w:szCs w:val="32"/>
        </w:rPr>
        <w:t>反映财政部门集中安排的事业单位基本医疗保险缴费经费，未参加医疗保险的事业单位的公费医疗经费，按国家规定享受离休人员待遇的医疗经费。</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28.节能环保支出（类）污染防治（款）水体（项）：</w:t>
      </w:r>
      <w:r>
        <w:rPr>
          <w:rFonts w:hint="eastAsia" w:ascii="仿宋" w:hAnsi="仿宋" w:eastAsia="仿宋" w:cs="Times New Roman"/>
          <w:color w:val="333333"/>
          <w:kern w:val="0"/>
          <w:sz w:val="32"/>
          <w:szCs w:val="32"/>
        </w:rPr>
        <w:t>反映政府在排水、污水处理、水污染防治、湖库生态环境保护、水源地保护、国土江河综合整治、河流治理与保护、地下水修复与保护等方面的支出。</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29.农林水事务（类）农业（款）其他农业支出（项）：</w:t>
      </w:r>
      <w:r>
        <w:rPr>
          <w:rFonts w:hint="eastAsia" w:ascii="仿宋" w:hAnsi="仿宋" w:eastAsia="仿宋" w:cs="Times New Roman"/>
          <w:color w:val="333333"/>
          <w:kern w:val="0"/>
          <w:sz w:val="32"/>
          <w:szCs w:val="32"/>
        </w:rPr>
        <w:t>反映其他用于农业方面的支出。</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30.交通运输（类）成品油价格改革对交通运输的补贴（款）成品油价格改革补贴其他支出（项）：</w:t>
      </w:r>
      <w:r>
        <w:rPr>
          <w:rFonts w:hint="eastAsia" w:ascii="仿宋" w:hAnsi="仿宋" w:eastAsia="仿宋" w:cs="Times New Roman"/>
          <w:color w:val="333333"/>
          <w:kern w:val="0"/>
          <w:sz w:val="32"/>
          <w:szCs w:val="32"/>
        </w:rPr>
        <w:t>反映成品油价格改革财政补贴对其他方面的支出。</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31.资源勘探信息等支出（类）工业和信息产业监管（款）其他工业和信息产业监管支出（项）：</w:t>
      </w:r>
      <w:r>
        <w:rPr>
          <w:rFonts w:hint="eastAsia" w:ascii="仿宋" w:hAnsi="仿宋" w:eastAsia="仿宋" w:cs="Times New Roman"/>
          <w:color w:val="333333"/>
          <w:kern w:val="0"/>
          <w:sz w:val="32"/>
          <w:szCs w:val="32"/>
        </w:rPr>
        <w:t>反映其他用于工业和信息产业监管方面的支出。</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32.援助其他地区支出（类）其他支出（款）其他（项）：</w:t>
      </w:r>
      <w:r>
        <w:rPr>
          <w:rFonts w:hint="eastAsia" w:ascii="仿宋" w:hAnsi="仿宋" w:eastAsia="仿宋" w:cs="Times New Roman"/>
          <w:color w:val="333333"/>
          <w:kern w:val="0"/>
          <w:sz w:val="32"/>
          <w:szCs w:val="32"/>
        </w:rPr>
        <w:t>反映援助其他地区资金中的其他支出。</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33.</w:t>
      </w:r>
      <w:r>
        <w:rPr>
          <w:rFonts w:ascii="Calibri" w:hAnsi="Calibri" w:eastAsia="仿宋" w:cs="Calibri"/>
          <w:b/>
          <w:bCs/>
          <w:color w:val="333333"/>
          <w:kern w:val="0"/>
          <w:sz w:val="32"/>
          <w:szCs w:val="32"/>
        </w:rPr>
        <w:t> </w:t>
      </w:r>
      <w:r>
        <w:rPr>
          <w:rFonts w:hint="eastAsia" w:ascii="仿宋" w:hAnsi="仿宋" w:eastAsia="仿宋" w:cs="Times New Roman"/>
          <w:b/>
          <w:bCs/>
          <w:color w:val="333333"/>
          <w:kern w:val="0"/>
          <w:sz w:val="32"/>
          <w:szCs w:val="32"/>
        </w:rPr>
        <w:t>国土海洋气象等支出（类）国土资源事务（款）其他国土资源事务支出（项）：</w:t>
      </w:r>
      <w:r>
        <w:rPr>
          <w:rFonts w:hint="eastAsia" w:ascii="仿宋" w:hAnsi="仿宋" w:eastAsia="仿宋" w:cs="Times New Roman"/>
          <w:color w:val="333333"/>
          <w:kern w:val="0"/>
          <w:sz w:val="32"/>
          <w:szCs w:val="32"/>
        </w:rPr>
        <w:t>反映其他用于国土资源事务方面的支出。</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34.住房保障（类）住房改革（款）住房公积金（项）：</w:t>
      </w:r>
      <w:r>
        <w:rPr>
          <w:rFonts w:hint="eastAsia" w:ascii="仿宋" w:hAnsi="仿宋" w:eastAsia="仿宋" w:cs="Times New Roman"/>
          <w:color w:val="333333"/>
          <w:kern w:val="0"/>
          <w:sz w:val="32"/>
          <w:szCs w:val="32"/>
        </w:rPr>
        <w:t>反映行政事业单位按人力资源和社会保障部、财政部规定的基本工资和津贴补贴以及规定比例为职工缴纳的住房公积金。</w:t>
      </w:r>
    </w:p>
    <w:p>
      <w:pPr>
        <w:widowControl/>
        <w:shd w:val="clear" w:color="auto" w:fill="FFFFFF"/>
        <w:spacing w:line="540" w:lineRule="atLeast"/>
        <w:ind w:firstLine="643"/>
        <w:jc w:val="left"/>
        <w:rPr>
          <w:rFonts w:ascii="Times New Roman" w:hAnsi="Times New Roman" w:eastAsia="宋体" w:cs="Times New Roman"/>
          <w:color w:val="333333"/>
          <w:kern w:val="0"/>
          <w:szCs w:val="21"/>
        </w:rPr>
      </w:pPr>
      <w:r>
        <w:rPr>
          <w:rFonts w:hint="eastAsia" w:ascii="仿宋" w:hAnsi="仿宋" w:eastAsia="仿宋" w:cs="Times New Roman"/>
          <w:b/>
          <w:bCs/>
          <w:color w:val="333333"/>
          <w:kern w:val="0"/>
          <w:sz w:val="32"/>
          <w:szCs w:val="32"/>
        </w:rPr>
        <w:t>35.机关运行经费：</w:t>
      </w:r>
      <w:r>
        <w:rPr>
          <w:rFonts w:hint="eastAsia" w:ascii="仿宋" w:hAnsi="仿宋" w:eastAsia="仿宋" w:cs="Times New Roman"/>
          <w:color w:val="333333"/>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hd w:val="clear" w:color="auto" w:fill="F1F1F1"/>
        <w:spacing w:line="600" w:lineRule="atLeast"/>
        <w:jc w:val="left"/>
        <w:rPr>
          <w:rFonts w:hint="eastAsia" w:ascii="宋体" w:hAnsi="宋体" w:eastAsia="宋体" w:cs="宋体"/>
          <w:kern w:val="0"/>
          <w:sz w:val="23"/>
          <w:szCs w:val="2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0"/>
    <w:rsid w:val="00423711"/>
    <w:rsid w:val="004732F4"/>
    <w:rsid w:val="007E0260"/>
    <w:rsid w:val="008A3D69"/>
    <w:rsid w:val="00914D10"/>
    <w:rsid w:val="00DA6AA8"/>
    <w:rsid w:val="00F679FE"/>
    <w:rsid w:val="00FE21F4"/>
    <w:rsid w:val="118E3FF0"/>
    <w:rsid w:val="5923437C"/>
    <w:rsid w:val="67CF28D2"/>
    <w:rsid w:val="7C712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1319</Words>
  <Characters>7524</Characters>
  <Lines>62</Lines>
  <Paragraphs>17</Paragraphs>
  <TotalTime>94</TotalTime>
  <ScaleCrop>false</ScaleCrop>
  <LinksUpToDate>false</LinksUpToDate>
  <CharactersWithSpaces>8826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2021-05-29T02:27:00Z</dcterms:created>
  <dc:creator>86188</dc:creator>
  <cp:lastModifiedBy>Administrator</cp:lastModifiedBy>
  <dcterms:modified xsi:type="dcterms:W3CDTF">2021-05-30T07:50:50Z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AC3C5FFE84D047F8911603C95C61BC8F</vt:lpwstr>
  </property>
</Properties>
</file>