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8E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39"/>
          <w:szCs w:val="39"/>
          <w:shd w:val="clear" w:fill="FFFFFF"/>
        </w:rPr>
      </w:pPr>
    </w:p>
    <w:p w14:paraId="738BA2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39"/>
          <w:szCs w:val="39"/>
          <w:shd w:val="clear" w:fill="FFFFFF"/>
        </w:rPr>
      </w:pPr>
    </w:p>
    <w:p w14:paraId="2D490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39"/>
          <w:szCs w:val="39"/>
          <w:shd w:val="clear" w:fill="FFFFFF"/>
        </w:rPr>
      </w:pPr>
    </w:p>
    <w:p w14:paraId="70C55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39"/>
          <w:szCs w:val="39"/>
          <w:shd w:val="clear" w:fill="FFFFFF"/>
        </w:rPr>
      </w:pPr>
    </w:p>
    <w:p w14:paraId="62AAB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39"/>
          <w:szCs w:val="39"/>
          <w:shd w:val="clear" w:fill="FFFFFF"/>
        </w:rPr>
      </w:pPr>
      <w:r>
        <w:rPr>
          <w:rFonts w:hint="eastAsia" w:ascii="微软雅黑" w:hAnsi="微软雅黑" w:eastAsia="微软雅黑" w:cs="微软雅黑"/>
          <w:i w:val="0"/>
          <w:caps w:val="0"/>
          <w:color w:val="000000"/>
          <w:spacing w:val="0"/>
          <w:sz w:val="39"/>
          <w:szCs w:val="39"/>
          <w:shd w:val="clear" w:fill="FFFFFF"/>
        </w:rPr>
        <w:t>盘锦市大洼区委区政府信访局</w:t>
      </w:r>
    </w:p>
    <w:p w14:paraId="74E8E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39"/>
          <w:szCs w:val="39"/>
        </w:rPr>
      </w:pPr>
      <w:r>
        <w:rPr>
          <w:rFonts w:hint="eastAsia" w:ascii="微软雅黑" w:hAnsi="微软雅黑" w:eastAsia="微软雅黑" w:cs="微软雅黑"/>
          <w:i w:val="0"/>
          <w:caps w:val="0"/>
          <w:color w:val="000000"/>
          <w:spacing w:val="0"/>
          <w:sz w:val="39"/>
          <w:szCs w:val="39"/>
          <w:shd w:val="clear" w:fill="FFFFFF"/>
        </w:rPr>
        <w:t>2019年度部门决算</w:t>
      </w:r>
    </w:p>
    <w:p w14:paraId="110DE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r>
        <w:rPr>
          <w:rFonts w:hint="eastAsia" w:ascii="微软雅黑" w:hAnsi="微软雅黑" w:eastAsia="微软雅黑" w:cs="微软雅黑"/>
          <w:i w:val="0"/>
          <w:caps w:val="0"/>
          <w:color w:val="333333"/>
          <w:spacing w:val="0"/>
          <w:sz w:val="22"/>
          <w:szCs w:val="22"/>
          <w:shd w:val="clear" w:fill="FFFFFF"/>
        </w:rPr>
        <w:t> </w:t>
      </w:r>
    </w:p>
    <w:p w14:paraId="70551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2F16C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358071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6ABC0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6785A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73890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76672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7E1B2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16B09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0DAA5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4C711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6BD96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55769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shd w:val="clear" w:fill="FFFFFF"/>
        </w:rPr>
      </w:pPr>
    </w:p>
    <w:p w14:paraId="1CC9B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仿宋" w:hAnsi="仿宋" w:eastAsia="仿宋" w:cs="仿宋"/>
          <w:b/>
          <w:i w:val="0"/>
          <w:caps w:val="0"/>
          <w:color w:val="333333"/>
          <w:spacing w:val="0"/>
          <w:sz w:val="44"/>
          <w:szCs w:val="44"/>
          <w:shd w:val="clear" w:fill="FFFFFF"/>
        </w:rPr>
        <w:t>目</w:t>
      </w:r>
      <w:r>
        <w:rPr>
          <w:rFonts w:hint="eastAsia" w:ascii="仿宋" w:hAnsi="仿宋" w:eastAsia="仿宋" w:cs="仿宋"/>
          <w:b/>
          <w:i w:val="0"/>
          <w:caps w:val="0"/>
          <w:color w:val="333333"/>
          <w:spacing w:val="0"/>
          <w:sz w:val="44"/>
          <w:szCs w:val="44"/>
          <w:shd w:val="clear" w:fill="FFFFFF"/>
        </w:rPr>
        <w:t>    录</w:t>
      </w:r>
    </w:p>
    <w:p w14:paraId="51E75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5FC1D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6570B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第一部分    盘锦市大洼区委区政府信访局概况</w:t>
      </w:r>
    </w:p>
    <w:p w14:paraId="38EFE80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720" w:right="0" w:hanging="720"/>
        <w:jc w:val="both"/>
        <w:rPr>
          <w:rFonts w:hint="default" w:ascii="Times New Roman" w:hAnsi="Times New Roman" w:cs="Times New Roman"/>
          <w:sz w:val="32"/>
          <w:szCs w:val="32"/>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eastAsia="zh-CN"/>
        </w:rPr>
        <w:t>主要职责及内设机构</w:t>
      </w:r>
    </w:p>
    <w:p w14:paraId="4910DCD4">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720" w:right="0" w:hanging="720"/>
        <w:jc w:val="both"/>
        <w:rPr>
          <w:rFonts w:hint="default" w:ascii="Times New Roman" w:hAnsi="Times New Roman" w:cs="Times New Roman"/>
          <w:sz w:val="32"/>
          <w:szCs w:val="32"/>
        </w:rPr>
      </w:pPr>
      <w:r>
        <w:rPr>
          <w:rFonts w:hint="eastAsia" w:ascii="仿宋" w:hAnsi="仿宋" w:eastAsia="仿宋" w:cs="仿宋"/>
          <w:i w:val="0"/>
          <w:caps w:val="0"/>
          <w:color w:val="333333"/>
          <w:spacing w:val="0"/>
          <w:sz w:val="32"/>
          <w:szCs w:val="32"/>
          <w:shd w:val="clear" w:fill="FFFFFF"/>
        </w:rPr>
        <w:t>部门决算单位构成</w:t>
      </w:r>
    </w:p>
    <w:p w14:paraId="6ACB7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第二部分    盘锦市大洼区委区政府信访局2019年度部门决算报表</w:t>
      </w:r>
    </w:p>
    <w:p w14:paraId="5A5EA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一、2019年度收入支出决算总表</w:t>
      </w:r>
    </w:p>
    <w:p w14:paraId="13208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二、2019年度收入决算表</w:t>
      </w:r>
    </w:p>
    <w:p w14:paraId="72F55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三、2019年度支出决算表</w:t>
      </w:r>
    </w:p>
    <w:p w14:paraId="3E0E7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四、2019年度财政拨款收入支出决算表</w:t>
      </w:r>
    </w:p>
    <w:p w14:paraId="285CC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五、2019年度一般公共预算财政拨款收入支出决算表</w:t>
      </w:r>
    </w:p>
    <w:p w14:paraId="75E85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六、2019年度一般公共预算财政拨款基本支出决算表</w:t>
      </w:r>
    </w:p>
    <w:p w14:paraId="74425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七、2019年度政府性基金预算财政拨款收入支出决算表</w:t>
      </w:r>
    </w:p>
    <w:p w14:paraId="4E348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八、2019年度一般公共预算财政拨款“三公”经费支出决算表</w:t>
      </w:r>
    </w:p>
    <w:p w14:paraId="44D17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第三部分    盘锦市大洼区委区政府信访局2019年度部门决算情况说明</w:t>
      </w:r>
    </w:p>
    <w:p w14:paraId="2D5BC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第四部分    名词解释</w:t>
      </w:r>
    </w:p>
    <w:p w14:paraId="489F6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55EEC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70E98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2BDB2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0A782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6AD7C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03DFA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i w:val="0"/>
          <w:caps w:val="0"/>
          <w:color w:val="333333"/>
          <w:spacing w:val="0"/>
          <w:sz w:val="36"/>
          <w:szCs w:val="36"/>
          <w:shd w:val="clear" w:fill="FFFFFF"/>
        </w:rPr>
        <w:t>第一部分 盘锦市大洼区委区政府信访局概况</w:t>
      </w:r>
    </w:p>
    <w:p w14:paraId="3B01C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66C0C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一、主要职责</w:t>
      </w:r>
    </w:p>
    <w:p w14:paraId="42BAC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（一）贯彻落实党的群众路线，负责研究部署和指导全区的群众权益保障工作；</w:t>
      </w:r>
    </w:p>
    <w:p w14:paraId="17783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（二）代表区委、区政府接待人民来访，受理人民来信和电话、网络投诉，交办和转送信访人提出的信访事项；</w:t>
      </w:r>
    </w:p>
    <w:p w14:paraId="71918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（三）承办上级机关和区委、区政府领导交办的信访事项，督促检查领导同志批示件的落实情况；向</w:t>
      </w:r>
      <w:r>
        <w:rPr>
          <w:rFonts w:hint="eastAsia" w:ascii="仿宋" w:hAnsi="仿宋" w:eastAsia="仿宋" w:cs="仿宋"/>
          <w:i w:val="0"/>
          <w:caps w:val="0"/>
          <w:color w:val="333333"/>
          <w:spacing w:val="0"/>
          <w:sz w:val="32"/>
          <w:szCs w:val="32"/>
          <w:shd w:val="clear" w:fill="FFFFFF"/>
          <w:lang w:eastAsia="zh-CN"/>
        </w:rPr>
        <w:t>有关</w:t>
      </w:r>
      <w:r>
        <w:rPr>
          <w:rFonts w:hint="eastAsia" w:ascii="仿宋" w:hAnsi="仿宋" w:eastAsia="仿宋" w:cs="仿宋"/>
          <w:i w:val="0"/>
          <w:caps w:val="0"/>
          <w:color w:val="333333"/>
          <w:spacing w:val="0"/>
          <w:sz w:val="32"/>
          <w:szCs w:val="32"/>
          <w:shd w:val="clear" w:fill="FFFFFF"/>
        </w:rPr>
        <w:t>单位和部门转办、交办信访事项，对落实情况进行审理和督查督办，并反馈有关情况；</w:t>
      </w:r>
    </w:p>
    <w:p w14:paraId="3C37B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（四）协调处理群众集体进京、去省、到市、来区上访和突发事件；直接查处重大疑难信访案件；</w:t>
      </w:r>
    </w:p>
    <w:p w14:paraId="6AFFA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（五）征集群众意见，反映社情民意，及时向区委、区政府提供信访信息，并对涉及群众利益的政策性问题提出意见和建议；</w:t>
      </w:r>
    </w:p>
    <w:p w14:paraId="53266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（六）负责信访联席会议办公室日常工作；负责信访复查复核事项的调查取证，监督复查复核决定的执行；</w:t>
      </w:r>
    </w:p>
    <w:p w14:paraId="4B5C8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（七）负责本部门、本系统信访突发事件的应急管理工作，贯彻落实突发事件应急预案，预防和处置本部门、本系统的突发事件；</w:t>
      </w:r>
    </w:p>
    <w:p w14:paraId="49072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（八）协调指导对困难群体的帮扶救助和对重要特殊上访群体的稳定，协调对信访人员中违法行为的依法处理；</w:t>
      </w:r>
    </w:p>
    <w:p w14:paraId="4D93E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（九）宣传党的政策，对来访群众进行思想教育和疏导；为来访群众提供有关</w:t>
      </w:r>
      <w:r>
        <w:rPr>
          <w:rFonts w:hint="eastAsia" w:ascii="仿宋" w:hAnsi="仿宋" w:eastAsia="仿宋" w:cs="仿宋"/>
          <w:i w:val="0"/>
          <w:caps w:val="0"/>
          <w:color w:val="333333"/>
          <w:spacing w:val="0"/>
          <w:sz w:val="32"/>
          <w:szCs w:val="32"/>
          <w:shd w:val="clear" w:fill="FFFFFF"/>
          <w:lang w:eastAsia="zh-CN"/>
        </w:rPr>
        <w:t>法律法规</w:t>
      </w:r>
      <w:r>
        <w:rPr>
          <w:rFonts w:hint="eastAsia" w:ascii="仿宋" w:hAnsi="仿宋" w:eastAsia="仿宋" w:cs="仿宋"/>
          <w:i w:val="0"/>
          <w:caps w:val="0"/>
          <w:color w:val="333333"/>
          <w:spacing w:val="0"/>
          <w:sz w:val="32"/>
          <w:szCs w:val="32"/>
          <w:shd w:val="clear" w:fill="FFFFFF"/>
        </w:rPr>
        <w:t>和政策咨询服务；</w:t>
      </w:r>
    </w:p>
    <w:p w14:paraId="673C1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（十）加强群众权益</w:t>
      </w:r>
      <w:r>
        <w:rPr>
          <w:rFonts w:hint="eastAsia" w:ascii="仿宋" w:hAnsi="仿宋" w:eastAsia="仿宋" w:cs="仿宋"/>
          <w:i w:val="0"/>
          <w:caps w:val="0"/>
          <w:color w:val="333333"/>
          <w:spacing w:val="0"/>
          <w:sz w:val="32"/>
          <w:szCs w:val="32"/>
          <w:shd w:val="clear" w:fill="FFFFFF"/>
          <w:lang w:eastAsia="zh-CN"/>
        </w:rPr>
        <w:t>保障</w:t>
      </w:r>
      <w:r>
        <w:rPr>
          <w:rFonts w:hint="eastAsia" w:ascii="仿宋" w:hAnsi="仿宋" w:eastAsia="仿宋" w:cs="仿宋"/>
          <w:i w:val="0"/>
          <w:caps w:val="0"/>
          <w:color w:val="333333"/>
          <w:spacing w:val="0"/>
          <w:sz w:val="32"/>
          <w:szCs w:val="32"/>
          <w:shd w:val="clear" w:fill="FFFFFF"/>
        </w:rPr>
        <w:t>与信访工作队伍建设，组织开展在职教育和业务培训；</w:t>
      </w:r>
    </w:p>
    <w:p w14:paraId="549FB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720" w:right="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（十一）承办区委、区政府交办的其他事项。</w:t>
      </w:r>
    </w:p>
    <w:p w14:paraId="687A122C">
      <w:pPr>
        <w:snapToGrid w:val="0"/>
        <w:spacing w:line="520" w:lineRule="exact"/>
        <w:ind w:left="720"/>
        <w:rPr>
          <w:rFonts w:hint="eastAsia" w:ascii="仿宋" w:hAnsi="仿宋" w:eastAsia="仿宋"/>
          <w:sz w:val="32"/>
          <w:szCs w:val="32"/>
          <w:lang w:val="en-US" w:eastAsia="zh-CN"/>
        </w:rPr>
      </w:pPr>
      <w:r>
        <w:rPr>
          <w:rFonts w:hint="eastAsia" w:ascii="仿宋" w:hAnsi="仿宋" w:eastAsia="仿宋"/>
          <w:sz w:val="32"/>
          <w:szCs w:val="32"/>
          <w:lang w:val="en-US" w:eastAsia="zh-CN"/>
        </w:rPr>
        <w:t>机构设置情况：</w:t>
      </w:r>
    </w:p>
    <w:p w14:paraId="14C8ECBD">
      <w:pPr>
        <w:snapToGrid w:val="0"/>
        <w:spacing w:line="520" w:lineRule="exact"/>
        <w:ind w:left="720"/>
        <w:rPr>
          <w:rFonts w:hint="eastAsia" w:ascii="仿宋" w:hAnsi="仿宋" w:eastAsia="仿宋"/>
          <w:sz w:val="32"/>
          <w:szCs w:val="32"/>
          <w:lang w:eastAsia="zh-CN"/>
        </w:rPr>
      </w:pPr>
      <w:r>
        <w:rPr>
          <w:rFonts w:hint="eastAsia" w:ascii="仿宋" w:hAnsi="仿宋" w:eastAsia="仿宋"/>
          <w:sz w:val="32"/>
          <w:szCs w:val="32"/>
        </w:rPr>
        <w:t>办公室</w:t>
      </w:r>
      <w:r>
        <w:rPr>
          <w:rFonts w:hint="eastAsia" w:ascii="仿宋" w:hAnsi="仿宋" w:eastAsia="仿宋"/>
          <w:sz w:val="32"/>
          <w:szCs w:val="32"/>
          <w:lang w:eastAsia="zh-CN"/>
        </w:rPr>
        <w:t>（</w:t>
      </w:r>
      <w:r>
        <w:rPr>
          <w:rFonts w:hint="eastAsia" w:ascii="仿宋" w:hAnsi="仿宋" w:eastAsia="仿宋"/>
          <w:sz w:val="32"/>
          <w:szCs w:val="32"/>
          <w:lang w:val="en-US" w:eastAsia="zh-CN"/>
        </w:rPr>
        <w:t>股级</w:t>
      </w:r>
      <w:r>
        <w:rPr>
          <w:rFonts w:hint="eastAsia" w:ascii="仿宋" w:hAnsi="仿宋" w:eastAsia="仿宋"/>
          <w:sz w:val="32"/>
          <w:szCs w:val="32"/>
          <w:lang w:eastAsia="zh-CN"/>
        </w:rPr>
        <w:t>）</w:t>
      </w:r>
    </w:p>
    <w:p w14:paraId="764F2E0B">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负责文字的综合分析、总结与交流工作，负责文件收发、登记、呈批、文件档案的收集、整理、归档工作，负责财务及各类保险工作，负责行政管理及领导交办的其他工作。</w:t>
      </w:r>
    </w:p>
    <w:p w14:paraId="09B6DE41">
      <w:pPr>
        <w:snapToGrid w:val="0"/>
        <w:spacing w:line="520" w:lineRule="exact"/>
        <w:ind w:left="720"/>
        <w:rPr>
          <w:rFonts w:hint="eastAsia" w:ascii="仿宋" w:hAnsi="仿宋" w:eastAsia="仿宋"/>
          <w:sz w:val="32"/>
          <w:szCs w:val="32"/>
        </w:rPr>
      </w:pPr>
      <w:r>
        <w:rPr>
          <w:rFonts w:hint="eastAsia" w:ascii="仿宋" w:hAnsi="仿宋" w:eastAsia="仿宋"/>
          <w:sz w:val="32"/>
          <w:szCs w:val="32"/>
        </w:rPr>
        <w:t>行政编制2名，主任职数1名</w:t>
      </w:r>
      <w:r>
        <w:rPr>
          <w:rFonts w:hint="eastAsia" w:ascii="仿宋" w:hAnsi="仿宋" w:eastAsia="仿宋"/>
          <w:sz w:val="32"/>
          <w:szCs w:val="32"/>
          <w:lang w:eastAsia="zh-CN"/>
        </w:rPr>
        <w:t>。</w:t>
      </w:r>
    </w:p>
    <w:p w14:paraId="44E330B7">
      <w:pPr>
        <w:snapToGrid w:val="0"/>
        <w:spacing w:line="520" w:lineRule="exact"/>
        <w:ind w:left="720"/>
        <w:rPr>
          <w:rFonts w:hint="eastAsia" w:ascii="仿宋" w:hAnsi="仿宋" w:eastAsia="仿宋"/>
          <w:sz w:val="32"/>
          <w:szCs w:val="32"/>
        </w:rPr>
      </w:pPr>
      <w:r>
        <w:rPr>
          <w:rFonts w:hint="eastAsia" w:ascii="仿宋" w:hAnsi="仿宋" w:eastAsia="仿宋"/>
          <w:sz w:val="32"/>
          <w:szCs w:val="32"/>
        </w:rPr>
        <w:t>来访接待室</w:t>
      </w:r>
      <w:r>
        <w:rPr>
          <w:rFonts w:hint="eastAsia" w:ascii="仿宋" w:hAnsi="仿宋" w:eastAsia="仿宋"/>
          <w:sz w:val="32"/>
          <w:szCs w:val="32"/>
          <w:lang w:eastAsia="zh-CN"/>
        </w:rPr>
        <w:t>（</w:t>
      </w:r>
      <w:r>
        <w:rPr>
          <w:rFonts w:hint="eastAsia" w:ascii="仿宋" w:hAnsi="仿宋" w:eastAsia="仿宋"/>
          <w:sz w:val="32"/>
          <w:szCs w:val="32"/>
          <w:lang w:val="en-US" w:eastAsia="zh-CN"/>
        </w:rPr>
        <w:t>股级</w:t>
      </w:r>
      <w:r>
        <w:rPr>
          <w:rFonts w:hint="eastAsia" w:ascii="仿宋" w:hAnsi="仿宋" w:eastAsia="仿宋"/>
          <w:sz w:val="32"/>
          <w:szCs w:val="32"/>
          <w:lang w:eastAsia="zh-CN"/>
        </w:rPr>
        <w:t>）</w:t>
      </w:r>
    </w:p>
    <w:p w14:paraId="36803D0D">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负责</w:t>
      </w:r>
      <w:r>
        <w:rPr>
          <w:rFonts w:hint="eastAsia" w:ascii="仿宋" w:hAnsi="仿宋" w:eastAsia="仿宋"/>
          <w:sz w:val="32"/>
          <w:szCs w:val="32"/>
          <w:lang w:eastAsia="zh-CN"/>
        </w:rPr>
        <w:t>接待</w:t>
      </w:r>
      <w:r>
        <w:rPr>
          <w:rFonts w:hint="eastAsia" w:ascii="仿宋" w:hAnsi="仿宋" w:eastAsia="仿宋"/>
          <w:sz w:val="32"/>
          <w:szCs w:val="32"/>
        </w:rPr>
        <w:t>区委、区政府机关的群众来访，提供法律咨询，做好矛盾纠纷受理和分流处理工作；负责各类来访的登记、受理工作；组织指导全区信访接待处理工作；定期分析研究信访信息，通报全区信访工作情况；负责来访人员的疏导教育工作。</w:t>
      </w:r>
    </w:p>
    <w:p w14:paraId="61E1D3E3">
      <w:pPr>
        <w:snapToGrid w:val="0"/>
        <w:spacing w:line="520" w:lineRule="exact"/>
        <w:ind w:left="720"/>
        <w:rPr>
          <w:rFonts w:hint="eastAsia" w:ascii="仿宋" w:hAnsi="仿宋" w:eastAsia="仿宋"/>
          <w:sz w:val="32"/>
          <w:szCs w:val="32"/>
        </w:rPr>
      </w:pPr>
      <w:r>
        <w:rPr>
          <w:rFonts w:hint="eastAsia" w:ascii="仿宋" w:hAnsi="仿宋" w:eastAsia="仿宋"/>
          <w:sz w:val="32"/>
          <w:szCs w:val="32"/>
        </w:rPr>
        <w:t>行政编制2名，主任职数1名。</w:t>
      </w:r>
    </w:p>
    <w:p w14:paraId="467D9C42">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信访督查室</w:t>
      </w:r>
      <w:r>
        <w:rPr>
          <w:rFonts w:hint="eastAsia" w:ascii="仿宋" w:hAnsi="仿宋" w:eastAsia="仿宋"/>
          <w:sz w:val="32"/>
          <w:szCs w:val="32"/>
          <w:lang w:eastAsia="zh-CN"/>
        </w:rPr>
        <w:t>（</w:t>
      </w:r>
      <w:r>
        <w:rPr>
          <w:rFonts w:hint="eastAsia" w:ascii="仿宋" w:hAnsi="仿宋" w:eastAsia="仿宋"/>
          <w:sz w:val="32"/>
          <w:szCs w:val="32"/>
          <w:lang w:val="en-US" w:eastAsia="zh-CN"/>
        </w:rPr>
        <w:t>股级</w:t>
      </w:r>
      <w:r>
        <w:rPr>
          <w:rFonts w:hint="eastAsia" w:ascii="仿宋" w:hAnsi="仿宋" w:eastAsia="仿宋"/>
          <w:sz w:val="32"/>
          <w:szCs w:val="32"/>
          <w:lang w:eastAsia="zh-CN"/>
        </w:rPr>
        <w:t>）</w:t>
      </w:r>
    </w:p>
    <w:p w14:paraId="5DCAAF44">
      <w:pPr>
        <w:snapToGrid w:val="0"/>
        <w:spacing w:line="520" w:lineRule="exact"/>
        <w:ind w:firstLine="640" w:firstLineChars="200"/>
        <w:rPr>
          <w:rFonts w:hint="default" w:ascii="仿宋" w:hAnsi="仿宋" w:eastAsia="仿宋" w:cs="仿宋"/>
          <w:i w:val="0"/>
          <w:caps w:val="0"/>
          <w:color w:val="333333"/>
          <w:spacing w:val="0"/>
          <w:sz w:val="32"/>
          <w:szCs w:val="32"/>
          <w:shd w:val="clear" w:fill="FFFFFF"/>
        </w:rPr>
      </w:pPr>
      <w:r>
        <w:rPr>
          <w:rFonts w:hint="eastAsia" w:ascii="仿宋" w:hAnsi="仿宋" w:eastAsia="仿宋"/>
          <w:sz w:val="32"/>
          <w:szCs w:val="32"/>
        </w:rPr>
        <w:t>负责对上级交办的各类信访事项和领导批示的信访事项进行转送、交办，及时的督查、督办，并按要求按期报送处理结果，负责指导全区信访系统信息化建设工作；负责信息系统和信息化建设、网上投诉、网上投诉案件转办办理、信访数据统计与分析等工作。</w:t>
      </w:r>
    </w:p>
    <w:p w14:paraId="707F5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二、部门决算单位构成</w:t>
      </w:r>
    </w:p>
    <w:p w14:paraId="3AECF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纳入盘锦市大洼区委区政府信访局2019年部门决算编制范围包括：</w:t>
      </w:r>
    </w:p>
    <w:p w14:paraId="2D9A0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盘锦市大洼区委区政府信访局</w:t>
      </w:r>
    </w:p>
    <w:p w14:paraId="18DB8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4C148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586CE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3EC75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26B6C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7AA4F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03A6A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5B5BC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491B6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4AD8A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39D3E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2F019B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2D15F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4A22D4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3BC0A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333333"/>
          <w:spacing w:val="0"/>
          <w:sz w:val="36"/>
          <w:szCs w:val="36"/>
          <w:shd w:val="clear" w:fill="FFFFFF"/>
        </w:rPr>
        <w:t>第二部分  盘锦市大洼区委区政府信访局</w:t>
      </w:r>
    </w:p>
    <w:p w14:paraId="7C29D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333333"/>
          <w:spacing w:val="0"/>
          <w:sz w:val="36"/>
          <w:szCs w:val="36"/>
          <w:shd w:val="clear" w:fill="FFFFFF"/>
        </w:rPr>
        <w:t>2019年度部门 决算表</w:t>
      </w:r>
    </w:p>
    <w:p w14:paraId="1694F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一、2019年度收入支出决算总表</w:t>
      </w:r>
    </w:p>
    <w:p w14:paraId="4B630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二、2019年度收入决算表</w:t>
      </w:r>
    </w:p>
    <w:p w14:paraId="6152D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三、2019年度支出决算表</w:t>
      </w:r>
    </w:p>
    <w:p w14:paraId="43B3A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四、2019年度财政拨款收入支出决算表</w:t>
      </w:r>
    </w:p>
    <w:p w14:paraId="77905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五、2019年度一般公共预算财政拨款收入支出决算表</w:t>
      </w:r>
    </w:p>
    <w:p w14:paraId="100F3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六、2019年度一般公共预算财政拨款基本支出决算表</w:t>
      </w:r>
    </w:p>
    <w:p w14:paraId="352DF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七、2019年度政府性基金预算财政拨款收入支出决算表</w:t>
      </w:r>
    </w:p>
    <w:p w14:paraId="5C279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八、2019年度一般公共预算财政拨款“三公”经费支出决算表</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b/>
          <w:i w:val="0"/>
          <w:caps w:val="0"/>
          <w:color w:val="333333"/>
          <w:spacing w:val="0"/>
          <w:sz w:val="36"/>
          <w:szCs w:val="36"/>
          <w:shd w:val="clear" w:fill="FFFFFF"/>
        </w:rPr>
        <w:t>第三部分 </w:t>
      </w:r>
      <w:r>
        <w:rPr>
          <w:rFonts w:hint="eastAsia" w:ascii="宋体" w:hAnsi="宋体" w:eastAsia="宋体" w:cs="宋体"/>
          <w:b/>
          <w:i w:val="0"/>
          <w:caps w:val="0"/>
          <w:color w:val="333333"/>
          <w:spacing w:val="0"/>
          <w:sz w:val="36"/>
          <w:szCs w:val="36"/>
          <w:shd w:val="clear" w:fill="FFFFFF"/>
        </w:rPr>
        <w:t>盘锦市大洼区委区政府信访局</w:t>
      </w:r>
    </w:p>
    <w:p w14:paraId="641C3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333333"/>
          <w:spacing w:val="0"/>
          <w:sz w:val="36"/>
          <w:szCs w:val="36"/>
          <w:shd w:val="clear" w:fill="FFFFFF"/>
        </w:rPr>
        <w:t>2019年度部门决算情况说明</w:t>
      </w:r>
    </w:p>
    <w:p w14:paraId="5BD0A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一、收入支出决算总体情况</w:t>
      </w:r>
    </w:p>
    <w:p w14:paraId="0C220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（一）收入总计197.14万元，包括：</w:t>
      </w:r>
    </w:p>
    <w:p w14:paraId="42E81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1.财政拨款收入138.39万元，占收入总计的70.20%。其中：公共预算财政拨款收入138.39万元，政府性基金收入0万元。</w:t>
      </w:r>
    </w:p>
    <w:p w14:paraId="4509B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2.上级补助收入0万元。</w:t>
      </w:r>
    </w:p>
    <w:p w14:paraId="3B456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3.事业收入0万元。</w:t>
      </w:r>
    </w:p>
    <w:p w14:paraId="3B083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4.经营收入0万元。</w:t>
      </w:r>
    </w:p>
    <w:p w14:paraId="4A224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5.附属单位上缴收入0万元。</w:t>
      </w:r>
    </w:p>
    <w:p w14:paraId="668B7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6.其他收入0万元。</w:t>
      </w:r>
    </w:p>
    <w:p w14:paraId="32F1E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7.用事业基金弥补收支差额0万元。</w:t>
      </w:r>
    </w:p>
    <w:p w14:paraId="03641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8.上年结转和结余58.75万元，占收入总计的29.80%。主要：一是2018年进京值班差旅费用、2018年</w:t>
      </w:r>
      <w:r>
        <w:rPr>
          <w:rFonts w:hint="eastAsia" w:ascii="仿宋" w:hAnsi="仿宋" w:eastAsia="仿宋" w:cs="仿宋"/>
          <w:i w:val="0"/>
          <w:caps w:val="0"/>
          <w:color w:val="333333"/>
          <w:spacing w:val="0"/>
          <w:sz w:val="32"/>
          <w:szCs w:val="32"/>
          <w:shd w:val="clear" w:fill="FFFFFF"/>
          <w:lang w:eastAsia="zh-CN"/>
        </w:rPr>
        <w:t>全国两会</w:t>
      </w:r>
      <w:r>
        <w:rPr>
          <w:rFonts w:hint="eastAsia" w:ascii="仿宋" w:hAnsi="仿宋" w:eastAsia="仿宋" w:cs="仿宋"/>
          <w:i w:val="0"/>
          <w:caps w:val="0"/>
          <w:color w:val="333333"/>
          <w:spacing w:val="0"/>
          <w:sz w:val="32"/>
          <w:szCs w:val="32"/>
          <w:shd w:val="clear" w:fill="FFFFFF"/>
        </w:rPr>
        <w:t>期间进京开展接待劝返工作经费等信访事务原因形成的结转；二是2018年行政事业单位职工取暖费形成了结转。</w:t>
      </w:r>
    </w:p>
    <w:p w14:paraId="60AE1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与上年相比，今年收入增加5.94万元，增长3%，主要原因：项目支出增加。</w:t>
      </w:r>
    </w:p>
    <w:p w14:paraId="6D8326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（二）支出总计172.18万元，包括：</w:t>
      </w:r>
    </w:p>
    <w:p w14:paraId="47443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1.基本支出80.40万元，占支出总计的47%。主要是为保障机构正常运转、完成日常工作任务而发生的各项支出，其中：工资福利支出70.01万元，对个人和家庭的补助支出0.875万元，商品和服务支出9.515万元。</w:t>
      </w:r>
    </w:p>
    <w:p w14:paraId="626E5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2.项目支出91.78万元，占支出总计的53%。主要包括进京值班差旅费用、中央巡视组在辽宁巡视期间驻省开展劝访工作经费、进京开展接待劝返工作费用等信访事务业务支出。</w:t>
      </w:r>
    </w:p>
    <w:p w14:paraId="6FAB6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3.上缴上级支出0万元。</w:t>
      </w:r>
    </w:p>
    <w:p w14:paraId="2B3D4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4.经营支出0万元。</w:t>
      </w:r>
    </w:p>
    <w:p w14:paraId="7CA10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5.对附属单位补助支出0万元。</w:t>
      </w:r>
    </w:p>
    <w:p w14:paraId="63B00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与上年相比，今年支出增加39.73万元，增长30%，主要原因：一是2018年进京值班差旅费用、2018年</w:t>
      </w:r>
      <w:r>
        <w:rPr>
          <w:rFonts w:hint="eastAsia" w:ascii="仿宋" w:hAnsi="仿宋" w:eastAsia="仿宋" w:cs="仿宋"/>
          <w:i w:val="0"/>
          <w:caps w:val="0"/>
          <w:color w:val="333333"/>
          <w:spacing w:val="0"/>
          <w:sz w:val="32"/>
          <w:szCs w:val="32"/>
          <w:shd w:val="clear" w:fill="FFFFFF"/>
          <w:lang w:eastAsia="zh-CN"/>
        </w:rPr>
        <w:t>全国两会</w:t>
      </w:r>
      <w:r>
        <w:rPr>
          <w:rFonts w:hint="eastAsia" w:ascii="仿宋" w:hAnsi="仿宋" w:eastAsia="仿宋" w:cs="仿宋"/>
          <w:i w:val="0"/>
          <w:caps w:val="0"/>
          <w:color w:val="333333"/>
          <w:spacing w:val="0"/>
          <w:sz w:val="32"/>
          <w:szCs w:val="32"/>
          <w:shd w:val="clear" w:fill="FFFFFF"/>
        </w:rPr>
        <w:t>期间进京开展接待劝返工作经费等信访事务没有列入当年支出；二是2018年行政事业单位职工取暖费没有列入当年支出。</w:t>
      </w:r>
    </w:p>
    <w:p w14:paraId="6DD19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（三）年末结转和结余24.96万元。</w:t>
      </w:r>
    </w:p>
    <w:p w14:paraId="1008D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主要是基本支出办公费定额结转6.56万元、2019年信访工作人员进京值班差旅费用、“十一”期间进京开展接待劝返工作费用等信访事务、组织部增拨选派到村干部生活补贴费用等项目支出结转18.4万元。与上年相比，今年结转结余减少33.79万元，降低57.51%，主要原因：一是2018年进京值班差旅费用、2018年</w:t>
      </w:r>
      <w:r>
        <w:rPr>
          <w:rFonts w:hint="eastAsia" w:ascii="仿宋" w:hAnsi="仿宋" w:eastAsia="仿宋" w:cs="仿宋"/>
          <w:i w:val="0"/>
          <w:caps w:val="0"/>
          <w:color w:val="333333"/>
          <w:spacing w:val="0"/>
          <w:sz w:val="32"/>
          <w:szCs w:val="32"/>
          <w:shd w:val="clear" w:fill="FFFFFF"/>
          <w:lang w:eastAsia="zh-CN"/>
        </w:rPr>
        <w:t>全国两会</w:t>
      </w:r>
      <w:r>
        <w:rPr>
          <w:rFonts w:hint="eastAsia" w:ascii="仿宋" w:hAnsi="仿宋" w:eastAsia="仿宋" w:cs="仿宋"/>
          <w:i w:val="0"/>
          <w:caps w:val="0"/>
          <w:color w:val="333333"/>
          <w:spacing w:val="0"/>
          <w:sz w:val="32"/>
          <w:szCs w:val="32"/>
          <w:shd w:val="clear" w:fill="FFFFFF"/>
        </w:rPr>
        <w:t>期间进京开展接待劝返工作经费等信访事务原因形成的结转比2019年多；二是2018年行政事业单位职工取暖费形成了结转。</w:t>
      </w:r>
    </w:p>
    <w:p w14:paraId="4F5D6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二、财政拨款支出决算情况</w:t>
      </w:r>
    </w:p>
    <w:p w14:paraId="30E16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（一）总体情况。</w:t>
      </w:r>
    </w:p>
    <w:p w14:paraId="63E39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2019年度财政拨款支出172.18万元，其中：基本支出80.4万元，项目支出91.78万元。与上年相比，财政拨款支出增加39.73万元，增长30%，主要原因：一是2018年进京值班差旅费用、2018年</w:t>
      </w:r>
      <w:r>
        <w:rPr>
          <w:rFonts w:hint="eastAsia" w:ascii="仿宋" w:hAnsi="仿宋" w:eastAsia="仿宋" w:cs="仿宋"/>
          <w:i w:val="0"/>
          <w:caps w:val="0"/>
          <w:color w:val="333333"/>
          <w:spacing w:val="0"/>
          <w:sz w:val="32"/>
          <w:szCs w:val="32"/>
          <w:shd w:val="clear" w:fill="FFFFFF"/>
          <w:lang w:eastAsia="zh-CN"/>
        </w:rPr>
        <w:t>全国两会</w:t>
      </w:r>
      <w:r>
        <w:rPr>
          <w:rFonts w:hint="eastAsia" w:ascii="仿宋" w:hAnsi="仿宋" w:eastAsia="仿宋" w:cs="仿宋"/>
          <w:i w:val="0"/>
          <w:caps w:val="0"/>
          <w:color w:val="333333"/>
          <w:spacing w:val="0"/>
          <w:sz w:val="32"/>
          <w:szCs w:val="32"/>
          <w:shd w:val="clear" w:fill="FFFFFF"/>
        </w:rPr>
        <w:t>期间进京开展接待劝返工作经费等信访事务没有列入支出；二是2018年行政事业单位职工取暖费没有列入支出。与年初预算相比，2019财政拨款支出完成年初预算的191%，其中：基本支出完成年初预算的90%，项目支出为新增项目财力追加。</w:t>
      </w:r>
    </w:p>
    <w:p w14:paraId="7FB6B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（二）具体情况。</w:t>
      </w:r>
    </w:p>
    <w:p w14:paraId="7597F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2019年度财政拨款支出172.18万元，按支出功能分类科目分，包括：一般公共服务支出155.27万元，占90.18%；社会保障和就业支出8.73万元，占5.07%；医疗卫生与计划生育支出3.43万元，占1.99%；住房保障支出4.74万元，占2.76%。</w:t>
      </w:r>
    </w:p>
    <w:p w14:paraId="49B8D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1.一般公共服务支出155.27万元，具体包括：</w:t>
      </w:r>
    </w:p>
    <w:p w14:paraId="0DECA0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（1）行政运行51.74万元，主要是人员工资、办公经费等支出，完成年初预算的79%，决算数小于年初预算数的原因主要是人员调整。</w:t>
      </w:r>
    </w:p>
    <w:p w14:paraId="3268D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（2）一般行政管理事务103.54万元，主要是</w:t>
      </w:r>
      <w:r>
        <w:rPr>
          <w:rFonts w:hint="eastAsia" w:ascii="仿宋" w:hAnsi="仿宋" w:eastAsia="仿宋" w:cs="仿宋"/>
          <w:i w:val="0"/>
          <w:caps w:val="0"/>
          <w:color w:val="333333"/>
          <w:spacing w:val="0"/>
          <w:sz w:val="32"/>
          <w:szCs w:val="32"/>
          <w:shd w:val="clear" w:fill="FFFFFF"/>
          <w:lang w:eastAsia="zh-CN"/>
        </w:rPr>
        <w:t>全国两会</w:t>
      </w:r>
      <w:r>
        <w:rPr>
          <w:rFonts w:hint="eastAsia" w:ascii="仿宋" w:hAnsi="仿宋" w:eastAsia="仿宋" w:cs="仿宋"/>
          <w:i w:val="0"/>
          <w:caps w:val="0"/>
          <w:color w:val="333333"/>
          <w:spacing w:val="0"/>
          <w:sz w:val="32"/>
          <w:szCs w:val="32"/>
          <w:shd w:val="clear" w:fill="FFFFFF"/>
        </w:rPr>
        <w:t>期间进京维稳工作、信访工作人员进京值班差旅费用等信访事务支出，项目支出年初没做预算，完成的%无法计算，决算数大于年初预算数的原因主要是项目支出年初没做预算。</w:t>
      </w:r>
    </w:p>
    <w:p w14:paraId="7D5E0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2.社会保障和就业支出8.73万元，具体包括：</w:t>
      </w:r>
    </w:p>
    <w:p w14:paraId="7D7B2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机关事业单位基本养老保险缴费8.73万元，主要是交机关5人基本养老保险缴费支出，完成年初预算的83%，决算数小于年初预算数原因主要是人员调整。</w:t>
      </w:r>
    </w:p>
    <w:p w14:paraId="52BC0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3.卫生健康支出3.43万元，包括：</w:t>
      </w:r>
    </w:p>
    <w:p w14:paraId="1FA0B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行政单位医疗3.43万元，主要</w:t>
      </w:r>
      <w:r>
        <w:rPr>
          <w:rFonts w:hint="eastAsia" w:ascii="仿宋" w:hAnsi="仿宋" w:eastAsia="仿宋" w:cs="仿宋"/>
          <w:i w:val="0"/>
          <w:caps w:val="0"/>
          <w:color w:val="333333"/>
          <w:spacing w:val="0"/>
          <w:sz w:val="32"/>
          <w:szCs w:val="32"/>
          <w:shd w:val="clear" w:fill="FFFFFF"/>
          <w:lang w:eastAsia="zh-CN"/>
        </w:rPr>
        <w:t>是</w:t>
      </w:r>
      <w:r>
        <w:rPr>
          <w:rFonts w:hint="eastAsia" w:ascii="仿宋" w:hAnsi="仿宋" w:eastAsia="仿宋" w:cs="仿宋"/>
          <w:i w:val="0"/>
          <w:caps w:val="0"/>
          <w:color w:val="333333"/>
          <w:spacing w:val="0"/>
          <w:sz w:val="32"/>
          <w:szCs w:val="32"/>
          <w:shd w:val="clear" w:fill="FFFFFF"/>
        </w:rPr>
        <w:t>机关5人医疗保险费支出，完成年初预算的98%，决算数小于年初预算数的原因主要是人员调整。</w:t>
      </w:r>
    </w:p>
    <w:p w14:paraId="0CF9CF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4.住房保障支出4.74万元，具体包括：</w:t>
      </w:r>
    </w:p>
    <w:p w14:paraId="4B9DE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住房公</w:t>
      </w:r>
      <w:r>
        <w:rPr>
          <w:rFonts w:hint="eastAsia" w:ascii="仿宋" w:hAnsi="仿宋" w:eastAsia="仿宋" w:cs="仿宋"/>
          <w:i w:val="0"/>
          <w:caps w:val="0"/>
          <w:color w:val="333333"/>
          <w:spacing w:val="0"/>
          <w:sz w:val="32"/>
          <w:szCs w:val="32"/>
          <w:shd w:val="clear" w:fill="FFFFFF"/>
          <w:lang w:eastAsia="zh-CN"/>
        </w:rPr>
        <w:t>积金</w:t>
      </w:r>
      <w:r>
        <w:rPr>
          <w:rFonts w:hint="eastAsia" w:ascii="仿宋" w:hAnsi="仿宋" w:eastAsia="仿宋" w:cs="仿宋"/>
          <w:i w:val="0"/>
          <w:caps w:val="0"/>
          <w:color w:val="333333"/>
          <w:spacing w:val="0"/>
          <w:sz w:val="32"/>
          <w:szCs w:val="32"/>
          <w:shd w:val="clear" w:fill="FFFFFF"/>
        </w:rPr>
        <w:t>4.74万元，主要是住房公积金支出，完成年初预算的79%，决算数小于年初预算数的原因主要是人员调整。</w:t>
      </w:r>
    </w:p>
    <w:p w14:paraId="5176B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三、一般公共预算财政拨款“三公”经费支出决算情况</w:t>
      </w:r>
    </w:p>
    <w:p w14:paraId="24721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2019年度一般公共预算财政拨款安排的“三公”经费支出0万元。其中：因公出国（境）费0万元，公务接待费0万元，公务用车购置及运行维护费0万元。</w:t>
      </w:r>
    </w:p>
    <w:p w14:paraId="573C3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1.因公出国（境）费0万元。2019年参加出国（境）团组0个，累计0人次。2019年因公出国（境）0万元，与上年相比无变化。</w:t>
      </w:r>
    </w:p>
    <w:p w14:paraId="2A6FE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2.公务接待费0万元，2019年国内公务接待累计0批次，0人，0万元。2019年公务接待费0万元，与上年相比无变化。</w:t>
      </w:r>
    </w:p>
    <w:p w14:paraId="22BF4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3.</w:t>
      </w:r>
      <w:r>
        <w:rPr>
          <w:rFonts w:hint="eastAsia" w:ascii="仿宋" w:hAnsi="仿宋" w:eastAsia="仿宋" w:cs="仿宋"/>
          <w:i w:val="0"/>
          <w:caps w:val="0"/>
          <w:color w:val="333333"/>
          <w:spacing w:val="0"/>
          <w:sz w:val="21"/>
          <w:szCs w:val="21"/>
          <w:shd w:val="clear" w:fill="FFFFFF"/>
        </w:rPr>
        <w:t> </w:t>
      </w:r>
      <w:r>
        <w:rPr>
          <w:rFonts w:hint="eastAsia" w:ascii="仿宋" w:hAnsi="仿宋" w:eastAsia="仿宋" w:cs="仿宋"/>
          <w:i w:val="0"/>
          <w:caps w:val="0"/>
          <w:color w:val="333333"/>
          <w:spacing w:val="0"/>
          <w:sz w:val="32"/>
          <w:szCs w:val="32"/>
          <w:shd w:val="clear" w:fill="FFFFFF"/>
        </w:rPr>
        <w:t>公务用车购置及运行费0万元。</w:t>
      </w:r>
    </w:p>
    <w:p w14:paraId="764D7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公务用车购置费0万元。</w:t>
      </w:r>
    </w:p>
    <w:p w14:paraId="5096C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公务用车运行维护费0万元。截至年末使用一般公共预算财政拨款开支的公务用车保有量1辆。</w:t>
      </w:r>
    </w:p>
    <w:p w14:paraId="4412C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四、一般公共预算财政拨款基本支出决算情况说明</w:t>
      </w:r>
    </w:p>
    <w:p w14:paraId="43556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2019年度一般公共预算财政拨款基本支出80.40万元，其中：人员经费70.89万元，主要包括基本工资、津贴补贴、奖金、其他社会保障缴费、机关事业单位基本养老保险缴费、其他工资福利支出、离休费、退休费、抚恤金、生活补助、奖励金、住房公积金、采暖补贴、其他对个人和家庭补助的支出；日常公用经费9.52万元，主要包括办公费、印刷费、水费、差旅费、租赁费、其他交通费用、其他商品和服务支出等。</w:t>
      </w:r>
    </w:p>
    <w:p w14:paraId="4361E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五、其他重要事项的情况说明</w:t>
      </w:r>
    </w:p>
    <w:p w14:paraId="12C7C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（一）机关运行经费支出情况。</w:t>
      </w:r>
    </w:p>
    <w:p w14:paraId="14A6A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2019年盘锦市大洼区委区政府信访局机关运行经费支出9.52万元，比上年增加4.72万元，增长98.33%，主要原因是2018年大洼区信访局第一年从原单位</w:t>
      </w:r>
      <w:r>
        <w:rPr>
          <w:rFonts w:hint="eastAsia" w:ascii="仿宋" w:hAnsi="仿宋" w:eastAsia="仿宋" w:cs="仿宋"/>
          <w:i w:val="0"/>
          <w:caps w:val="0"/>
          <w:color w:val="333333"/>
          <w:spacing w:val="0"/>
          <w:sz w:val="32"/>
          <w:szCs w:val="32"/>
          <w:shd w:val="clear" w:fill="FFFFFF"/>
          <w:lang w:eastAsia="zh-CN"/>
        </w:rPr>
        <w:t>大洼区</w:t>
      </w:r>
      <w:r>
        <w:rPr>
          <w:rFonts w:hint="eastAsia" w:ascii="仿宋" w:hAnsi="仿宋" w:eastAsia="仿宋" w:cs="仿宋"/>
          <w:i w:val="0"/>
          <w:caps w:val="0"/>
          <w:color w:val="333333"/>
          <w:spacing w:val="0"/>
          <w:sz w:val="32"/>
          <w:szCs w:val="32"/>
          <w:shd w:val="clear" w:fill="FFFFFF"/>
        </w:rPr>
        <w:t>政府分离出来，机关运行经费没有正常支出。</w:t>
      </w:r>
    </w:p>
    <w:p w14:paraId="73A92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（二）政府采购支出情况。</w:t>
      </w:r>
    </w:p>
    <w:p w14:paraId="7A624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2019年盘锦市大洼区委区政府信访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3B3C5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（三）国有资产占用情况。</w:t>
      </w:r>
    </w:p>
    <w:p w14:paraId="3E49D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333333"/>
          <w:spacing w:val="0"/>
          <w:sz w:val="32"/>
          <w:szCs w:val="32"/>
          <w:shd w:val="clear" w:fill="FFFFFF"/>
        </w:rPr>
        <w:t>截至2019年12月31日，盘锦市大洼区委区政府信访局共有车辆1辆，其中：副省级以上领导干部用车0辆，主要领导干部用车0辆，</w:t>
      </w:r>
      <w:r>
        <w:rPr>
          <w:rFonts w:hint="eastAsia" w:ascii="仿宋" w:hAnsi="仿宋" w:eastAsia="仿宋" w:cs="仿宋"/>
          <w:i w:val="0"/>
          <w:caps w:val="0"/>
          <w:color w:val="333333"/>
          <w:spacing w:val="0"/>
          <w:sz w:val="32"/>
          <w:szCs w:val="32"/>
          <w:shd w:val="clear" w:fill="FFFFFF"/>
          <w:lang w:eastAsia="zh-CN"/>
        </w:rPr>
        <w:t>机要通信</w:t>
      </w:r>
      <w:r>
        <w:rPr>
          <w:rFonts w:hint="eastAsia" w:ascii="仿宋" w:hAnsi="仿宋" w:eastAsia="仿宋" w:cs="仿宋"/>
          <w:i w:val="0"/>
          <w:caps w:val="0"/>
          <w:color w:val="333333"/>
          <w:spacing w:val="0"/>
          <w:sz w:val="32"/>
          <w:szCs w:val="32"/>
          <w:shd w:val="clear" w:fill="FFFFFF"/>
        </w:rPr>
        <w:t>用车0辆，应急保障用车0辆，执法执勤用车0辆，特种专业技术用车0辆，离退休干部用车0辆，其他用车1辆，其他用车主要是办公用车；单位价值50万元以上通用设备0台（套），单价100万元以上专用设备0台（套）。</w:t>
      </w:r>
    </w:p>
    <w:p w14:paraId="1D59B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（四）预算绩效管理工作开展情况。</w:t>
      </w:r>
    </w:p>
    <w:p w14:paraId="08A0F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72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shd w:val="clear" w:fill="FFFFFF"/>
        </w:rPr>
        <w:t>根据财政预算管理要求，</w:t>
      </w:r>
      <w:r>
        <w:rPr>
          <w:rFonts w:hint="eastAsia" w:ascii="仿宋" w:hAnsi="仿宋" w:eastAsia="仿宋" w:cs="仿宋"/>
          <w:i w:val="0"/>
          <w:caps w:val="0"/>
          <w:color w:val="333333"/>
          <w:spacing w:val="0"/>
          <w:sz w:val="32"/>
          <w:szCs w:val="32"/>
          <w:shd w:val="clear" w:fill="FFFFFF"/>
        </w:rPr>
        <w:t>盘锦市大洼区委区政府信访局</w:t>
      </w:r>
      <w:r>
        <w:rPr>
          <w:rFonts w:hint="eastAsia" w:ascii="仿宋" w:hAnsi="仿宋" w:eastAsia="仿宋" w:cs="仿宋"/>
          <w:i w:val="0"/>
          <w:caps w:val="0"/>
          <w:color w:val="000000"/>
          <w:spacing w:val="0"/>
          <w:sz w:val="32"/>
          <w:szCs w:val="32"/>
          <w:shd w:val="clear" w:fill="FFFFFF"/>
        </w:rPr>
        <w:t>未组织对2019年度预算项目支出全面开展绩效自评。</w:t>
      </w:r>
    </w:p>
    <w:p w14:paraId="416FF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i w:val="0"/>
          <w:caps w:val="0"/>
          <w:color w:val="333333"/>
          <w:spacing w:val="0"/>
          <w:sz w:val="36"/>
          <w:szCs w:val="36"/>
          <w:shd w:val="clear" w:fill="FFFFFF"/>
        </w:rPr>
        <w:br w:type="textWrapping"/>
      </w:r>
      <w:r>
        <w:rPr>
          <w:rFonts w:hint="eastAsia" w:ascii="仿宋" w:hAnsi="仿宋" w:eastAsia="仿宋" w:cs="仿宋"/>
          <w:b/>
          <w:i w:val="0"/>
          <w:caps w:val="0"/>
          <w:color w:val="333333"/>
          <w:spacing w:val="0"/>
          <w:sz w:val="36"/>
          <w:szCs w:val="36"/>
          <w:shd w:val="clear" w:fill="FFFFFF"/>
        </w:rPr>
        <w:t>第四部分 名词解释</w:t>
      </w:r>
    </w:p>
    <w:p w14:paraId="3D27B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shd w:val="clear" w:fill="FFFFFF"/>
        </w:rPr>
        <w:t> </w:t>
      </w:r>
    </w:p>
    <w:p w14:paraId="7AE5A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1.财政拨款收入：</w:t>
      </w:r>
      <w:r>
        <w:rPr>
          <w:rFonts w:hint="eastAsia" w:ascii="仿宋" w:hAnsi="仿宋" w:eastAsia="仿宋" w:cs="仿宋"/>
          <w:i w:val="0"/>
          <w:caps w:val="0"/>
          <w:color w:val="333333"/>
          <w:spacing w:val="0"/>
          <w:sz w:val="32"/>
          <w:szCs w:val="32"/>
          <w:shd w:val="clear" w:fill="FFFFFF"/>
        </w:rPr>
        <w:t>指单位从同级财政部门取得的财政预算资金。</w:t>
      </w:r>
    </w:p>
    <w:p w14:paraId="5E9F2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2.上级补助收入：</w:t>
      </w:r>
      <w:r>
        <w:rPr>
          <w:rFonts w:hint="eastAsia" w:ascii="仿宋" w:hAnsi="仿宋" w:eastAsia="仿宋" w:cs="仿宋"/>
          <w:i w:val="0"/>
          <w:caps w:val="0"/>
          <w:color w:val="333333"/>
          <w:spacing w:val="0"/>
          <w:sz w:val="32"/>
          <w:szCs w:val="32"/>
          <w:shd w:val="clear" w:fill="FFFFFF"/>
        </w:rPr>
        <w:t>指单位从主管部门和上级单位取得的非财政性补助收入。</w:t>
      </w:r>
    </w:p>
    <w:p w14:paraId="66362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3.事业收入：</w:t>
      </w:r>
      <w:r>
        <w:rPr>
          <w:rFonts w:hint="eastAsia" w:ascii="仿宋" w:hAnsi="仿宋" w:eastAsia="仿宋" w:cs="仿宋"/>
          <w:i w:val="0"/>
          <w:caps w:val="0"/>
          <w:color w:val="333333"/>
          <w:spacing w:val="0"/>
          <w:sz w:val="32"/>
          <w:szCs w:val="32"/>
          <w:shd w:val="clear" w:fill="FFFFFF"/>
        </w:rPr>
        <w:t>指事业单位开展专业业务活动及辅助活动所取得的收入。</w:t>
      </w:r>
    </w:p>
    <w:p w14:paraId="6A200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4.经营收入：</w:t>
      </w:r>
      <w:r>
        <w:rPr>
          <w:rFonts w:hint="eastAsia" w:ascii="仿宋" w:hAnsi="仿宋" w:eastAsia="仿宋" w:cs="仿宋"/>
          <w:i w:val="0"/>
          <w:caps w:val="0"/>
          <w:color w:val="333333"/>
          <w:spacing w:val="0"/>
          <w:sz w:val="32"/>
          <w:szCs w:val="32"/>
          <w:shd w:val="clear" w:fill="FFFFFF"/>
        </w:rPr>
        <w:t>指事业单位在专业业务活动及辅助活动之外开展非独立核算经营活动取得的收入。</w:t>
      </w:r>
    </w:p>
    <w:p w14:paraId="21083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5.附属单位上缴收入：</w:t>
      </w:r>
      <w:r>
        <w:rPr>
          <w:rFonts w:hint="eastAsia" w:ascii="仿宋" w:hAnsi="仿宋" w:eastAsia="仿宋" w:cs="仿宋"/>
          <w:i w:val="0"/>
          <w:caps w:val="0"/>
          <w:color w:val="333333"/>
          <w:spacing w:val="0"/>
          <w:sz w:val="32"/>
          <w:szCs w:val="32"/>
          <w:shd w:val="clear" w:fill="FFFFFF"/>
        </w:rPr>
        <w:t>指单位附属的独立核算单位按照规定上缴的收入。</w:t>
      </w:r>
    </w:p>
    <w:p w14:paraId="77FBD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6.其他收入：</w:t>
      </w:r>
      <w:r>
        <w:rPr>
          <w:rFonts w:hint="eastAsia" w:ascii="仿宋" w:hAnsi="仿宋" w:eastAsia="仿宋" w:cs="仿宋"/>
          <w:i w:val="0"/>
          <w:caps w:val="0"/>
          <w:color w:val="333333"/>
          <w:spacing w:val="0"/>
          <w:sz w:val="32"/>
          <w:szCs w:val="32"/>
          <w:shd w:val="clear" w:fill="FFFFFF"/>
        </w:rPr>
        <w:t>指除上述“财政拨款收入”、</w:t>
      </w:r>
      <w:r>
        <w:rPr>
          <w:rFonts w:hint="eastAsia" w:ascii="仿宋" w:hAnsi="仿宋" w:eastAsia="仿宋" w:cs="仿宋"/>
          <w:b/>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rPr>
        <w:t>“上级补助收入</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事业收入</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经营收入</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附属单位上缴收入”等以外的收入。</w:t>
      </w:r>
    </w:p>
    <w:p w14:paraId="45F15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7.用事业基金弥补收支差额：</w:t>
      </w:r>
      <w:r>
        <w:rPr>
          <w:rFonts w:hint="eastAsia" w:ascii="仿宋" w:hAnsi="仿宋" w:eastAsia="仿宋" w:cs="仿宋"/>
          <w:i w:val="0"/>
          <w:caps w:val="0"/>
          <w:color w:val="333333"/>
          <w:spacing w:val="0"/>
          <w:sz w:val="32"/>
          <w:szCs w:val="32"/>
          <w:shd w:val="clear" w:fill="FFFFFF"/>
        </w:rPr>
        <w:t>指事业单位在当年的“财政拨款收入</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财政拨款结转和结余资金</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上级补助收入</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事业收入</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经营收入</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附属单位上缴收入</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其他收入”不足以安排当年支出情况下，使用以前年度积累的事业基金（事业单位当年收支相抵后按国家规定提取、用于弥补以后年度收支差额的基金）弥补本年度收支缺口的资金。</w:t>
      </w:r>
    </w:p>
    <w:p w14:paraId="2A698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8.上年结转和结余：</w:t>
      </w:r>
      <w:r>
        <w:rPr>
          <w:rFonts w:hint="eastAsia" w:ascii="仿宋" w:hAnsi="仿宋" w:eastAsia="仿宋" w:cs="仿宋"/>
          <w:i w:val="0"/>
          <w:caps w:val="0"/>
          <w:color w:val="333333"/>
          <w:spacing w:val="0"/>
          <w:sz w:val="32"/>
          <w:szCs w:val="32"/>
          <w:shd w:val="clear" w:fill="FFFFFF"/>
        </w:rPr>
        <w:t>指以前年度尚未完成、结转到本年按有关规定继续使用的资金。</w:t>
      </w:r>
    </w:p>
    <w:p w14:paraId="63E25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9.基本支出：</w:t>
      </w:r>
      <w:r>
        <w:rPr>
          <w:rFonts w:hint="eastAsia" w:ascii="仿宋" w:hAnsi="仿宋" w:eastAsia="仿宋" w:cs="仿宋"/>
          <w:i w:val="0"/>
          <w:caps w:val="0"/>
          <w:color w:val="333333"/>
          <w:spacing w:val="0"/>
          <w:sz w:val="32"/>
          <w:szCs w:val="32"/>
          <w:shd w:val="clear" w:fill="FFFFFF"/>
        </w:rPr>
        <w:t>指保障机构正常运转、完成日常工作任务而发生的人员支出和公用支出。</w:t>
      </w:r>
    </w:p>
    <w:p w14:paraId="008FD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10.项目支出：</w:t>
      </w:r>
      <w:r>
        <w:rPr>
          <w:rFonts w:hint="eastAsia" w:ascii="仿宋" w:hAnsi="仿宋" w:eastAsia="仿宋" w:cs="仿宋"/>
          <w:i w:val="0"/>
          <w:caps w:val="0"/>
          <w:color w:val="333333"/>
          <w:spacing w:val="0"/>
          <w:sz w:val="32"/>
          <w:szCs w:val="32"/>
          <w:shd w:val="clear" w:fill="FFFFFF"/>
        </w:rPr>
        <w:t>指在基本支出之外为完成特定行政任务和事业发展目标所发生的支出。</w:t>
      </w:r>
    </w:p>
    <w:p w14:paraId="3BF19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11.上缴上级支出：</w:t>
      </w:r>
      <w:r>
        <w:rPr>
          <w:rFonts w:hint="eastAsia" w:ascii="仿宋" w:hAnsi="仿宋" w:eastAsia="仿宋" w:cs="仿宋"/>
          <w:i w:val="0"/>
          <w:caps w:val="0"/>
          <w:color w:val="333333"/>
          <w:spacing w:val="0"/>
          <w:sz w:val="32"/>
          <w:szCs w:val="32"/>
          <w:shd w:val="clear" w:fill="FFFFFF"/>
        </w:rPr>
        <w:t>指事业单位按照财政部门和主管部门的规定上缴上级单位的支出。</w:t>
      </w:r>
    </w:p>
    <w:p w14:paraId="447D3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12.经营支出：</w:t>
      </w:r>
      <w:r>
        <w:rPr>
          <w:rFonts w:hint="eastAsia" w:ascii="仿宋" w:hAnsi="仿宋" w:eastAsia="仿宋" w:cs="仿宋"/>
          <w:i w:val="0"/>
          <w:caps w:val="0"/>
          <w:color w:val="333333"/>
          <w:spacing w:val="0"/>
          <w:sz w:val="32"/>
          <w:szCs w:val="32"/>
          <w:shd w:val="clear" w:fill="FFFFFF"/>
        </w:rPr>
        <w:t>指事业单位在专业活动及辅助活动之外开展非独立核算经营活动发生的支出。</w:t>
      </w:r>
    </w:p>
    <w:p w14:paraId="22DB3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13.对附属单位补助支出：</w:t>
      </w:r>
      <w:r>
        <w:rPr>
          <w:rFonts w:hint="eastAsia" w:ascii="仿宋" w:hAnsi="仿宋" w:eastAsia="仿宋" w:cs="仿宋"/>
          <w:i w:val="0"/>
          <w:caps w:val="0"/>
          <w:color w:val="333333"/>
          <w:spacing w:val="0"/>
          <w:sz w:val="32"/>
          <w:szCs w:val="32"/>
          <w:shd w:val="clear" w:fill="FFFFFF"/>
        </w:rPr>
        <w:t>指事业单位用财政补助收入之外的收入对附属单位补助发生的支出。</w:t>
      </w:r>
    </w:p>
    <w:p w14:paraId="386EE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14.“三公”经费：</w:t>
      </w:r>
      <w:r>
        <w:rPr>
          <w:rFonts w:hint="eastAsia" w:ascii="仿宋" w:hAnsi="仿宋" w:eastAsia="仿宋" w:cs="仿宋"/>
          <w:i w:val="0"/>
          <w:caps w:val="0"/>
          <w:color w:val="333333"/>
          <w:spacing w:val="0"/>
          <w:sz w:val="32"/>
          <w:szCs w:val="32"/>
          <w:shd w:val="clear" w:fill="FFFFFF"/>
        </w:rPr>
        <w:t>指用财政拨款安排的因公出国（境）费、公务用车购置及运行费和公务接</w:t>
      </w:r>
      <w:bookmarkStart w:id="0" w:name="_GoBack"/>
      <w:bookmarkEnd w:id="0"/>
      <w:r>
        <w:rPr>
          <w:rFonts w:hint="eastAsia" w:ascii="仿宋" w:hAnsi="仿宋" w:eastAsia="仿宋" w:cs="仿宋"/>
          <w:i w:val="0"/>
          <w:caps w:val="0"/>
          <w:color w:val="333333"/>
          <w:spacing w:val="0"/>
          <w:sz w:val="32"/>
          <w:szCs w:val="32"/>
          <w:shd w:val="clear" w:fill="FFFFFF"/>
        </w:rPr>
        <w:t>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9029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15.一般公共服务（类）财政事务（款）行政运行（项）：</w:t>
      </w:r>
      <w:r>
        <w:rPr>
          <w:rFonts w:hint="eastAsia" w:ascii="仿宋" w:hAnsi="仿宋" w:eastAsia="仿宋" w:cs="仿宋"/>
          <w:i w:val="0"/>
          <w:caps w:val="0"/>
          <w:color w:val="333333"/>
          <w:spacing w:val="0"/>
          <w:sz w:val="32"/>
          <w:szCs w:val="32"/>
          <w:shd w:val="clear" w:fill="FFFFFF"/>
        </w:rPr>
        <w:t>反映行政单位（包括实行公务员管理的事业单位）的基本支出。</w:t>
      </w:r>
    </w:p>
    <w:p w14:paraId="0CE9C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16.一般公共服务（类）财政事务（款）一般行政管理事务（项）：</w:t>
      </w:r>
      <w:r>
        <w:rPr>
          <w:rFonts w:hint="eastAsia" w:ascii="仿宋" w:hAnsi="仿宋" w:eastAsia="仿宋" w:cs="仿宋"/>
          <w:i w:val="0"/>
          <w:caps w:val="0"/>
          <w:color w:val="333333"/>
          <w:spacing w:val="0"/>
          <w:sz w:val="32"/>
          <w:szCs w:val="32"/>
          <w:shd w:val="clear" w:fill="FFFFFF"/>
        </w:rPr>
        <w:t>反映行政单位（包括实行公务员管理的事业单位）未单独设置项级科目的其他项目支出。</w:t>
      </w:r>
    </w:p>
    <w:p w14:paraId="55EDF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17.一般公共服务（类）财政事务（款）预算改革业务（项）：</w:t>
      </w:r>
      <w:r>
        <w:rPr>
          <w:rFonts w:hint="eastAsia" w:ascii="仿宋" w:hAnsi="仿宋" w:eastAsia="仿宋" w:cs="仿宋"/>
          <w:i w:val="0"/>
          <w:caps w:val="0"/>
          <w:color w:val="333333"/>
          <w:spacing w:val="0"/>
          <w:sz w:val="32"/>
          <w:szCs w:val="32"/>
          <w:shd w:val="clear" w:fill="FFFFFF"/>
        </w:rPr>
        <w:t>反映财政部门用于预算改革方面的支出。</w:t>
      </w:r>
    </w:p>
    <w:p w14:paraId="50406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18.一般公共服务（类）财政事务（款）财政国库业务（项）：</w:t>
      </w:r>
      <w:r>
        <w:rPr>
          <w:rFonts w:hint="eastAsia" w:ascii="仿宋" w:hAnsi="仿宋" w:eastAsia="仿宋" w:cs="仿宋"/>
          <w:i w:val="0"/>
          <w:caps w:val="0"/>
          <w:color w:val="333333"/>
          <w:spacing w:val="0"/>
          <w:sz w:val="32"/>
          <w:szCs w:val="32"/>
          <w:shd w:val="clear" w:fill="FFFFFF"/>
        </w:rPr>
        <w:t>反映财政部门用于财政国库集中收付业务方面的支出。</w:t>
      </w:r>
    </w:p>
    <w:p w14:paraId="0B93A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19.一般公共服务（类）财政事务（款）信息化建设支出（项）：</w:t>
      </w:r>
      <w:r>
        <w:rPr>
          <w:rFonts w:hint="eastAsia" w:ascii="仿宋" w:hAnsi="仿宋" w:eastAsia="仿宋" w:cs="仿宋"/>
          <w:i w:val="0"/>
          <w:caps w:val="0"/>
          <w:color w:val="333333"/>
          <w:spacing w:val="0"/>
          <w:sz w:val="32"/>
          <w:szCs w:val="32"/>
          <w:shd w:val="clear" w:fill="FFFFFF"/>
        </w:rPr>
        <w:t>反映财政部门用于“金财工程”等信息化建设方面的支出。</w:t>
      </w:r>
    </w:p>
    <w:p w14:paraId="05852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20.一般公共服务（类）财政事务（款）事业运行（项）：</w:t>
      </w:r>
      <w:r>
        <w:rPr>
          <w:rFonts w:hint="eastAsia" w:ascii="仿宋" w:hAnsi="仿宋" w:eastAsia="仿宋" w:cs="仿宋"/>
          <w:i w:val="0"/>
          <w:caps w:val="0"/>
          <w:color w:val="333333"/>
          <w:spacing w:val="0"/>
          <w:sz w:val="32"/>
          <w:szCs w:val="32"/>
          <w:shd w:val="clear" w:fill="FFFFFF"/>
        </w:rPr>
        <w:t>反映事业单位的基本支出，不包括行政单位（包括实行公务员管理的事业单位）后勤服务中心、医务室等附属事业单位。</w:t>
      </w:r>
    </w:p>
    <w:p w14:paraId="29085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21.一般公共服务（类）财政事务（款）其他财政事务支出（项）：</w:t>
      </w:r>
      <w:r>
        <w:rPr>
          <w:rFonts w:hint="eastAsia" w:ascii="仿宋" w:hAnsi="仿宋" w:eastAsia="仿宋" w:cs="仿宋"/>
          <w:i w:val="0"/>
          <w:caps w:val="0"/>
          <w:color w:val="333333"/>
          <w:spacing w:val="0"/>
          <w:sz w:val="32"/>
          <w:szCs w:val="32"/>
          <w:shd w:val="clear" w:fill="FFFFFF"/>
        </w:rPr>
        <w:t>反映除上述项目以外其他财政事务方面的支出。</w:t>
      </w:r>
    </w:p>
    <w:p w14:paraId="019AC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22.社会保障和就业（类）行政事业单位离退休（款）归口管理的行政单位离退休（项）：</w:t>
      </w:r>
      <w:r>
        <w:rPr>
          <w:rFonts w:hint="eastAsia" w:ascii="仿宋" w:hAnsi="仿宋" w:eastAsia="仿宋" w:cs="仿宋"/>
          <w:i w:val="0"/>
          <w:caps w:val="0"/>
          <w:color w:val="333333"/>
          <w:spacing w:val="0"/>
          <w:sz w:val="32"/>
          <w:szCs w:val="32"/>
          <w:shd w:val="clear" w:fill="FFFFFF"/>
        </w:rPr>
        <w:t>反映实行归口管理的行政单位（包括实行公务员管理的事业单位）开支的离退休经费。</w:t>
      </w:r>
    </w:p>
    <w:p w14:paraId="1E5D2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23.社会保障和就业（类）行政事业单位离退休（款）事业单位离退休（项）：</w:t>
      </w:r>
      <w:r>
        <w:rPr>
          <w:rFonts w:hint="eastAsia" w:ascii="仿宋" w:hAnsi="仿宋" w:eastAsia="仿宋" w:cs="仿宋"/>
          <w:i w:val="0"/>
          <w:caps w:val="0"/>
          <w:color w:val="333333"/>
          <w:spacing w:val="0"/>
          <w:sz w:val="32"/>
          <w:szCs w:val="32"/>
          <w:shd w:val="clear" w:fill="FFFFFF"/>
        </w:rPr>
        <w:t>反映实行归口管理的事业单位开支的离退休经费。</w:t>
      </w:r>
    </w:p>
    <w:p w14:paraId="303AC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24.社会保障和就业（类）抚恤（款）死亡抚恤（项）：</w:t>
      </w:r>
      <w:r>
        <w:rPr>
          <w:rFonts w:hint="eastAsia" w:ascii="仿宋" w:hAnsi="仿宋" w:eastAsia="仿宋" w:cs="仿宋"/>
          <w:i w:val="0"/>
          <w:caps w:val="0"/>
          <w:color w:val="333333"/>
          <w:spacing w:val="0"/>
          <w:sz w:val="32"/>
          <w:szCs w:val="32"/>
          <w:shd w:val="clear" w:fill="FFFFFF"/>
        </w:rPr>
        <w:t>反映按规定用于烈士和牺牲、病故人员家属的一次性和定期抚恤金以及丧葬补助费。</w:t>
      </w:r>
    </w:p>
    <w:p w14:paraId="21E56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25.社会保障和就业（类）抚恤（款）伤残抚恤（项）：</w:t>
      </w:r>
      <w:r>
        <w:rPr>
          <w:rFonts w:hint="eastAsia" w:ascii="仿宋" w:hAnsi="仿宋" w:eastAsia="仿宋" w:cs="仿宋"/>
          <w:i w:val="0"/>
          <w:caps w:val="0"/>
          <w:color w:val="333333"/>
          <w:spacing w:val="0"/>
          <w:sz w:val="32"/>
          <w:szCs w:val="32"/>
          <w:shd w:val="clear" w:fill="FFFFFF"/>
        </w:rPr>
        <w:t>反映按规定用于伤残人员的抚恤金和按规定开支的各种伤残补助费。</w:t>
      </w:r>
    </w:p>
    <w:p w14:paraId="076C4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26.医疗卫生与计划生育（类）行政事业单位医疗（款）行政单位医疗（项）：</w:t>
      </w:r>
      <w:r>
        <w:rPr>
          <w:rFonts w:hint="eastAsia" w:ascii="仿宋" w:hAnsi="仿宋" w:eastAsia="仿宋" w:cs="仿宋"/>
          <w:i w:val="0"/>
          <w:caps w:val="0"/>
          <w:color w:val="333333"/>
          <w:spacing w:val="0"/>
          <w:sz w:val="32"/>
          <w:szCs w:val="32"/>
          <w:shd w:val="clear" w:fill="FFFFFF"/>
        </w:rPr>
        <w:t>反映财政部门集中安排的行政单位基本医疗保险缴费经费，未参加医疗保险的行政单位的公费医疗经费，按国家规定享受离休人员、红军老战士待遇人员的医疗经费。</w:t>
      </w:r>
    </w:p>
    <w:p w14:paraId="65D17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27. 医疗卫生与计划生育（类）行政事业单位医疗（款）事业单位医疗（项）：</w:t>
      </w:r>
      <w:r>
        <w:rPr>
          <w:rFonts w:hint="eastAsia" w:ascii="仿宋" w:hAnsi="仿宋" w:eastAsia="仿宋" w:cs="仿宋"/>
          <w:i w:val="0"/>
          <w:caps w:val="0"/>
          <w:color w:val="333333"/>
          <w:spacing w:val="0"/>
          <w:sz w:val="32"/>
          <w:szCs w:val="32"/>
          <w:shd w:val="clear" w:fill="FFFFFF"/>
        </w:rPr>
        <w:t>反映财政部门集中安排的事业单位基本医疗保险缴费经费，未参加医疗保险的事业单位的公费医疗经费，按国家规定享受离休人员待遇的医疗经费。</w:t>
      </w:r>
    </w:p>
    <w:p w14:paraId="79830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28.节能环保支出（类）污染防治（款）水体（项）：</w:t>
      </w:r>
      <w:r>
        <w:rPr>
          <w:rFonts w:hint="eastAsia" w:ascii="仿宋" w:hAnsi="仿宋" w:eastAsia="仿宋" w:cs="仿宋"/>
          <w:i w:val="0"/>
          <w:caps w:val="0"/>
          <w:color w:val="333333"/>
          <w:spacing w:val="0"/>
          <w:sz w:val="32"/>
          <w:szCs w:val="32"/>
          <w:shd w:val="clear" w:fill="FFFFFF"/>
        </w:rPr>
        <w:t>反映政府在排水、污水处理、水污染防治、湖库生态环境保护、水源地保护、国土江河综合整治、河流治理与保护、地下水修复与保护等方面的支出。</w:t>
      </w:r>
    </w:p>
    <w:p w14:paraId="40D4F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29.农林水事务（类）农业（款）其他农业支出（项）：</w:t>
      </w:r>
      <w:r>
        <w:rPr>
          <w:rFonts w:hint="eastAsia" w:ascii="仿宋" w:hAnsi="仿宋" w:eastAsia="仿宋" w:cs="仿宋"/>
          <w:i w:val="0"/>
          <w:caps w:val="0"/>
          <w:color w:val="333333"/>
          <w:spacing w:val="0"/>
          <w:sz w:val="32"/>
          <w:szCs w:val="32"/>
          <w:shd w:val="clear" w:fill="FFFFFF"/>
        </w:rPr>
        <w:t>反映其他用于农业方面的支出。</w:t>
      </w:r>
    </w:p>
    <w:p w14:paraId="1B7CF5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30.交通运输（类）成品油价格改革对交通运输的补贴（款）成品油价格改革补贴其他支出（项）：</w:t>
      </w:r>
      <w:r>
        <w:rPr>
          <w:rFonts w:hint="eastAsia" w:ascii="仿宋" w:hAnsi="仿宋" w:eastAsia="仿宋" w:cs="仿宋"/>
          <w:i w:val="0"/>
          <w:caps w:val="0"/>
          <w:color w:val="333333"/>
          <w:spacing w:val="0"/>
          <w:sz w:val="32"/>
          <w:szCs w:val="32"/>
          <w:shd w:val="clear" w:fill="FFFFFF"/>
        </w:rPr>
        <w:t>反映成品油价格改革财政补贴对其他方面的支出。</w:t>
      </w:r>
    </w:p>
    <w:p w14:paraId="2E78ED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31.资源勘探信息等支出（类）工业和信息产业监管（款）其他工业和信息产业监管支出（项）：</w:t>
      </w:r>
      <w:r>
        <w:rPr>
          <w:rFonts w:hint="eastAsia" w:ascii="仿宋" w:hAnsi="仿宋" w:eastAsia="仿宋" w:cs="仿宋"/>
          <w:i w:val="0"/>
          <w:caps w:val="0"/>
          <w:color w:val="333333"/>
          <w:spacing w:val="0"/>
          <w:sz w:val="32"/>
          <w:szCs w:val="32"/>
          <w:shd w:val="clear" w:fill="FFFFFF"/>
        </w:rPr>
        <w:t>反映其他用于工业和信息产业监管方面的支出。</w:t>
      </w:r>
    </w:p>
    <w:p w14:paraId="253F25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32.援助其他地区支出（类）其他支出（款）其他（项）：</w:t>
      </w:r>
      <w:r>
        <w:rPr>
          <w:rFonts w:hint="eastAsia" w:ascii="仿宋" w:hAnsi="仿宋" w:eastAsia="仿宋" w:cs="仿宋"/>
          <w:i w:val="0"/>
          <w:caps w:val="0"/>
          <w:color w:val="333333"/>
          <w:spacing w:val="0"/>
          <w:sz w:val="32"/>
          <w:szCs w:val="32"/>
          <w:shd w:val="clear" w:fill="FFFFFF"/>
        </w:rPr>
        <w:t>反映援助其他地区资金中的其他支出。</w:t>
      </w:r>
    </w:p>
    <w:p w14:paraId="1F17D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33. 国土海洋气象等支出（类）国土资源事务（款）其他国土资源事务支出（项）：</w:t>
      </w:r>
      <w:r>
        <w:rPr>
          <w:rFonts w:hint="eastAsia" w:ascii="仿宋" w:hAnsi="仿宋" w:eastAsia="仿宋" w:cs="仿宋"/>
          <w:i w:val="0"/>
          <w:caps w:val="0"/>
          <w:color w:val="333333"/>
          <w:spacing w:val="0"/>
          <w:sz w:val="32"/>
          <w:szCs w:val="32"/>
          <w:shd w:val="clear" w:fill="FFFFFF"/>
        </w:rPr>
        <w:t>反映其他用于国土资源事务方面的支出。</w:t>
      </w:r>
    </w:p>
    <w:p w14:paraId="22F85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34.住房保障（类）住房改革（款）住房公积金（项）：</w:t>
      </w:r>
      <w:r>
        <w:rPr>
          <w:rFonts w:hint="eastAsia" w:ascii="仿宋" w:hAnsi="仿宋" w:eastAsia="仿宋" w:cs="仿宋"/>
          <w:i w:val="0"/>
          <w:caps w:val="0"/>
          <w:color w:val="333333"/>
          <w:spacing w:val="0"/>
          <w:sz w:val="32"/>
          <w:szCs w:val="32"/>
          <w:shd w:val="clear" w:fill="FFFFFF"/>
        </w:rPr>
        <w:t>反映行政事业单位按人力资源和社会保障部、财政部规定的基本工资和津贴补贴以及规定比例为职工缴纳的住房公积金。</w:t>
      </w:r>
    </w:p>
    <w:p w14:paraId="14952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i w:val="0"/>
          <w:caps w:val="0"/>
          <w:color w:val="333333"/>
          <w:spacing w:val="0"/>
          <w:sz w:val="32"/>
          <w:szCs w:val="32"/>
          <w:shd w:val="clear" w:fill="FFFFFF"/>
        </w:rPr>
        <w:t>35.机关运行经费：</w:t>
      </w:r>
      <w:r>
        <w:rPr>
          <w:rFonts w:hint="eastAsia" w:ascii="仿宋" w:hAnsi="仿宋" w:eastAsia="仿宋" w:cs="仿宋"/>
          <w:i w:val="0"/>
          <w:caps w:val="0"/>
          <w:color w:val="333333"/>
          <w:spacing w:val="0"/>
          <w:sz w:val="32"/>
          <w:szCs w:val="32"/>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3FADE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04E81D"/>
    <w:multiLevelType w:val="singleLevel"/>
    <w:tmpl w:val="7204E8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008D4184"/>
    <w:rsid w:val="08E3539B"/>
    <w:rsid w:val="1F4045D8"/>
    <w:rsid w:val="3265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6021</Words>
  <Characters>6467</Characters>
  <Lines>0</Lines>
  <Paragraphs>0</Paragraphs>
  <TotalTime>4</TotalTime>
  <ScaleCrop>false</ScaleCrop>
  <LinksUpToDate>false</LinksUpToDate>
  <CharactersWithSpaces>6525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2021-05-28T08:00:00Z</dcterms:created>
  <dc:creator>qsz01</dc:creator>
  <cp:lastModifiedBy>MYTH</cp:lastModifiedBy>
  <dcterms:modified xsi:type="dcterms:W3CDTF">2024-12-19T03:20:11Z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0D758ADFE74C4E98974BBEA12A2C8597_12</vt:lpwstr>
  </property>
</Properties>
</file>