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8" w:firstLineChars="95"/>
        <w:jc w:val="center"/>
        <w:textAlignment w:val="auto"/>
        <w:rPr>
          <w:rFonts w:hint="eastAsia" w:ascii="方正小标宋简体" w:hAnsi="华文中宋" w:eastAsia="Times New Roman" w:cs="Times New Roman"/>
          <w:sz w:val="44"/>
          <w:szCs w:val="44"/>
        </w:rPr>
      </w:pPr>
      <w:r>
        <w:rPr>
          <w:rFonts w:hint="eastAsia" w:ascii="方正小标宋简体" w:hAnsi="华文中宋" w:eastAsia="Times New Roman" w:cs="Times New Roman"/>
          <w:sz w:val="44"/>
          <w:szCs w:val="44"/>
        </w:rPr>
        <w:t>证明事</w:t>
      </w:r>
      <w:bookmarkStart w:id="0" w:name="_GoBack"/>
      <w:bookmarkEnd w:id="0"/>
      <w:r>
        <w:rPr>
          <w:rFonts w:hint="eastAsia" w:ascii="方正小标宋简体" w:hAnsi="华文中宋" w:eastAsia="Times New Roman" w:cs="Times New Roman"/>
          <w:sz w:val="44"/>
          <w:szCs w:val="44"/>
        </w:rPr>
        <w:t>项告知承诺书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420"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年〕第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（自然人）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证件类型：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（法人）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证件类型：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法定代表人（负责人）：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委托代理人：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证件类型：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行政机关：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4" w:firstLineChars="95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联系人姓名：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left="403"/>
        <w:jc w:val="center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left="403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left="403"/>
        <w:jc w:val="center"/>
        <w:textAlignment w:val="auto"/>
        <w:rPr>
          <w:rFonts w:hint="eastAsia" w:ascii="仿宋" w:hAnsi="仿宋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257" w:line="560" w:lineRule="exact"/>
        <w:jc w:val="center"/>
        <w:textAlignment w:val="auto"/>
        <w:rPr>
          <w:rFonts w:hint="eastAsia" w:ascii="方正小标宋简体" w:hAnsi="黑体" w:eastAsia="方正小标宋简体" w:cs="Calibri"/>
          <w:kern w:val="0"/>
          <w:sz w:val="44"/>
          <w:szCs w:val="44"/>
          <w:lang w:eastAsia="zh-CN" w:bidi="en-US"/>
        </w:rPr>
      </w:pPr>
      <w:r>
        <w:rPr>
          <w:rFonts w:hint="eastAsia" w:ascii="方正小标宋简体" w:hAnsi="黑体" w:eastAsia="方正小标宋简体" w:cs="Calibri"/>
          <w:kern w:val="0"/>
          <w:sz w:val="44"/>
          <w:szCs w:val="44"/>
          <w:lang w:eastAsia="zh-CN" w:bidi="en-US"/>
        </w:rPr>
        <w:t>证明事项告知书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 xml:space="preserve">按照《中华人民共和国广告法》，（1994年10月27日主席令第三十四号，2015年4月24日予以修改）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农业主管部门就农药广告审查项告知如下：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黑体" w:hAnsi="黑体" w:eastAsia="黑体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  <w:lang w:eastAsia="zh-CN" w:bidi="en-US"/>
        </w:rPr>
        <w:t>一、办理农药广告，需要申请人提交证明材料的名称、方式和期限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1.根据设定依据和法定条件，申请人应当提交下列材料：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（1）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instrText xml:space="preserve"> HYPERLINK "javascript:;" </w:instrTex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农药生产者和申请人的营业执照副本及其他生产经营资格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（2）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instrText xml:space="preserve"> HYPERLINK "javascript:;" </w:instrTex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农药生产许可证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（3）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instrText xml:space="preserve"> HYPERLINK "javascript:;" </w:instrTex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农药登记证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（4）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instrText xml:space="preserve"> HYPERLINK "javascript:;" </w:instrTex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产品标准号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（5）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instrText xml:space="preserve"> HYPERLINK "javascript:;" </w:instrTex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农药产品标签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2.提交材料的要求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（1）下列材料必须于申请人向农业主管部门递交告知承诺书时一并提交。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第2项、第5项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（2）下列材料申请人应当于申请审查前提交。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3.办理方式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盘锦市市营商环境建设局（盘锦市石油大街270号）三楼农业农村局窗口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4.办理期限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法定办结时限：20个工作日；承诺办结时限：15个工作日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5.根据设定依据和法定条件，申请人应当提交下列材料：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②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instrText xml:space="preserve"> HYPERLINK "javascript:;" </w:instrTex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农药生产许可证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instrText xml:space="preserve"> = 5 \* GB3 </w:instrTex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⑤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end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instrText xml:space="preserve"> HYPERLINK "javascript:;" </w:instrTex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农药产品标签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3" w:firstLineChars="200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二、设定证明所依据的主要法律法规规章名称和相关条款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依据《中华人民共和国广告法》第四十六条  发布医疗、药品、医疗器械、农药、兽药和保健食品广告，以及法律、行政法规规定应当进行审查的其他广告，应当在发布前由有关部门(以下称广告审查机关)对广告内容进行审查；未经审查，不得发布。《国务院关于第六批取消和调整行政审批项目的决定》（国发〔2012〕52号）附件2第25项农药广告审批。下放至省级人民政府农业行政部门实施。 《辽宁省人民政府关于取消和下放一批行政审批项目的决定》（辽政发［2014］30号） 农药广告内容审查下放至市、县农业行政主管部门管理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三、申请人是否愿意就上述事项采取承诺制的方式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1.是                       2.否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 w:val="0"/>
          <w:color w:val="1A293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color w:val="000000"/>
          <w:sz w:val="32"/>
          <w:szCs w:val="32"/>
        </w:rPr>
        <w:t>四、申请人作出承诺的时限和法律效力，以及逾期不作出承诺、作出不实承诺和违反承诺的法律后果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560" w:lineRule="exact"/>
        <w:ind w:firstLine="640" w:firstLineChars="200"/>
        <w:jc w:val="left"/>
        <w:textAlignment w:val="auto"/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</w:pP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《中华人民共和国广告法》第三十七条 违反本法规定，利用广告对商品或者服务作虚假宣传的，由广告监督管理机关责令广告主停止发布、并以等额广告费用在相应范围内公开更正消除影响，并处广告费用一倍以上五倍以下的罚款；对负有责任的广告经营者、广告发布者没收广告费用，并处广告费用一倍以上五倍以下的罚款；情节严重的，依法停止其广告业务。构成犯罪的，依法追究刑事责任。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br w:type="textWrapping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 xml:space="preserve">    第三十八条 违反本法规定，发布虚假广告，欺骗和误导消费者，使购买商品或者接受服务的消费者的合法权益受到损害的，由广告主依法承担民事责任；广告经营者、广告发布者明知或者应知广告虚假仍设计、制作、发布的，应当依法承担连带责任。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br w:type="textWrapping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>广告经营者、广告发布者不能提供广告主的真实名称、地址的，应当承担全部民事责任。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br w:type="textWrapping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 xml:space="preserve">    社会团体或者其他组织，在虚假广告中向消费者推荐商品或者服务，使消费者的合法权益受到损害的，应当依法承担连带责任。</w:t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br w:type="textWrapping"/>
      </w:r>
      <w:r>
        <w:rPr>
          <w:rFonts w:hint="eastAsia" w:ascii="仿宋_GB2312" w:hAnsi="ˎ̥" w:eastAsia="仿宋_GB2312" w:cs="Calibri"/>
          <w:color w:val="000000"/>
          <w:kern w:val="0"/>
          <w:sz w:val="32"/>
          <w:szCs w:val="32"/>
          <w:lang w:eastAsia="zh-CN" w:bidi="en-US"/>
        </w:rPr>
        <w:t xml:space="preserve">    第三十九条 发布广告违反本法第七条第二款规定的，由广告监督管理机关责令负有责任的广告主、广告经营者、广告发布者停止发布、公开更正，没收广告费用，并处广告费用一倍以上五倍以下的罚款；情节严重的，依法停止其广告业务。构成犯罪的，依法追究刑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五、承诺的内容与期限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jc w:val="center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申请人承诺书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申请人就申请的事项，现作出如下承诺：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（一）已经知晓行政机关告知的全部内容；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（二）符合行政机关告知的条件、标准和技术要求等；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（三）能够在约定期限内提交行政机关告知的相关材料，完成整改或者具备场所条件；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（四）愿意在所从事的活动中遵守相关的法律法规和技术规范，并接受机关的监督和管理；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（五）若违反承诺或作出不实承诺的，愿意承担相应的法律责任。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（六）上述陈述是申请人真实意思的表示。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申请人（委托代理人）：</w:t>
      </w:r>
      <w:r>
        <w:rPr>
          <w:rFonts w:ascii="仿宋" w:hAnsi="仿宋" w:eastAsia="仿宋"/>
          <w:color w:val="000000"/>
          <w:sz w:val="32"/>
          <w:szCs w:val="32"/>
        </w:rPr>
        <w:t xml:space="preserve">  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行政机关：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（签字盖章）</w:t>
      </w:r>
      <w:r>
        <w:rPr>
          <w:rFonts w:ascii="仿宋" w:hAnsi="仿宋" w:eastAsia="仿宋"/>
          <w:color w:val="000000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1280" w:firstLineChars="4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  <w:r>
        <w:rPr>
          <w:rFonts w:ascii="仿宋" w:hAnsi="仿宋" w:eastAsia="仿宋"/>
          <w:color w:val="000000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960" w:firstLineChars="300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textAlignment w:val="auto"/>
        <w:rPr>
          <w:rFonts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（一式两份）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left"/>
        <w:textAlignment w:val="auto"/>
        <w:rPr>
          <w:rFonts w:ascii="仿宋" w:hAnsi="仿宋" w:eastAsia="仿宋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7A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D3D71"/>
    <w:rsid w:val="00016B49"/>
    <w:rsid w:val="000A47C3"/>
    <w:rsid w:val="000E1EAB"/>
    <w:rsid w:val="00274FE7"/>
    <w:rsid w:val="002A24C6"/>
    <w:rsid w:val="00357367"/>
    <w:rsid w:val="003959F1"/>
    <w:rsid w:val="004F560A"/>
    <w:rsid w:val="00652E11"/>
    <w:rsid w:val="006F75A6"/>
    <w:rsid w:val="00853F72"/>
    <w:rsid w:val="008F3D15"/>
    <w:rsid w:val="00940538"/>
    <w:rsid w:val="009F58EF"/>
    <w:rsid w:val="00AC18E0"/>
    <w:rsid w:val="00B420F9"/>
    <w:rsid w:val="00BE71DC"/>
    <w:rsid w:val="00C06453"/>
    <w:rsid w:val="00C471FC"/>
    <w:rsid w:val="00C9276A"/>
    <w:rsid w:val="00CB3360"/>
    <w:rsid w:val="00D31923"/>
    <w:rsid w:val="00D34645"/>
    <w:rsid w:val="00D432A8"/>
    <w:rsid w:val="00D941C1"/>
    <w:rsid w:val="00E26C44"/>
    <w:rsid w:val="00E27E00"/>
    <w:rsid w:val="00EC5FA0"/>
    <w:rsid w:val="00EF18F6"/>
    <w:rsid w:val="00F4519C"/>
    <w:rsid w:val="0D2C091E"/>
    <w:rsid w:val="12E12616"/>
    <w:rsid w:val="16870F5E"/>
    <w:rsid w:val="1A1C1E6D"/>
    <w:rsid w:val="1FFD3D71"/>
    <w:rsid w:val="205C6641"/>
    <w:rsid w:val="26CE5E31"/>
    <w:rsid w:val="2BC66C7F"/>
    <w:rsid w:val="2C9D67AF"/>
    <w:rsid w:val="2E541039"/>
    <w:rsid w:val="2E7C0DF3"/>
    <w:rsid w:val="38615682"/>
    <w:rsid w:val="393A78BA"/>
    <w:rsid w:val="3D250BBE"/>
    <w:rsid w:val="41546EB3"/>
    <w:rsid w:val="443D23EF"/>
    <w:rsid w:val="4F7056EF"/>
    <w:rsid w:val="57087A9B"/>
    <w:rsid w:val="6BB3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334</Words>
  <Characters>1906</Characters>
  <Lines>15</Lines>
  <Paragraphs>4</Paragraphs>
  <TotalTime>118</TotalTime>
  <ScaleCrop>false</ScaleCrop>
  <LinksUpToDate>false</LinksUpToDate>
  <CharactersWithSpaces>2236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2019-07-18T07:18:00Z</dcterms:created>
  <dc:creator>飞天小神猪</dc:creator>
  <cp:lastModifiedBy>元初</cp:lastModifiedBy>
  <dcterms:modified xsi:type="dcterms:W3CDTF">2020-02-25T08:46:33Z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