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8" w:firstLineChars="95"/>
        <w:jc w:val="center"/>
        <w:textAlignment w:val="auto"/>
        <w:rPr>
          <w:rFonts w:hint="eastAsia" w:ascii="方正小标宋简体" w:hAnsi="华文中宋" w:eastAsia="Times New Roman" w:cs="Times New Roman"/>
          <w:sz w:val="44"/>
          <w:szCs w:val="44"/>
        </w:rPr>
      </w:pPr>
      <w:r>
        <w:rPr>
          <w:rFonts w:hint="eastAsia" w:ascii="方正小标宋简体" w:hAnsi="华文中宋" w:eastAsia="Times New Roman" w:cs="Times New Roman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20"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年〕第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（自然人）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（法人）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法定代表人（负责人）：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委托代理人：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行政机关：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联系人姓名：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403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403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403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spacing w:before="240" w:beforeLines="100" w:after="257" w:line="50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证明事项告知书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按照《兽药管理条例》，农业农村部门就在地方媒体发布兽药广告审批的法律、法规规定的及其他确认广告内容真实性的证明文件事项告知如下：</w:t>
      </w:r>
    </w:p>
    <w:p>
      <w:pPr>
        <w:spacing w:line="3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一、办理有关事项的名称，需要申请人提交证明材料的名称、方式和期限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1.根据设定依据和法定条件，申请人应当提交下列材料：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（1）《兽药广告申请审查表》；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）工商营业执照复印件；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3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）兽药产品批准文号复印件；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4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）省级兽药监察所近期（三个月内）出具的产品检验报告单；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5）经农牧行政管理机关批准、发布的兽药质量标准、产品说明书。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2.提交材料的要求</w:t>
      </w:r>
    </w:p>
    <w:p>
      <w:pPr>
        <w:widowControl/>
        <w:spacing w:after="200" w:line="360" w:lineRule="exact"/>
        <w:ind w:firstLine="640" w:firstLineChars="200"/>
        <w:jc w:val="left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（1）下列材料必须于申请人向市行政审批部门递交告知承诺书时一并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第一项：《兽药广告申请审查表》、第二项：工商营业执照复印件、第三项：兽药产品批准文号复印件、第四项：省级兽药监察所近期（三个月内）出具的产品检验报告单、第五项：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经农牧行政管理机关批准、发布的兽药质量标准、产品说明书。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二、设定证明所依据的主要法律法规规章名称和相关条款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default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1.《中华人民共和国广告法》第四十六条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 xml:space="preserve"> 发布医疗、药品、医疗机械、农药、兽药和保健食品广告，以及法律、行政法规规定应当进行审查的其他广告，应当在发布前由有关部门对广告内容进行审查；未经审查，不得发布。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default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《兽药管理条例》第三十一条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 xml:space="preserve"> 在地方媒体发布兽药广告的，应当经省、自治区、直辖市人民政府兽医行政管理部门审查批准，取得兽药广告审查批准文号；未经批准的，不得发布。</w:t>
      </w:r>
    </w:p>
    <w:p>
      <w:pPr>
        <w:spacing w:line="3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三、申请人是否愿意就上述事项采取承诺制的方式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1.是                       2.否</w:t>
      </w:r>
    </w:p>
    <w:p>
      <w:pPr>
        <w:spacing w:line="3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四、申请人作出承诺的时限和法律效力，以及逾期不作出承诺、作出不实承诺和违反承诺的法律后果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时限和法律效力：提交申请时即做出承诺，符合条件的核发兽药广告审查批准文号，有效期为一年；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2.逾期不作出承诺、做出不实承诺或违反承诺，情节严重的不予核发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兽药广告审查批准文号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val="en-US" w:eastAsia="zh-CN" w:bidi="en-US"/>
        </w:rPr>
        <w:t>。</w:t>
      </w:r>
    </w:p>
    <w:p>
      <w:pPr>
        <w:spacing w:line="3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五、承诺的内容与期限</w:t>
      </w:r>
    </w:p>
    <w:p>
      <w:pPr>
        <w:spacing w:line="480" w:lineRule="exact"/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88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申请人承诺书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申请人就申请的事项，现作出如下承诺：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（一）已经知晓行政机关告知的全部内容；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（二）符合行政机关告知的条件、标准和技术要求等；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（五）若违反承诺或作出不实承诺的，愿意承担相应的法律责任。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（六）上述陈述是申请人真实意思的表示。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申请人（委托代理人）：</w:t>
      </w:r>
      <w:r>
        <w:rPr>
          <w:rFonts w:ascii="仿宋" w:hAnsi="仿宋" w:eastAsia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行政机关：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（签字盖章）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1280" w:firstLineChars="4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960" w:firstLineChars="3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（一式两份）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left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3D71"/>
    <w:rsid w:val="00016B49"/>
    <w:rsid w:val="000A47C3"/>
    <w:rsid w:val="000E1EAB"/>
    <w:rsid w:val="00274FE7"/>
    <w:rsid w:val="002A24C6"/>
    <w:rsid w:val="00357367"/>
    <w:rsid w:val="003959F1"/>
    <w:rsid w:val="004F560A"/>
    <w:rsid w:val="00652E11"/>
    <w:rsid w:val="006F75A6"/>
    <w:rsid w:val="00853F72"/>
    <w:rsid w:val="008F3D15"/>
    <w:rsid w:val="00940538"/>
    <w:rsid w:val="009F58EF"/>
    <w:rsid w:val="00AC18E0"/>
    <w:rsid w:val="00B420F9"/>
    <w:rsid w:val="00BE71DC"/>
    <w:rsid w:val="00C06453"/>
    <w:rsid w:val="00C471FC"/>
    <w:rsid w:val="00C9276A"/>
    <w:rsid w:val="00CB3360"/>
    <w:rsid w:val="00D31923"/>
    <w:rsid w:val="00D34645"/>
    <w:rsid w:val="00D432A8"/>
    <w:rsid w:val="00D941C1"/>
    <w:rsid w:val="00E26C44"/>
    <w:rsid w:val="00E27E00"/>
    <w:rsid w:val="00EC5FA0"/>
    <w:rsid w:val="00EF18F6"/>
    <w:rsid w:val="00F4519C"/>
    <w:rsid w:val="03E744D8"/>
    <w:rsid w:val="0D2C091E"/>
    <w:rsid w:val="12E12616"/>
    <w:rsid w:val="16870F5E"/>
    <w:rsid w:val="1A1C1E6D"/>
    <w:rsid w:val="1FFD3D71"/>
    <w:rsid w:val="205C6641"/>
    <w:rsid w:val="26CE5E31"/>
    <w:rsid w:val="2BC66C7F"/>
    <w:rsid w:val="2C9D67AF"/>
    <w:rsid w:val="2E541039"/>
    <w:rsid w:val="2E7C0DF3"/>
    <w:rsid w:val="38615682"/>
    <w:rsid w:val="393A78BA"/>
    <w:rsid w:val="3D250BBE"/>
    <w:rsid w:val="41546EB3"/>
    <w:rsid w:val="443D23EF"/>
    <w:rsid w:val="4F7056EF"/>
    <w:rsid w:val="57087A9B"/>
    <w:rsid w:val="6BB37B3D"/>
    <w:rsid w:val="7E7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334</Words>
  <Characters>1906</Characters>
  <Lines>15</Lines>
  <Paragraphs>4</Paragraphs>
  <TotalTime>4</TotalTime>
  <ScaleCrop>false</ScaleCrop>
  <LinksUpToDate>false</LinksUpToDate>
  <CharactersWithSpaces>2236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2019-07-18T07:18:00Z</dcterms:created>
  <dc:creator>飞天小神猪</dc:creator>
  <cp:lastModifiedBy>Administrator</cp:lastModifiedBy>
  <dcterms:modified xsi:type="dcterms:W3CDTF">2021-03-19T08:11:38Z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D660CB9266C34AD29025967F60F3C4B0</vt:lpwstr>
  </property>
</Properties>
</file>