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600" w:lineRule="atLeast"/>
        <w:ind w:left="0" w:right="0"/>
        <w:jc w:val="center"/>
      </w:pPr>
      <w:r>
        <w:rPr>
          <w:rFonts w:ascii="华文中宋" w:hAnsi="华文中宋" w:eastAsia="华文中宋" w:cs="华文中宋"/>
          <w:i w:val="0"/>
          <w:iCs w:val="0"/>
          <w:caps w:val="0"/>
          <w:color w:val="000000"/>
          <w:spacing w:val="0"/>
          <w:kern w:val="0"/>
          <w:sz w:val="44"/>
          <w:szCs w:val="44"/>
          <w:shd w:val="clear" w:fill="FFFFFF"/>
          <w:lang w:val="en-US" w:eastAsia="zh-CN" w:bidi="ar"/>
        </w:rPr>
        <w:t>盘锦市本级</w:t>
      </w:r>
      <w:r>
        <w:rPr>
          <w:rFonts w:hint="default" w:ascii="华文中宋" w:hAnsi="华文中宋" w:eastAsia="华文中宋" w:cs="华文中宋"/>
          <w:i w:val="0"/>
          <w:iCs w:val="0"/>
          <w:caps w:val="0"/>
          <w:color w:val="000000"/>
          <w:spacing w:val="0"/>
          <w:kern w:val="0"/>
          <w:sz w:val="44"/>
          <w:szCs w:val="44"/>
          <w:shd w:val="clear" w:fill="FFFFFF"/>
          <w:lang w:val="en-US" w:eastAsia="zh-CN" w:bidi="ar"/>
        </w:rPr>
        <w:t>202</w:t>
      </w:r>
      <w:r>
        <w:rPr>
          <w:rFonts w:hint="eastAsia" w:ascii="华文中宋" w:hAnsi="华文中宋" w:eastAsia="华文中宋" w:cs="华文中宋"/>
          <w:i w:val="0"/>
          <w:iCs w:val="0"/>
          <w:caps w:val="0"/>
          <w:color w:val="000000"/>
          <w:spacing w:val="0"/>
          <w:kern w:val="0"/>
          <w:sz w:val="44"/>
          <w:szCs w:val="44"/>
          <w:shd w:val="clear" w:fill="FFFFFF"/>
          <w:lang w:val="en-US" w:eastAsia="zh-CN" w:bidi="ar"/>
        </w:rPr>
        <w:t>1</w:t>
      </w:r>
      <w:r>
        <w:rPr>
          <w:rFonts w:hint="default" w:ascii="华文中宋" w:hAnsi="华文中宋" w:eastAsia="华文中宋" w:cs="华文中宋"/>
          <w:i w:val="0"/>
          <w:iCs w:val="0"/>
          <w:caps w:val="0"/>
          <w:color w:val="000000"/>
          <w:spacing w:val="0"/>
          <w:kern w:val="0"/>
          <w:sz w:val="44"/>
          <w:szCs w:val="44"/>
          <w:shd w:val="clear" w:fill="FFFFFF"/>
          <w:lang w:val="en-US" w:eastAsia="zh-CN" w:bidi="ar"/>
        </w:rPr>
        <w:t>年建设用地供应计划</w:t>
      </w:r>
    </w:p>
    <w:p>
      <w:pPr>
        <w:keepNext w:val="0"/>
        <w:keepLines w:val="0"/>
        <w:widowControl/>
        <w:suppressLineNumbers w:val="0"/>
        <w:spacing w:before="0" w:beforeAutospacing="0" w:after="0" w:afterAutospacing="0" w:line="600" w:lineRule="atLeast"/>
        <w:ind w:left="0" w:right="0" w:firstLine="640"/>
        <w:jc w:val="left"/>
      </w:pPr>
      <w:r>
        <w:rPr>
          <w:rFonts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600" w:lineRule="atLeast"/>
        <w:ind w:left="0" w:right="0" w:firstLine="640"/>
        <w:jc w:val="left"/>
      </w:pPr>
      <w:r>
        <w:rPr>
          <w:rFonts w:hint="eastAsia" w:ascii="仿宋" w:hAnsi="仿宋" w:eastAsia="仿宋" w:cs="仿宋"/>
          <w:i w:val="0"/>
          <w:iCs w:val="0"/>
          <w:caps w:val="0"/>
          <w:color w:val="000000"/>
          <w:spacing w:val="0"/>
          <w:kern w:val="0"/>
          <w:sz w:val="32"/>
          <w:szCs w:val="32"/>
          <w:shd w:val="clear" w:fill="FFFFFF"/>
          <w:lang w:val="en-US" w:eastAsia="zh-CN" w:bidi="ar"/>
        </w:rPr>
        <w:t>按照原国土资源部《国有建设用地供应计划编制规范（试行）》（国土资发[2010]117号），加强土地市场宏观调控能力，实现以土地利用方式的转变促进发展方式的转变，为保障全市社会经济发展提供土地要素保障，结合全市土地市场需求，制定本计划。</w:t>
      </w:r>
    </w:p>
    <w:p>
      <w:pPr>
        <w:keepNext w:val="0"/>
        <w:keepLines w:val="0"/>
        <w:widowControl/>
        <w:suppressLineNumbers w:val="0"/>
        <w:spacing w:before="0" w:beforeAutospacing="0" w:after="0" w:afterAutospacing="0" w:line="600" w:lineRule="atLeast"/>
        <w:ind w:left="0" w:right="0" w:firstLine="640"/>
        <w:jc w:val="left"/>
      </w:pPr>
      <w:r>
        <w:rPr>
          <w:rFonts w:ascii="黑体" w:hAnsi="宋体" w:eastAsia="黑体" w:cs="黑体"/>
          <w:i w:val="0"/>
          <w:iCs w:val="0"/>
          <w:caps w:val="0"/>
          <w:color w:val="000000"/>
          <w:spacing w:val="0"/>
          <w:kern w:val="0"/>
          <w:sz w:val="32"/>
          <w:szCs w:val="32"/>
          <w:shd w:val="clear" w:fill="FFFFFF"/>
          <w:lang w:val="en-US" w:eastAsia="zh-CN" w:bidi="ar"/>
        </w:rPr>
        <w:t>一、指导思想和原则</w:t>
      </w:r>
    </w:p>
    <w:p>
      <w:pPr>
        <w:keepNext w:val="0"/>
        <w:keepLines w:val="0"/>
        <w:widowControl/>
        <w:suppressLineNumbers w:val="0"/>
        <w:spacing w:before="0" w:beforeAutospacing="0" w:after="0" w:afterAutospacing="0" w:line="600" w:lineRule="atLeast"/>
        <w:ind w:left="0" w:right="0" w:firstLine="640"/>
        <w:jc w:val="left"/>
      </w:pPr>
      <w:r>
        <w:rPr>
          <w:rFonts w:hint="eastAsia" w:ascii="仿宋" w:hAnsi="仿宋" w:eastAsia="仿宋" w:cs="仿宋"/>
          <w:i w:val="0"/>
          <w:iCs w:val="0"/>
          <w:caps w:val="0"/>
          <w:color w:val="000000"/>
          <w:spacing w:val="0"/>
          <w:kern w:val="0"/>
          <w:sz w:val="32"/>
          <w:szCs w:val="32"/>
          <w:shd w:val="clear" w:fill="FFFFFF"/>
          <w:lang w:val="en-US" w:eastAsia="zh-CN" w:bidi="ar"/>
        </w:rPr>
        <w:t>全面贯彻习近平新时代中国特色社会主义思想，增强土地要素的基础保障作用，确保盘锦经济社会全面协调持续发展，维护土地资源节约集约利用基本国策，促进建设用地合理布局、优化配置，有力调控房地产用地市场。</w:t>
      </w:r>
    </w:p>
    <w:p>
      <w:pPr>
        <w:keepNext w:val="0"/>
        <w:keepLines w:val="0"/>
        <w:widowControl/>
        <w:suppressLineNumbers w:val="0"/>
        <w:spacing w:before="0" w:beforeAutospacing="0" w:after="0" w:afterAutospacing="0" w:line="600" w:lineRule="atLeast"/>
        <w:ind w:left="0" w:right="0" w:firstLine="640"/>
        <w:jc w:val="left"/>
      </w:pPr>
      <w:r>
        <w:rPr>
          <w:rFonts w:ascii="楷体" w:hAnsi="楷体" w:eastAsia="楷体" w:cs="楷体"/>
          <w:i w:val="0"/>
          <w:iCs w:val="0"/>
          <w:caps w:val="0"/>
          <w:color w:val="000000"/>
          <w:spacing w:val="0"/>
          <w:kern w:val="0"/>
          <w:sz w:val="32"/>
          <w:szCs w:val="32"/>
          <w:shd w:val="clear" w:fill="FFFFFF"/>
          <w:lang w:val="en-US" w:eastAsia="zh-CN" w:bidi="ar"/>
        </w:rPr>
        <w:t>（一）盘活存量、控制总量。</w:t>
      </w:r>
      <w:r>
        <w:rPr>
          <w:rFonts w:hint="eastAsia" w:ascii="仿宋" w:hAnsi="仿宋" w:eastAsia="仿宋" w:cs="仿宋"/>
          <w:i w:val="0"/>
          <w:iCs w:val="0"/>
          <w:caps w:val="0"/>
          <w:color w:val="000000"/>
          <w:spacing w:val="0"/>
          <w:kern w:val="0"/>
          <w:sz w:val="32"/>
          <w:szCs w:val="32"/>
          <w:shd w:val="clear" w:fill="FFFFFF"/>
          <w:lang w:val="en-US" w:eastAsia="zh-CN" w:bidi="ar"/>
        </w:rPr>
        <w:t>严格依据土地利用总体规划、城市规划及土地利用年度计划，从严控制总量。严格对标国家标准对具体建设项目用地规模的审查和控制。控制新增建设用地，严格保护永久基本农田，优先安排使用批而未供土地和收回的闲置土地，集约和节约利用土地，使土地市场保持持续、健康、协调发展。</w:t>
      </w:r>
    </w:p>
    <w:p>
      <w:pPr>
        <w:keepNext w:val="0"/>
        <w:keepLines w:val="0"/>
        <w:widowControl/>
        <w:suppressLineNumbers w:val="0"/>
        <w:spacing w:before="0" w:beforeAutospacing="0" w:after="0" w:afterAutospacing="0" w:line="600" w:lineRule="atLeast"/>
        <w:ind w:left="0" w:right="0" w:firstLine="640"/>
        <w:jc w:val="left"/>
      </w:pPr>
      <w:r>
        <w:rPr>
          <w:rFonts w:hint="eastAsia" w:ascii="楷体" w:hAnsi="楷体" w:eastAsia="楷体" w:cs="楷体"/>
          <w:i w:val="0"/>
          <w:iCs w:val="0"/>
          <w:caps w:val="0"/>
          <w:color w:val="000000"/>
          <w:spacing w:val="0"/>
          <w:kern w:val="0"/>
          <w:sz w:val="32"/>
          <w:szCs w:val="32"/>
          <w:shd w:val="clear" w:fill="FFFFFF"/>
          <w:lang w:val="en-US" w:eastAsia="zh-CN" w:bidi="ar"/>
        </w:rPr>
        <w:t>（二）优化建设用地供应结构。</w:t>
      </w:r>
      <w:r>
        <w:rPr>
          <w:rFonts w:hint="eastAsia" w:ascii="仿宋" w:hAnsi="仿宋" w:eastAsia="仿宋" w:cs="仿宋"/>
          <w:i w:val="0"/>
          <w:iCs w:val="0"/>
          <w:caps w:val="0"/>
          <w:color w:val="000000"/>
          <w:spacing w:val="0"/>
          <w:kern w:val="0"/>
          <w:sz w:val="32"/>
          <w:szCs w:val="32"/>
          <w:shd w:val="clear" w:fill="FFFFFF"/>
          <w:lang w:val="en-US" w:eastAsia="zh-CN" w:bidi="ar"/>
        </w:rPr>
        <w:t>紧密结合盘锦市经济和社会发展需要，优先保证交通、基础设施、廉租房、经济适用房等民生工程项目用地的供给。加强供地项目的规划审查管理，具体项目供地必须按规定权限进行空间规划的审查。对违反产业政策，属于限制和禁止类的建设项目不予供地。除法律、法规、规章规定可以划拨用地外，一律采取有偿使用方式供地，适当扩大土地有偿使用范围。</w:t>
      </w:r>
    </w:p>
    <w:p>
      <w:pPr>
        <w:keepNext w:val="0"/>
        <w:keepLines w:val="0"/>
        <w:widowControl/>
        <w:suppressLineNumbers w:val="0"/>
        <w:spacing w:before="0" w:beforeAutospacing="0" w:after="0" w:afterAutospacing="0" w:line="600" w:lineRule="atLeast"/>
        <w:ind w:left="0" w:right="0" w:firstLine="640"/>
        <w:jc w:val="left"/>
      </w:pPr>
      <w:r>
        <w:rPr>
          <w:rFonts w:hint="eastAsia" w:ascii="楷体" w:hAnsi="楷体" w:eastAsia="楷体" w:cs="楷体"/>
          <w:i w:val="0"/>
          <w:iCs w:val="0"/>
          <w:caps w:val="0"/>
          <w:color w:val="000000"/>
          <w:spacing w:val="0"/>
          <w:kern w:val="0"/>
          <w:sz w:val="32"/>
          <w:szCs w:val="32"/>
          <w:shd w:val="clear" w:fill="FFFFFF"/>
          <w:lang w:val="en-US" w:eastAsia="zh-CN" w:bidi="ar"/>
        </w:rPr>
        <w:t>（四）城乡统筹。</w:t>
      </w:r>
      <w:r>
        <w:rPr>
          <w:rFonts w:hint="eastAsia" w:ascii="仿宋" w:hAnsi="仿宋" w:eastAsia="仿宋" w:cs="仿宋"/>
          <w:i w:val="0"/>
          <w:iCs w:val="0"/>
          <w:caps w:val="0"/>
          <w:color w:val="000000"/>
          <w:spacing w:val="0"/>
          <w:kern w:val="0"/>
          <w:sz w:val="32"/>
          <w:szCs w:val="32"/>
          <w:shd w:val="clear" w:fill="FFFFFF"/>
          <w:lang w:val="en-US" w:eastAsia="zh-CN" w:bidi="ar"/>
        </w:rPr>
        <w:t>打破城乡二元结构的瓶颈制约，实现城乡规划、产业发展、基础设施、公共服务、就业保障一体化建设。结合推进全市“美丽乡村”建设，努力促进农业向规模化集中、工业向园区集中、农村居民向小镇和中心村集中，形成城乡统筹、以城带乡、优势互补的土地利用空间格局。</w:t>
      </w:r>
    </w:p>
    <w:p>
      <w:pPr>
        <w:keepNext w:val="0"/>
        <w:keepLines w:val="0"/>
        <w:widowControl/>
        <w:suppressLineNumbers w:val="0"/>
        <w:spacing w:before="0" w:beforeAutospacing="0" w:after="0" w:afterAutospacing="0" w:line="600" w:lineRule="atLeast"/>
        <w:ind w:left="0" w:right="0" w:firstLine="640"/>
        <w:jc w:val="left"/>
      </w:pPr>
      <w:r>
        <w:rPr>
          <w:rFonts w:hint="eastAsia" w:ascii="楷体" w:hAnsi="楷体" w:eastAsia="楷体" w:cs="楷体"/>
          <w:i w:val="0"/>
          <w:iCs w:val="0"/>
          <w:caps w:val="0"/>
          <w:color w:val="000000"/>
          <w:spacing w:val="0"/>
          <w:kern w:val="0"/>
          <w:sz w:val="32"/>
          <w:szCs w:val="32"/>
          <w:shd w:val="clear" w:fill="FFFFFF"/>
          <w:lang w:val="en-US" w:eastAsia="zh-CN" w:bidi="ar"/>
        </w:rPr>
        <w:t>（五）探索集体经营性建设用地入市。</w:t>
      </w:r>
      <w:r>
        <w:rPr>
          <w:rFonts w:hint="eastAsia" w:ascii="仿宋" w:hAnsi="仿宋" w:eastAsia="仿宋" w:cs="仿宋"/>
          <w:i w:val="0"/>
          <w:iCs w:val="0"/>
          <w:caps w:val="0"/>
          <w:color w:val="000000"/>
          <w:spacing w:val="0"/>
          <w:kern w:val="0"/>
          <w:sz w:val="32"/>
          <w:szCs w:val="32"/>
          <w:shd w:val="clear" w:fill="FFFFFF"/>
          <w:lang w:val="en-US" w:eastAsia="zh-CN" w:bidi="ar"/>
        </w:rPr>
        <w:t>按照国家和省工作部署，有序推进集体经营性建设用地入市，待国家和省相关配套法规和制度规范出台后，积极开展工作。相关土地的供应计划另行编制实施。</w:t>
      </w:r>
    </w:p>
    <w:p>
      <w:pPr>
        <w:keepNext w:val="0"/>
        <w:keepLines w:val="0"/>
        <w:widowControl/>
        <w:suppressLineNumbers w:val="0"/>
        <w:spacing w:before="0" w:beforeAutospacing="0" w:after="0" w:afterAutospacing="0" w:line="600" w:lineRule="atLeast"/>
        <w:ind w:left="0" w:right="0" w:firstLine="640"/>
        <w:jc w:val="left"/>
      </w:pPr>
      <w:r>
        <w:rPr>
          <w:rFonts w:hint="eastAsia" w:ascii="黑体" w:hAnsi="宋体" w:eastAsia="黑体" w:cs="黑体"/>
          <w:i w:val="0"/>
          <w:iCs w:val="0"/>
          <w:caps w:val="0"/>
          <w:color w:val="000000"/>
          <w:spacing w:val="0"/>
          <w:kern w:val="0"/>
          <w:sz w:val="32"/>
          <w:szCs w:val="32"/>
          <w:shd w:val="clear" w:fill="FFFFFF"/>
          <w:lang w:val="en-US" w:eastAsia="zh-CN" w:bidi="ar"/>
        </w:rPr>
        <w:t>二、2021年计划指标</w:t>
      </w:r>
    </w:p>
    <w:p>
      <w:pPr>
        <w:keepNext w:val="0"/>
        <w:keepLines w:val="0"/>
        <w:widowControl/>
        <w:suppressLineNumbers w:val="0"/>
        <w:spacing w:before="0" w:beforeAutospacing="0" w:after="0" w:afterAutospacing="0" w:line="600" w:lineRule="atLeast"/>
        <w:ind w:left="0" w:right="0" w:firstLine="640"/>
        <w:jc w:val="left"/>
      </w:pPr>
      <w:r>
        <w:rPr>
          <w:rFonts w:hint="eastAsia" w:ascii="仿宋" w:hAnsi="仿宋" w:eastAsia="仿宋" w:cs="仿宋"/>
          <w:i w:val="0"/>
          <w:iCs w:val="0"/>
          <w:caps w:val="0"/>
          <w:color w:val="000000"/>
          <w:spacing w:val="0"/>
          <w:kern w:val="0"/>
          <w:sz w:val="32"/>
          <w:szCs w:val="32"/>
          <w:shd w:val="clear" w:fill="FFFFFF"/>
          <w:lang w:val="en-US" w:eastAsia="zh-CN" w:bidi="ar"/>
        </w:rPr>
        <w:t>为实施振兴东北老工业基地战略，以差别化用地政策，保障重大项目用地，优先保障辽东湾新区项目用地，按照县改区过渡期政策，将大洼区土地供应计划纳入市本级，具体实施由大洼区自行组织。加强对房地产用地实施宏观调控，按照保护耕地、保障发展、优先支持城市基础设施和重点产业建设项目用地，对生产性服务业用地、商业用地、物流产业用地给予优先保障。</w:t>
      </w:r>
    </w:p>
    <w:p>
      <w:pPr>
        <w:keepNext w:val="0"/>
        <w:keepLines w:val="0"/>
        <w:widowControl/>
        <w:suppressLineNumbers w:val="0"/>
        <w:spacing w:before="0" w:beforeAutospacing="0" w:after="0" w:afterAutospacing="0" w:line="600" w:lineRule="atLeast"/>
        <w:ind w:left="0" w:right="0" w:firstLine="640"/>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市本级建设项目用地供应总量为1654公顷。其中：兴隆台区供地总量141公顷；双台子区供地总量142公顷；大洼区供地总量209公顷；辽东湾新区供地总量1162公顷。按照土地用途划分：商业用地53公顷，工业用地1336公顷，居住用地100公顷，交通和公共管理服务用地165公顷。</w:t>
      </w:r>
    </w:p>
    <w:p>
      <w:pPr>
        <w:keepNext w:val="0"/>
        <w:keepLines w:val="0"/>
        <w:widowControl/>
        <w:suppressLineNumbers w:val="0"/>
        <w:spacing w:before="0" w:beforeAutospacing="0" w:after="0" w:afterAutospacing="0" w:line="600" w:lineRule="atLeast"/>
        <w:ind w:left="0" w:right="0" w:firstLine="64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三、政策导向</w:t>
      </w:r>
    </w:p>
    <w:p>
      <w:pPr>
        <w:keepNext w:val="0"/>
        <w:keepLines w:val="0"/>
        <w:widowControl/>
        <w:suppressLineNumbers w:val="0"/>
        <w:spacing w:before="0" w:beforeAutospacing="0" w:after="0" w:afterAutospacing="0" w:line="600" w:lineRule="atLeast"/>
        <w:ind w:left="0" w:right="0" w:firstLine="640"/>
        <w:jc w:val="left"/>
      </w:pPr>
      <w:r>
        <w:rPr>
          <w:rFonts w:hint="eastAsia" w:ascii="楷体" w:hAnsi="楷体" w:eastAsia="楷体" w:cs="楷体"/>
          <w:i w:val="0"/>
          <w:iCs w:val="0"/>
          <w:caps w:val="0"/>
          <w:color w:val="000000"/>
          <w:spacing w:val="0"/>
          <w:kern w:val="0"/>
          <w:sz w:val="32"/>
          <w:szCs w:val="32"/>
          <w:shd w:val="clear" w:fill="FFFFFF"/>
          <w:lang w:val="en-US" w:eastAsia="zh-CN" w:bidi="ar"/>
        </w:rPr>
        <w:t>（一）全面推进区域城市化和城市现代化进程。</w:t>
      </w:r>
      <w:r>
        <w:rPr>
          <w:rFonts w:hint="eastAsia" w:ascii="仿宋" w:hAnsi="仿宋" w:eastAsia="仿宋" w:cs="仿宋"/>
          <w:i w:val="0"/>
          <w:iCs w:val="0"/>
          <w:caps w:val="0"/>
          <w:color w:val="000000"/>
          <w:spacing w:val="0"/>
          <w:kern w:val="0"/>
          <w:sz w:val="32"/>
          <w:szCs w:val="32"/>
          <w:shd w:val="clear" w:fill="FFFFFF"/>
          <w:lang w:val="en-US" w:eastAsia="zh-CN" w:bidi="ar"/>
        </w:rPr>
        <w:t>强化城市功能，完善设施、打造环境、塑造形象、提升功能，提升中心城市现代化、国际化水平。开辟新型城市化道路，重点商业服务业项目要高起点、高质量建设，土地区位优势明显同时保证城镇布局合理、带动效应较强。</w:t>
      </w:r>
    </w:p>
    <w:p>
      <w:pPr>
        <w:keepNext w:val="0"/>
        <w:keepLines w:val="0"/>
        <w:widowControl/>
        <w:suppressLineNumbers w:val="0"/>
        <w:spacing w:before="0" w:beforeAutospacing="0" w:after="0" w:afterAutospacing="0" w:line="600" w:lineRule="atLeast"/>
        <w:ind w:left="0" w:right="0" w:firstLine="640"/>
        <w:jc w:val="left"/>
      </w:pPr>
      <w:r>
        <w:rPr>
          <w:rFonts w:hint="eastAsia" w:ascii="楷体" w:hAnsi="楷体" w:eastAsia="楷体" w:cs="楷体"/>
          <w:i w:val="0"/>
          <w:iCs w:val="0"/>
          <w:caps w:val="0"/>
          <w:color w:val="000000"/>
          <w:spacing w:val="0"/>
          <w:kern w:val="0"/>
          <w:sz w:val="32"/>
          <w:szCs w:val="32"/>
          <w:shd w:val="clear" w:fill="FFFFFF"/>
          <w:lang w:val="en-US" w:eastAsia="zh-CN" w:bidi="ar"/>
        </w:rPr>
        <w:t>（二）保证全市重点产业项目建设用地供应。</w:t>
      </w:r>
      <w:r>
        <w:rPr>
          <w:rFonts w:hint="eastAsia" w:ascii="仿宋" w:hAnsi="仿宋" w:eastAsia="仿宋" w:cs="仿宋"/>
          <w:i w:val="0"/>
          <w:iCs w:val="0"/>
          <w:caps w:val="0"/>
          <w:color w:val="000000"/>
          <w:spacing w:val="0"/>
          <w:kern w:val="0"/>
          <w:sz w:val="32"/>
          <w:szCs w:val="32"/>
          <w:shd w:val="clear" w:fill="FFFFFF"/>
          <w:lang w:val="en-US" w:eastAsia="zh-CN" w:bidi="ar"/>
        </w:rPr>
        <w:t>鼓励和支持新产业新业态项目、高新技术产业、现代制造业、现代物流业项目建设用地供应，</w:t>
      </w: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对列入“中国制造2025”、《战略性新兴产业重点产品和服务指导目录》的项目用地，</w:t>
      </w:r>
      <w:r>
        <w:rPr>
          <w:rFonts w:hint="eastAsia" w:ascii="仿宋" w:hAnsi="仿宋" w:eastAsia="仿宋" w:cs="仿宋"/>
          <w:i w:val="0"/>
          <w:iCs w:val="0"/>
          <w:caps w:val="0"/>
          <w:color w:val="000000"/>
          <w:spacing w:val="0"/>
          <w:kern w:val="0"/>
          <w:sz w:val="32"/>
          <w:szCs w:val="32"/>
          <w:shd w:val="clear" w:fill="FFFFFF"/>
          <w:lang w:val="en-US" w:eastAsia="zh-CN" w:bidi="ar"/>
        </w:rPr>
        <w:t>应保尽保。优先保障工业标准厂房建设，支持高端、高效、高辐射力、低耗能、低污染产业项目建设用地供应。严格按照“全国污染地块土壤环境管理系统”管理，对纳入系统管理的土地，严格履行污染地块处置程序。</w:t>
      </w:r>
    </w:p>
    <w:p>
      <w:pPr>
        <w:keepNext w:val="0"/>
        <w:keepLines w:val="0"/>
        <w:widowControl/>
        <w:suppressLineNumbers w:val="0"/>
        <w:spacing w:before="0" w:beforeAutospacing="0" w:after="0" w:afterAutospacing="0" w:line="600" w:lineRule="atLeast"/>
        <w:ind w:left="0" w:right="0" w:firstLine="640"/>
        <w:jc w:val="left"/>
      </w:pPr>
      <w:r>
        <w:rPr>
          <w:rFonts w:hint="eastAsia" w:ascii="楷体" w:hAnsi="楷体" w:eastAsia="楷体" w:cs="楷体"/>
          <w:i w:val="0"/>
          <w:iCs w:val="0"/>
          <w:caps w:val="0"/>
          <w:color w:val="000000"/>
          <w:spacing w:val="0"/>
          <w:kern w:val="0"/>
          <w:sz w:val="32"/>
          <w:szCs w:val="32"/>
          <w:shd w:val="clear" w:fill="FFFFFF"/>
          <w:lang w:val="en-US" w:eastAsia="zh-CN" w:bidi="ar"/>
        </w:rPr>
        <w:t>（三）促进房地产用地结构调整。</w:t>
      </w:r>
      <w:r>
        <w:rPr>
          <w:rFonts w:hint="eastAsia" w:ascii="仿宋" w:hAnsi="仿宋" w:eastAsia="仿宋" w:cs="仿宋"/>
          <w:i w:val="0"/>
          <w:iCs w:val="0"/>
          <w:caps w:val="0"/>
          <w:color w:val="000000"/>
          <w:spacing w:val="0"/>
          <w:kern w:val="0"/>
          <w:sz w:val="32"/>
          <w:szCs w:val="32"/>
          <w:shd w:val="clear" w:fill="FFFFFF"/>
          <w:lang w:val="en-US" w:eastAsia="zh-CN" w:bidi="ar"/>
        </w:rPr>
        <w:t>各地区要研究制定未开发房地产用地的用途转换方案，通过调整土地用途、规划条件，引导未开发房地产用地转型利用，用于国家支持的新兴产业、养老产业、文化产业、旅游产业、体育产业、服务业等项目用途的开发建设。支持居家养老项目配套设施用地需求。</w:t>
      </w:r>
    </w:p>
    <w:p>
      <w:pPr>
        <w:keepNext w:val="0"/>
        <w:keepLines w:val="0"/>
        <w:widowControl/>
        <w:suppressLineNumbers w:val="0"/>
        <w:spacing w:before="0" w:beforeAutospacing="0" w:after="0" w:afterAutospacing="0" w:line="600" w:lineRule="atLeast"/>
        <w:ind w:left="0" w:right="0" w:firstLine="640"/>
        <w:jc w:val="left"/>
      </w:pPr>
      <w:r>
        <w:rPr>
          <w:rFonts w:hint="eastAsia" w:ascii="楷体" w:hAnsi="楷体" w:eastAsia="楷体" w:cs="楷体"/>
          <w:i w:val="0"/>
          <w:iCs w:val="0"/>
          <w:caps w:val="0"/>
          <w:color w:val="000000"/>
          <w:spacing w:val="0"/>
          <w:kern w:val="0"/>
          <w:sz w:val="32"/>
          <w:szCs w:val="32"/>
          <w:shd w:val="clear" w:fill="FFFFFF"/>
          <w:lang w:val="en-US" w:eastAsia="zh-CN" w:bidi="ar"/>
        </w:rPr>
        <w:t>(四)鼓励存量土地再开发利用。</w:t>
      </w:r>
      <w:r>
        <w:rPr>
          <w:rFonts w:hint="eastAsia" w:ascii="仿宋" w:hAnsi="仿宋" w:eastAsia="仿宋" w:cs="仿宋"/>
          <w:i w:val="0"/>
          <w:iCs w:val="0"/>
          <w:caps w:val="0"/>
          <w:color w:val="000000"/>
          <w:spacing w:val="0"/>
          <w:kern w:val="0"/>
          <w:sz w:val="32"/>
          <w:szCs w:val="32"/>
          <w:shd w:val="clear" w:fill="FFFFFF"/>
          <w:lang w:val="en-US" w:eastAsia="zh-CN" w:bidi="ar"/>
        </w:rPr>
        <w:t>对利用存量工业用地开发建设，提高土地利用强度和利用效率，原则上不再补缴土地出让金。对利用低效利用的划拨土地和旧厂房兴办生产性服务业、物流配送等鼓励产业，发展新产业、新业态项目，不涉及土地权属变更，按原土地用途进行过渡期管理。</w:t>
      </w:r>
    </w:p>
    <w:p>
      <w:pPr>
        <w:keepNext w:val="0"/>
        <w:keepLines w:val="0"/>
        <w:widowControl/>
        <w:suppressLineNumbers w:val="0"/>
        <w:spacing w:before="0" w:beforeAutospacing="0" w:after="0" w:afterAutospacing="0" w:line="600" w:lineRule="atLeast"/>
        <w:ind w:left="0" w:right="0" w:firstLine="640"/>
        <w:jc w:val="left"/>
      </w:pPr>
      <w:r>
        <w:rPr>
          <w:rFonts w:hint="eastAsia" w:ascii="黑体" w:hAnsi="宋体" w:eastAsia="黑体" w:cs="黑体"/>
          <w:i w:val="0"/>
          <w:iCs w:val="0"/>
          <w:caps w:val="0"/>
          <w:color w:val="000000"/>
          <w:spacing w:val="0"/>
          <w:kern w:val="0"/>
          <w:sz w:val="32"/>
          <w:szCs w:val="32"/>
          <w:shd w:val="clear" w:fill="FFFFFF"/>
          <w:lang w:val="en-US" w:eastAsia="zh-CN" w:bidi="ar"/>
        </w:rPr>
        <w:t>四、保障措施</w:t>
      </w:r>
    </w:p>
    <w:p>
      <w:pPr>
        <w:keepNext w:val="0"/>
        <w:keepLines w:val="0"/>
        <w:widowControl/>
        <w:suppressLineNumbers w:val="0"/>
        <w:spacing w:before="0" w:beforeAutospacing="0" w:after="0" w:afterAutospacing="0" w:line="600" w:lineRule="atLeast"/>
        <w:ind w:left="0" w:right="0" w:firstLine="640"/>
        <w:jc w:val="left"/>
      </w:pPr>
      <w:r>
        <w:rPr>
          <w:rFonts w:hint="eastAsia" w:ascii="楷体" w:hAnsi="楷体" w:eastAsia="楷体" w:cs="楷体"/>
          <w:i w:val="0"/>
          <w:iCs w:val="0"/>
          <w:caps w:val="0"/>
          <w:color w:val="000000"/>
          <w:spacing w:val="0"/>
          <w:kern w:val="0"/>
          <w:sz w:val="32"/>
          <w:szCs w:val="32"/>
          <w:shd w:val="clear" w:fill="FFFFFF"/>
          <w:lang w:val="en-US" w:eastAsia="zh-CN" w:bidi="ar"/>
        </w:rPr>
        <w:t>（一）落实供地计划的地块公布机制,稳定市场预期。</w:t>
      </w:r>
      <w:r>
        <w:rPr>
          <w:rFonts w:hint="eastAsia" w:ascii="仿宋" w:hAnsi="仿宋" w:eastAsia="仿宋" w:cs="仿宋"/>
          <w:i w:val="0"/>
          <w:iCs w:val="0"/>
          <w:caps w:val="0"/>
          <w:color w:val="000000"/>
          <w:spacing w:val="0"/>
          <w:kern w:val="0"/>
          <w:sz w:val="32"/>
          <w:szCs w:val="32"/>
          <w:shd w:val="clear" w:fill="FFFFFF"/>
          <w:lang w:val="en-US" w:eastAsia="zh-CN" w:bidi="ar"/>
        </w:rPr>
        <w:t>土地供应计划明确到地块（见附表），对于未列入计划的地块，原则上年内不供地，但对已经完成地块前期开发的经营性用地、城市功能性设施用地、新产业新业态用地在供地总量不突破的前提下，需要调整供地结构的，由各区政府依据计划执行和土地供需情况等提出供地计划修订方案，经汇总报批后调整向社会公布。</w:t>
      </w:r>
    </w:p>
    <w:p>
      <w:pPr>
        <w:keepNext w:val="0"/>
        <w:keepLines w:val="0"/>
        <w:widowControl/>
        <w:suppressLineNumbers w:val="0"/>
        <w:spacing w:before="0" w:beforeAutospacing="0" w:after="0" w:afterAutospacing="0" w:line="600" w:lineRule="atLeast"/>
        <w:ind w:left="0" w:right="0" w:firstLine="640"/>
        <w:jc w:val="left"/>
      </w:pPr>
      <w:r>
        <w:rPr>
          <w:rFonts w:hint="eastAsia" w:ascii="楷体" w:hAnsi="楷体" w:eastAsia="楷体" w:cs="楷体"/>
          <w:i w:val="0"/>
          <w:iCs w:val="0"/>
          <w:caps w:val="0"/>
          <w:color w:val="000000"/>
          <w:spacing w:val="0"/>
          <w:kern w:val="0"/>
          <w:sz w:val="32"/>
          <w:szCs w:val="32"/>
          <w:shd w:val="clear" w:fill="FFFFFF"/>
          <w:lang w:val="en-US" w:eastAsia="zh-CN" w:bidi="ar"/>
        </w:rPr>
        <w:t>（二）加强计划实施过程的沟通和协调。</w:t>
      </w:r>
      <w:r>
        <w:rPr>
          <w:rFonts w:hint="eastAsia" w:ascii="仿宋" w:hAnsi="仿宋" w:eastAsia="仿宋" w:cs="仿宋"/>
          <w:i w:val="0"/>
          <w:iCs w:val="0"/>
          <w:caps w:val="0"/>
          <w:color w:val="000000"/>
          <w:spacing w:val="0"/>
          <w:kern w:val="0"/>
          <w:sz w:val="32"/>
          <w:szCs w:val="32"/>
          <w:shd w:val="clear" w:fill="FFFFFF"/>
          <w:lang w:val="en-US" w:eastAsia="zh-CN" w:bidi="ar"/>
        </w:rPr>
        <w:t>要定期协调解决计划实施中存在的问题，对列入计划的项目加快审批，推进计划实施。各区、经济区政府和市有关行业主管部门要充分发挥实施土地供应计划的主体作用，加强规划设计、征地拆迁等前期工作协调，及时主动沟通，共同研究解决计划实施过程中遇到的困难和问题，确保计划的实施。</w:t>
      </w:r>
    </w:p>
    <w:p>
      <w:pPr>
        <w:keepNext w:val="0"/>
        <w:keepLines w:val="0"/>
        <w:widowControl/>
        <w:suppressLineNumbers w:val="0"/>
        <w:spacing w:before="0" w:beforeAutospacing="0" w:after="0" w:afterAutospacing="0" w:line="600" w:lineRule="atLeast"/>
        <w:ind w:left="0" w:right="0" w:firstLine="640"/>
        <w:jc w:val="left"/>
      </w:pPr>
      <w:r>
        <w:rPr>
          <w:rFonts w:hint="eastAsia" w:ascii="楷体" w:hAnsi="楷体" w:eastAsia="楷体" w:cs="楷体"/>
          <w:i w:val="0"/>
          <w:iCs w:val="0"/>
          <w:caps w:val="0"/>
          <w:color w:val="000000"/>
          <w:spacing w:val="0"/>
          <w:kern w:val="0"/>
          <w:sz w:val="32"/>
          <w:szCs w:val="32"/>
          <w:shd w:val="clear" w:fill="FFFFFF"/>
          <w:lang w:val="en-US" w:eastAsia="zh-CN" w:bidi="ar"/>
        </w:rPr>
        <w:t>（三）加强计划的动态跟踪管理和通报。</w:t>
      </w:r>
      <w:r>
        <w:rPr>
          <w:rFonts w:hint="eastAsia" w:ascii="仿宋" w:hAnsi="仿宋" w:eastAsia="仿宋" w:cs="仿宋"/>
          <w:i w:val="0"/>
          <w:iCs w:val="0"/>
          <w:caps w:val="0"/>
          <w:color w:val="000000"/>
          <w:spacing w:val="0"/>
          <w:kern w:val="0"/>
          <w:sz w:val="32"/>
          <w:szCs w:val="32"/>
          <w:shd w:val="clear" w:fill="FFFFFF"/>
          <w:lang w:val="en-US" w:eastAsia="zh-CN" w:bidi="ar"/>
        </w:rPr>
        <w:t>要及时总结计划执行情况，定期向社会通报计划执行情况，对因特殊原因影响供应计划安排的，应会同相关部门和相关区政府做好计划调整工作，及时做出说明。</w:t>
      </w:r>
    </w:p>
    <w:p>
      <w:pPr>
        <w:keepNext w:val="0"/>
        <w:keepLines w:val="0"/>
        <w:widowControl/>
        <w:suppressLineNumbers w:val="0"/>
        <w:spacing w:before="0" w:beforeAutospacing="0" w:after="0" w:afterAutospacing="0" w:line="600" w:lineRule="atLeast"/>
        <w:ind w:left="0" w:right="0" w:firstLine="64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楷体" w:hAnsi="楷体" w:eastAsia="楷体" w:cs="楷体"/>
          <w:i w:val="0"/>
          <w:iCs w:val="0"/>
          <w:caps w:val="0"/>
          <w:color w:val="000000"/>
          <w:spacing w:val="0"/>
          <w:kern w:val="0"/>
          <w:sz w:val="32"/>
          <w:szCs w:val="32"/>
          <w:shd w:val="clear" w:fill="FFFFFF"/>
          <w:lang w:val="en-US" w:eastAsia="zh-CN" w:bidi="ar"/>
        </w:rPr>
        <w:t>（四）强化土地供应前期审核和踏勘。</w:t>
      </w:r>
      <w:r>
        <w:rPr>
          <w:rFonts w:hint="eastAsia" w:ascii="仿宋" w:hAnsi="仿宋" w:eastAsia="仿宋" w:cs="仿宋"/>
          <w:i w:val="0"/>
          <w:iCs w:val="0"/>
          <w:caps w:val="0"/>
          <w:color w:val="000000"/>
          <w:spacing w:val="0"/>
          <w:kern w:val="0"/>
          <w:sz w:val="32"/>
          <w:szCs w:val="32"/>
          <w:shd w:val="clear" w:fill="FFFFFF"/>
          <w:lang w:val="en-US" w:eastAsia="zh-CN" w:bidi="ar"/>
        </w:rPr>
        <w:t>强化土地储备管理职能，逐步实现对拟出让宗地由土地储备机构先期储备，完成地块内前期开发、地块外基础设施建设后，在场地通平条件前期开发工程完成后再推向市场。</w:t>
      </w:r>
    </w:p>
    <w:p>
      <w:pPr>
        <w:keepNext w:val="0"/>
        <w:keepLines w:val="0"/>
        <w:widowControl/>
        <w:suppressLineNumbers w:val="0"/>
        <w:spacing w:before="0" w:beforeAutospacing="0" w:after="0" w:afterAutospacing="0" w:line="600" w:lineRule="atLeast"/>
        <w:ind w:left="0" w:right="0" w:firstLine="640"/>
        <w:jc w:val="left"/>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楷体" w:hAnsi="楷体" w:eastAsia="楷体" w:cs="楷体"/>
          <w:i w:val="0"/>
          <w:iCs w:val="0"/>
          <w:caps w:val="0"/>
          <w:color w:val="000000"/>
          <w:spacing w:val="0"/>
          <w:kern w:val="0"/>
          <w:sz w:val="32"/>
          <w:szCs w:val="32"/>
          <w:shd w:val="clear" w:fill="FFFFFF"/>
          <w:lang w:val="en-US" w:eastAsia="zh-CN" w:bidi="ar"/>
        </w:rPr>
        <w:t>（五）加强土地供后巡查监管。</w:t>
      </w:r>
      <w:r>
        <w:rPr>
          <w:rFonts w:hint="eastAsia" w:ascii="仿宋" w:hAnsi="仿宋" w:eastAsia="仿宋" w:cs="仿宋"/>
          <w:i w:val="0"/>
          <w:iCs w:val="0"/>
          <w:caps w:val="0"/>
          <w:color w:val="000000"/>
          <w:spacing w:val="0"/>
          <w:kern w:val="0"/>
          <w:sz w:val="32"/>
          <w:szCs w:val="32"/>
          <w:shd w:val="clear" w:fill="FFFFFF"/>
          <w:lang w:val="en-US" w:eastAsia="zh-CN" w:bidi="ar"/>
        </w:rPr>
        <w:t>严格履行建设项目批后巡查制度，严格按照《闲置土地处置办法》和土地出让合同履约。</w:t>
      </w:r>
    </w:p>
    <w:p>
      <w:pPr>
        <w:keepNext w:val="0"/>
        <w:keepLines w:val="0"/>
        <w:widowControl/>
        <w:suppressLineNumbers w:val="0"/>
        <w:spacing w:before="0" w:beforeAutospacing="0" w:after="0" w:afterAutospacing="0" w:line="600" w:lineRule="atLeast"/>
        <w:ind w:left="0" w:right="0" w:firstLine="640"/>
        <w:jc w:val="left"/>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600" w:lineRule="atLeast"/>
        <w:ind w:left="0" w:right="0" w:firstLine="640"/>
        <w:jc w:val="left"/>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wordWrap w:val="0"/>
        <w:spacing w:before="0" w:beforeAutospacing="0" w:after="0" w:afterAutospacing="0" w:line="600" w:lineRule="atLeast"/>
        <w:ind w:left="0" w:right="0" w:firstLine="640"/>
        <w:jc w:val="right"/>
      </w:pPr>
      <w:r>
        <w:rPr>
          <w:rFonts w:hint="eastAsia" w:ascii="仿宋" w:hAnsi="仿宋" w:eastAsia="仿宋" w:cs="仿宋"/>
          <w:i w:val="0"/>
          <w:iCs w:val="0"/>
          <w:caps w:val="0"/>
          <w:color w:val="000000"/>
          <w:spacing w:val="0"/>
          <w:kern w:val="0"/>
          <w:sz w:val="32"/>
          <w:szCs w:val="32"/>
          <w:shd w:val="clear" w:fill="FFFFFF"/>
          <w:lang w:val="en-US" w:eastAsia="zh-CN" w:bidi="ar"/>
        </w:rPr>
        <w:t>盘锦市自然资源局      </w:t>
      </w:r>
    </w:p>
    <w:p>
      <w:pPr>
        <w:keepNext w:val="0"/>
        <w:keepLines w:val="0"/>
        <w:widowControl/>
        <w:suppressLineNumbers w:val="0"/>
        <w:wordWrap w:val="0"/>
        <w:spacing w:before="0" w:beforeAutospacing="0" w:after="0" w:afterAutospacing="0" w:line="600" w:lineRule="atLeast"/>
        <w:ind w:left="0" w:right="0" w:firstLine="640"/>
        <w:jc w:val="righ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2021年3月31日      </w:t>
      </w:r>
    </w:p>
    <w:p>
      <w:pPr>
        <w:keepNext w:val="0"/>
        <w:keepLines w:val="0"/>
        <w:widowControl/>
        <w:suppressLineNumbers w:val="0"/>
        <w:wordWrap/>
        <w:spacing w:before="0" w:beforeAutospacing="0" w:after="0" w:afterAutospacing="0" w:line="600" w:lineRule="atLeast"/>
        <w:ind w:left="0" w:right="0" w:firstLine="640"/>
        <w:jc w:val="right"/>
        <w:rPr>
          <w:rFonts w:hint="eastAsia" w:ascii="仿宋" w:hAnsi="仿宋" w:eastAsia="仿宋" w:cs="仿宋"/>
          <w:i w:val="0"/>
          <w:iCs w:val="0"/>
          <w:caps w:val="0"/>
          <w:color w:val="000000"/>
          <w:spacing w:val="0"/>
          <w:kern w:val="0"/>
          <w:sz w:val="32"/>
          <w:szCs w:val="32"/>
          <w:shd w:val="clear" w:fill="FFFFFF"/>
          <w:lang w:val="en-US" w:eastAsia="zh-CN" w:bidi="ar"/>
        </w:rPr>
      </w:pPr>
    </w:p>
    <w:p>
      <w:pPr>
        <w:keepNext w:val="0"/>
        <w:keepLines w:val="0"/>
        <w:widowControl/>
        <w:suppressLineNumbers w:val="0"/>
        <w:wordWrap/>
        <w:spacing w:before="0" w:beforeAutospacing="0" w:after="0" w:afterAutospacing="0" w:line="600" w:lineRule="atLeast"/>
        <w:ind w:left="0" w:right="0" w:firstLine="640"/>
        <w:jc w:val="right"/>
        <w:rPr>
          <w:rFonts w:hint="eastAsia" w:ascii="仿宋" w:hAnsi="仿宋" w:eastAsia="仿宋" w:cs="仿宋"/>
          <w:i w:val="0"/>
          <w:iCs w:val="0"/>
          <w:caps w:val="0"/>
          <w:color w:val="000000"/>
          <w:spacing w:val="0"/>
          <w:kern w:val="0"/>
          <w:sz w:val="32"/>
          <w:szCs w:val="32"/>
          <w:shd w:val="clear" w:fill="FFFFFF"/>
          <w:lang w:val="en-US" w:eastAsia="zh-CN" w:bidi="ar"/>
        </w:rPr>
      </w:pPr>
      <w:bookmarkStart w:id="0" w:name="_GoBack"/>
      <w:bookmarkEnd w:id="0"/>
    </w:p>
    <w:p>
      <w:pPr>
        <w:keepNext w:val="0"/>
        <w:keepLines w:val="0"/>
        <w:widowControl/>
        <w:suppressLineNumbers w:val="0"/>
        <w:wordWrap/>
        <w:spacing w:before="0" w:beforeAutospacing="0" w:after="0" w:afterAutospacing="0" w:line="600" w:lineRule="atLeast"/>
        <w:ind w:left="0" w:right="0" w:firstLine="640"/>
        <w:jc w:val="right"/>
        <w:rPr>
          <w:rFonts w:hint="eastAsia" w:ascii="仿宋" w:hAnsi="仿宋" w:eastAsia="仿宋" w:cs="仿宋"/>
          <w:i w:val="0"/>
          <w:iCs w:val="0"/>
          <w:caps w:val="0"/>
          <w:color w:val="000000"/>
          <w:spacing w:val="0"/>
          <w:kern w:val="0"/>
          <w:sz w:val="32"/>
          <w:szCs w:val="32"/>
          <w:shd w:val="clear" w:fill="FFFFFF"/>
          <w:lang w:val="en-US" w:eastAsia="zh-CN" w:bidi="ar"/>
        </w:rPr>
      </w:pPr>
    </w:p>
    <w:p>
      <w:pPr>
        <w:keepNext w:val="0"/>
        <w:keepLines w:val="0"/>
        <w:widowControl/>
        <w:suppressLineNumbers w:val="0"/>
        <w:wordWrap/>
        <w:spacing w:before="0" w:beforeAutospacing="0" w:after="0" w:afterAutospacing="0" w:line="600" w:lineRule="atLeast"/>
        <w:ind w:left="0" w:right="0" w:firstLine="640"/>
        <w:jc w:val="right"/>
        <w:rPr>
          <w:rFonts w:hint="eastAsia" w:ascii="仿宋" w:hAnsi="仿宋" w:eastAsia="仿宋" w:cs="仿宋"/>
          <w:i w:val="0"/>
          <w:iCs w:val="0"/>
          <w:caps w:val="0"/>
          <w:color w:val="000000"/>
          <w:spacing w:val="0"/>
          <w:kern w:val="0"/>
          <w:sz w:val="32"/>
          <w:szCs w:val="32"/>
          <w:shd w:val="clear" w:fill="FFFFFF"/>
          <w:lang w:val="en-US" w:eastAsia="zh-CN" w:bidi="ar"/>
        </w:rPr>
      </w:pPr>
    </w:p>
    <w:p>
      <w:pPr>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br w:type="page"/>
      </w:r>
    </w:p>
    <w:tbl>
      <w:tblPr>
        <w:tblStyle w:val="2"/>
        <w:tblpPr w:leftFromText="180" w:rightFromText="180" w:vertAnchor="text" w:horzAnchor="page" w:tblpX="1325" w:tblpY="1274"/>
        <w:tblOverlap w:val="never"/>
        <w:tblW w:w="8835" w:type="dxa"/>
        <w:tblInd w:w="0" w:type="dxa"/>
        <w:shd w:val="clear" w:color="auto" w:fill="auto"/>
        <w:tblLayout w:type="fixed"/>
        <w:tblCellMar>
          <w:top w:w="0" w:type="dxa"/>
          <w:left w:w="108" w:type="dxa"/>
          <w:bottom w:w="0" w:type="dxa"/>
          <w:right w:w="108" w:type="dxa"/>
        </w:tblCellMar>
      </w:tblPr>
      <w:tblGrid>
        <w:gridCol w:w="630"/>
        <w:gridCol w:w="1185"/>
        <w:gridCol w:w="3915"/>
        <w:gridCol w:w="1755"/>
        <w:gridCol w:w="1350"/>
      </w:tblGrid>
      <w:tr>
        <w:tblPrEx>
          <w:tblCellMar>
            <w:top w:w="0" w:type="dxa"/>
            <w:left w:w="108" w:type="dxa"/>
            <w:bottom w:w="0" w:type="dxa"/>
            <w:right w:w="108" w:type="dxa"/>
          </w:tblCellMar>
        </w:tblPrEx>
        <w:trPr>
          <w:trHeight w:val="800" w:hRule="atLeast"/>
        </w:trPr>
        <w:tc>
          <w:tcPr>
            <w:tcW w:w="8835" w:type="dxa"/>
            <w:gridSpan w:val="5"/>
            <w:tcBorders>
              <w:top w:val="nil"/>
              <w:left w:val="nil"/>
              <w:bottom w:val="nil"/>
              <w:right w:val="nil"/>
            </w:tcBorders>
            <w:shd w:val="clear" w:color="auto" w:fill="auto"/>
            <w:noWrap/>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2021年建设项目用地计划表</w:t>
            </w:r>
          </w:p>
        </w:tc>
      </w:tr>
      <w:tr>
        <w:tblPrEx>
          <w:tblCellMar>
            <w:top w:w="0" w:type="dxa"/>
            <w:left w:w="108" w:type="dxa"/>
            <w:bottom w:w="0" w:type="dxa"/>
            <w:right w:w="108" w:type="dxa"/>
          </w:tblCellMar>
        </w:tblPrEx>
        <w:trPr>
          <w:trHeight w:val="270" w:hRule="atLeast"/>
        </w:trPr>
        <w:tc>
          <w:tcPr>
            <w:tcW w:w="8835" w:type="dxa"/>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单位：公顷</w:t>
            </w:r>
          </w:p>
        </w:tc>
      </w:tr>
      <w:tr>
        <w:tblPrEx>
          <w:tblCellMar>
            <w:top w:w="0" w:type="dxa"/>
            <w:left w:w="108" w:type="dxa"/>
            <w:bottom w:w="0" w:type="dxa"/>
            <w:right w:w="108" w:type="dxa"/>
          </w:tblCellMar>
        </w:tblPrEx>
        <w:trPr>
          <w:trHeight w:val="27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行政区</w:t>
            </w:r>
          </w:p>
        </w:tc>
        <w:tc>
          <w:tcPr>
            <w:tcW w:w="3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位置</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（公顷）</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土地用途</w:t>
            </w:r>
          </w:p>
        </w:tc>
      </w:tr>
      <w:tr>
        <w:tblPrEx>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5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双台子区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园区工四路以西、工业一街以北，园区街以南、工五路以东</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6.66749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双台子区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园区工四路以西、工业一街以南、工五路以东、双工街以北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3.66006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双台子区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园区工四路以西、工业一街以北、工五路以东、园区街以南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2.7934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双台子区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园区工四路以西、双工街以南、工五路已东、双绕河以北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6.32757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双台子区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园区中华路以西、华锦集团以南、环城西路东、红旗大街以北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16.17160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双台子区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园区北三街以南、太平河以东、规划北四街以北、规划塑二路以西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19.2053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双台子区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园区规划北四街以南、太平河以东、规划红旗大街以北、规划塑二路以西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14.0152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双台子区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园区北三街以南、太平河以东、规划北四街以北、规划塑一路以西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24.66668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双台子区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园区北三街以南、环城西路、规划北四街以北、规划塑一路东</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16.6000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双台子区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园区规划北四街以南、规划塑一路以西、规划红旗大街以北、规划塑一路以西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13.86667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双台子区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园区规划北四街以南、规划塑一路以东、规划红旗大街以北、环城西路以西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双台子区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渤海路东、胜利街南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2.7484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商业用地（兼容文化设施用地）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双台子区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双台子区良种场经七路</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3.0851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双台子区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双台子区良种场示范场路</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兴隆台区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聚财街南、环城东路西</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兴隆台区</w:t>
            </w:r>
          </w:p>
        </w:tc>
        <w:tc>
          <w:tcPr>
            <w:tcW w:w="3915" w:type="dxa"/>
            <w:tcBorders>
              <w:top w:val="single" w:color="000000"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中心医院南侧，油气街</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公路用地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兴隆台区</w:t>
            </w:r>
          </w:p>
        </w:tc>
        <w:tc>
          <w:tcPr>
            <w:tcW w:w="3915" w:type="dxa"/>
            <w:tcBorders>
              <w:top w:val="single" w:color="000000"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中心医院南侧，医院南路</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兴隆台区</w:t>
            </w:r>
          </w:p>
        </w:tc>
        <w:tc>
          <w:tcPr>
            <w:tcW w:w="39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环城南街北、兴油支路东</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商住</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兴隆台区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友谊街南、辽河路西，精工北侧学校商业用地</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兴隆台区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环城西路西、兴隆台街北</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兴隆台区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东跃街北、油海路西，市疾控中心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医卫慈善用地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兴隆台区</w:t>
            </w:r>
          </w:p>
        </w:tc>
        <w:tc>
          <w:tcPr>
            <w:tcW w:w="3915" w:type="dxa"/>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lang w:val="en-US" w:eastAsia="zh-CN" w:bidi="ar"/>
              </w:rPr>
              <w:t>友谊街北、青年路东、石化路西</w:t>
            </w:r>
            <w:r>
              <w:rPr>
                <w:rStyle w:val="5"/>
                <w:rFonts w:eastAsia="宋体"/>
                <w:lang w:val="en-US" w:eastAsia="zh-CN" w:bidi="ar"/>
              </w:rPr>
              <w:t xml:space="preserve"> </w:t>
            </w:r>
            <w:r>
              <w:rPr>
                <w:rStyle w:val="4"/>
                <w:lang w:val="en-US" w:eastAsia="zh-CN" w:bidi="ar"/>
              </w:rPr>
              <w:t>，书法公园</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公园绿地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兴隆台区</w:t>
            </w:r>
          </w:p>
        </w:tc>
        <w:tc>
          <w:tcPr>
            <w:tcW w:w="391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lang w:val="en-US" w:eastAsia="zh-CN" w:bidi="ar"/>
              </w:rPr>
              <w:t>兴隆台街北、环城西路西，</w:t>
            </w:r>
            <w:r>
              <w:rPr>
                <w:rStyle w:val="5"/>
                <w:rFonts w:eastAsia="宋体"/>
                <w:lang w:val="en-US" w:eastAsia="zh-CN" w:bidi="ar"/>
              </w:rPr>
              <w:t xml:space="preserve"> </w:t>
            </w:r>
            <w:r>
              <w:rPr>
                <w:rStyle w:val="4"/>
                <w:lang w:val="en-US" w:eastAsia="zh-CN" w:bidi="ar"/>
              </w:rPr>
              <w:t>西高速口公安临时检查站</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公共设施</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兴隆台区</w:t>
            </w:r>
          </w:p>
        </w:tc>
        <w:tc>
          <w:tcPr>
            <w:tcW w:w="3915"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lang w:val="en-US" w:eastAsia="zh-CN" w:bidi="ar"/>
              </w:rPr>
              <w:t>鼎翔</w:t>
            </w:r>
            <w:r>
              <w:rPr>
                <w:rStyle w:val="5"/>
                <w:rFonts w:eastAsia="宋体"/>
                <w:lang w:val="en-US" w:eastAsia="zh-CN" w:bidi="ar"/>
              </w:rPr>
              <w:t xml:space="preserve"> </w:t>
            </w:r>
            <w:r>
              <w:rPr>
                <w:rStyle w:val="4"/>
                <w:lang w:val="en-US" w:eastAsia="zh-CN" w:bidi="ar"/>
              </w:rPr>
              <w:t>鼎翔污水处理厂</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公用设施用地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兴隆台区</w:t>
            </w:r>
          </w:p>
        </w:tc>
        <w:tc>
          <w:tcPr>
            <w:tcW w:w="3915"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曙光七分厂污水处理厂</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公用设施用地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兴隆台区</w:t>
            </w:r>
          </w:p>
        </w:tc>
        <w:tc>
          <w:tcPr>
            <w:tcW w:w="3915"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中华路泵站</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公用设施用地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兴隆台区</w:t>
            </w:r>
          </w:p>
        </w:tc>
        <w:tc>
          <w:tcPr>
            <w:tcW w:w="3915"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lang w:val="en-US" w:eastAsia="zh-CN" w:bidi="ar"/>
              </w:rPr>
              <w:t>经二路西、纬二路南，</w:t>
            </w:r>
            <w:r>
              <w:rPr>
                <w:rStyle w:val="5"/>
                <w:rFonts w:eastAsia="宋体"/>
                <w:lang w:val="en-US" w:eastAsia="zh-CN" w:bidi="ar"/>
              </w:rPr>
              <w:t xml:space="preserve"> </w:t>
            </w:r>
            <w:r>
              <w:rPr>
                <w:rStyle w:val="4"/>
                <w:lang w:val="en-US" w:eastAsia="zh-CN" w:bidi="ar"/>
              </w:rPr>
              <w:t>开发区特勤消防站</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公用设施用地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兴隆台区</w:t>
            </w:r>
          </w:p>
        </w:tc>
        <w:tc>
          <w:tcPr>
            <w:tcW w:w="391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lang w:val="en-US" w:eastAsia="zh-CN" w:bidi="ar"/>
              </w:rPr>
              <w:t>站前街北、盘营客运专线西，</w:t>
            </w:r>
            <w:r>
              <w:rPr>
                <w:rStyle w:val="5"/>
                <w:rFonts w:eastAsia="宋体"/>
                <w:lang w:val="en-US" w:eastAsia="zh-CN" w:bidi="ar"/>
              </w:rPr>
              <w:t xml:space="preserve"> </w:t>
            </w:r>
            <w:r>
              <w:rPr>
                <w:rStyle w:val="4"/>
                <w:lang w:val="en-US" w:eastAsia="zh-CN" w:bidi="ar"/>
              </w:rPr>
              <w:t>开发区污水处理厂</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公用设施用地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兴隆台区</w:t>
            </w:r>
          </w:p>
        </w:tc>
        <w:tc>
          <w:tcPr>
            <w:tcW w:w="3915"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lang w:val="en-US" w:eastAsia="zh-CN" w:bidi="ar"/>
              </w:rPr>
              <w:t>友谊街南、辽河路西、</w:t>
            </w:r>
            <w:r>
              <w:rPr>
                <w:rStyle w:val="5"/>
                <w:rFonts w:eastAsia="宋体"/>
                <w:lang w:val="en-US" w:eastAsia="zh-CN" w:bidi="ar"/>
              </w:rPr>
              <w:t xml:space="preserve"> </w:t>
            </w:r>
            <w:r>
              <w:rPr>
                <w:rStyle w:val="4"/>
                <w:lang w:val="en-US" w:eastAsia="zh-CN" w:bidi="ar"/>
              </w:rPr>
              <w:t>精工北，曙光学校</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科教用地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兴隆台区</w:t>
            </w:r>
          </w:p>
        </w:tc>
        <w:tc>
          <w:tcPr>
            <w:tcW w:w="3915"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盛市街</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兴隆台区</w:t>
            </w:r>
          </w:p>
        </w:tc>
        <w:tc>
          <w:tcPr>
            <w:tcW w:w="3915"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经九路</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兴隆台区</w:t>
            </w:r>
          </w:p>
        </w:tc>
        <w:tc>
          <w:tcPr>
            <w:tcW w:w="3915" w:type="dxa"/>
            <w:tcBorders>
              <w:top w:val="single" w:color="000000"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聚财南街</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兴隆台区</w:t>
            </w:r>
          </w:p>
        </w:tc>
        <w:tc>
          <w:tcPr>
            <w:tcW w:w="39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公园街南、林丰路西</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商住</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兴隆台区</w:t>
            </w:r>
          </w:p>
        </w:tc>
        <w:tc>
          <w:tcPr>
            <w:tcW w:w="39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辽河路东、兴隆台街北</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商住</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兴隆台区</w:t>
            </w:r>
          </w:p>
        </w:tc>
        <w:tc>
          <w:tcPr>
            <w:tcW w:w="39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辽河路西、兴隆台街北</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商住</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兴隆台区</w:t>
            </w:r>
          </w:p>
        </w:tc>
        <w:tc>
          <w:tcPr>
            <w:tcW w:w="391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兴油街北、六零河西</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商住</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兴隆台区</w:t>
            </w:r>
          </w:p>
        </w:tc>
        <w:tc>
          <w:tcPr>
            <w:tcW w:w="391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向海大道东、友谊街南</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商住</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兴隆台区</w:t>
            </w:r>
          </w:p>
        </w:tc>
        <w:tc>
          <w:tcPr>
            <w:tcW w:w="391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开发区机动用地需求</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田家街道高家村</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设施服务用地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田家街道高家村</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6.7408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住宅用地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大洼街道</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0.7807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榆树街道郑家社区</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11.5105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平安镇大房村</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1.5473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新开镇八家村</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1.6117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向海大道西、天沐街北</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住宅用地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向海大道西、天沐街北</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0.0353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住宅用地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向海大道西、天沐街北</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0.0955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住宅用地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向海大道西、天沐街北</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0.1027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住宅用地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向海大道西、天沐街北</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2.4785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住宅用地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向海大道西、天沐街北</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0.5263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住宅用地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305公路西、霍田公路北</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0.8336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住宅用地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中华路西、外环路南</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0.6158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新兴镇王家村</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9.3674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王家街道红海滩大街南</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1.9108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田家街道中华路西、清水河南</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10.0024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田家街道中华路西、清水河南</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9.2344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临港经济区</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0.7474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临港经济区</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0.1666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仓储用地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田家街道外环路南</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4.5858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仓储用地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唐家镇向海大道东</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3.3314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唐家镇大南线南</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9.3039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王家街道</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5.0964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住宅用地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王家街道</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公共设施</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田家街道纳帕新城小区东</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3.0988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住宅用地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唐家镇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6.1801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公共设施</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临港经济区</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1.5013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公共设施</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中心路、华山路</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10.2973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公共设施</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新开镇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新兴镇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田家街道锦江路南段</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9.3039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公共设施</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大洼街道双桥街南</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住宅用地</w:t>
            </w:r>
          </w:p>
        </w:tc>
      </w:tr>
      <w:tr>
        <w:tblPrEx>
          <w:shd w:val="clear" w:color="auto" w:fill="auto"/>
          <w:tblCellMar>
            <w:top w:w="0" w:type="dxa"/>
            <w:left w:w="108" w:type="dxa"/>
            <w:bottom w:w="0" w:type="dxa"/>
            <w:right w:w="108" w:type="dxa"/>
          </w:tblCellMar>
        </w:tblPrEx>
        <w:trPr>
          <w:trHeight w:val="60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1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田家街道学府街南、霍田公路北</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住宅用地</w:t>
            </w:r>
          </w:p>
        </w:tc>
      </w:tr>
      <w:tr>
        <w:tblPrEx>
          <w:shd w:val="clear" w:color="auto" w:fill="auto"/>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8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田家街道学府街南、霍田公路北</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住宅用地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田家街道学府街南、霍田公路北</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住宅用地</w:t>
            </w:r>
          </w:p>
        </w:tc>
      </w:tr>
      <w:tr>
        <w:tblPrEx>
          <w:tblCellMar>
            <w:top w:w="0" w:type="dxa"/>
            <w:left w:w="108" w:type="dxa"/>
            <w:bottom w:w="0" w:type="dxa"/>
            <w:right w:w="108" w:type="dxa"/>
          </w:tblCellMar>
        </w:tblPrEx>
        <w:trPr>
          <w:trHeight w:val="60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18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一江路南段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6.1839</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公共设施</w:t>
            </w:r>
          </w:p>
        </w:tc>
      </w:tr>
      <w:tr>
        <w:tblPrEx>
          <w:shd w:val="clear" w:color="auto" w:fill="auto"/>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85"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临港经济区</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9.9656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仓储用地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临港经济区</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3.6163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临港经济区</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0.5137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文旅用地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lang w:val="en-US" w:eastAsia="zh-CN" w:bidi="ar"/>
              </w:rPr>
              <w:t>榆树街道原</w:t>
            </w:r>
            <w:r>
              <w:rPr>
                <w:rStyle w:val="6"/>
                <w:rFonts w:eastAsia="宋体"/>
                <w:lang w:val="en-US" w:eastAsia="zh-CN" w:bidi="ar"/>
              </w:rPr>
              <w:t>305</w:t>
            </w:r>
            <w:r>
              <w:rPr>
                <w:rStyle w:val="7"/>
                <w:lang w:val="en-US" w:eastAsia="zh-CN" w:bidi="ar"/>
              </w:rPr>
              <w:t>路东</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18.691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唐家镇苏五线北</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10.3934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田家街道中华路东</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3.4739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田家街道中华路东</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3.3333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大洼区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田家街道中华路东</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3.0955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秦岭街南、和运路西,净水厂二期</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18.2045</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公用设施用地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滨海大道南、中华南路西</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685.2566</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滨海大道南、中华南路西</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96.1921</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滨海大道南、中华南路西</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14.2975</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滨海大道南、中华南路西</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45.5318</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滨海大道南、中华南路西,兵器项目</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49.0879</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太行街南、兴港路西，公交项目</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3.3529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向海大道西、沙河街西，公交项目</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2.5497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辽东湾新区滨海大道南、奇正污水处理厂西侧,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排海泵站工程</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0.34</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公用设施用地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秦岭街南、恒山路西,化工变电所</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2.7909</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公用设施用地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嵩山路西、华山路北,南屯66千伏变电所</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0.3434</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公用设施用地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峨眉街</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0.99079</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峨眉街东段</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1.502</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闾山街</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0.9833</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麦积街</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3.44126</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滨海大道北、长春路东</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3.333</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滨海大道北、长春路东</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16.1475</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滨海大道北、长春路东</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21.3196</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国营荣兴农场平安河分场</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17.7712</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国营荣兴农场双井子分场</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13.5282</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国营辽滨苇场荣滨分场,荣滨商贸市场</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0.6605</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公用设施用地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国营荣兴农场平安河分场</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6.0985</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国营荣兴农场海滨分场</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0.8693</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麦积街南、闾山路西</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滨海大道北、华锦路东</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滨海路南、中华路东</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133.33</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辽东湾新区</w:t>
            </w:r>
          </w:p>
        </w:tc>
        <w:tc>
          <w:tcPr>
            <w:tcW w:w="39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峨眉街南、闾山路东</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r>
    </w:tbl>
    <w:p>
      <w:pPr>
        <w:keepNext w:val="0"/>
        <w:keepLines w:val="0"/>
        <w:widowControl/>
        <w:suppressLineNumbers w:val="0"/>
        <w:shd w:val="clear" w:fill="FFFFFF"/>
        <w:spacing w:before="0" w:beforeAutospacing="0" w:after="0" w:afterAutospacing="0" w:line="60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164C8"/>
    <w:rsid w:val="06A164C8"/>
    <w:rsid w:val="0C762804"/>
    <w:rsid w:val="17966384"/>
    <w:rsid w:val="1808013A"/>
    <w:rsid w:val="1DAC2BE5"/>
    <w:rsid w:val="334B62CA"/>
    <w:rsid w:val="409117C7"/>
    <w:rsid w:val="476C196F"/>
    <w:rsid w:val="4D5D352A"/>
    <w:rsid w:val="57F61AB8"/>
    <w:rsid w:val="639B2574"/>
    <w:rsid w:val="65FE301B"/>
    <w:rsid w:val="66302417"/>
    <w:rsid w:val="720A2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0"/>
      <w:szCs w:val="20"/>
      <w:u w:val="none"/>
    </w:rPr>
  </w:style>
  <w:style w:type="character" w:customStyle="1" w:styleId="5">
    <w:name w:val="font61"/>
    <w:basedOn w:val="3"/>
    <w:qFormat/>
    <w:uiPriority w:val="0"/>
    <w:rPr>
      <w:rFonts w:ascii="Arial" w:hAnsi="Arial" w:cs="Arial"/>
      <w:color w:val="000000"/>
      <w:sz w:val="20"/>
      <w:szCs w:val="20"/>
      <w:u w:val="none"/>
    </w:rPr>
  </w:style>
  <w:style w:type="character" w:customStyle="1" w:styleId="6">
    <w:name w:val="font81"/>
    <w:basedOn w:val="3"/>
    <w:uiPriority w:val="0"/>
    <w:rPr>
      <w:rFonts w:ascii="Calibri" w:hAnsi="Calibri" w:cs="Calibri"/>
      <w:color w:val="000000"/>
      <w:sz w:val="24"/>
      <w:szCs w:val="24"/>
      <w:u w:val="none"/>
    </w:rPr>
  </w:style>
  <w:style w:type="character" w:customStyle="1" w:styleId="7">
    <w:name w:val="font91"/>
    <w:basedOn w:val="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2021-03-24T01:57:00Z</dcterms:created>
  <dc:creator>user</dc:creator>
  <cp:lastModifiedBy>user</cp:lastModifiedBy>
  <dcterms:modified xsi:type="dcterms:W3CDTF">2021-03-31T01:22:33Z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2D18B80B51DE416BA2C2E7EF918F89ED</vt:lpwstr>
  </property>
</Properties>
</file>