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2021年4月19日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3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2021年4月19日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辽宁佰达佰利科技有限公司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9317BE0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861B68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2021-04-19T06:30:20Z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03E6912C7F9748F3AA430A10E5DFDE6E</vt:lpwstr>
  </property>
</Properties>
</file>