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华文中宋" w:hAnsi="华文中宋" w:eastAsia="华文中宋"/>
          <w:color w:val="auto"/>
          <w:spacing w:val="20"/>
          <w:sz w:val="32"/>
          <w:szCs w:val="32"/>
          <w:highlight w:val="none"/>
        </w:rPr>
      </w:pPr>
      <w:bookmarkStart w:id="9" w:name="_GoBack"/>
      <w:bookmarkEnd w:id="9"/>
    </w:p>
    <w:p>
      <w:pPr>
        <w:spacing w:line="1520" w:lineRule="exact"/>
        <w:jc w:val="center"/>
        <w:rPr>
          <w:rFonts w:hint="eastAsia" w:ascii="方正小标宋简体" w:hAnsi="方正小标宋简体" w:eastAsia="方正小标宋简体" w:cs="方正小标宋简体"/>
          <w:color w:val="auto"/>
          <w:spacing w:val="20"/>
          <w:sz w:val="72"/>
          <w:szCs w:val="72"/>
          <w:highlight w:val="none"/>
        </w:rPr>
      </w:pPr>
      <w:r>
        <w:rPr>
          <w:rFonts w:hint="eastAsia" w:ascii="方正小标宋简体" w:hAnsi="方正小标宋简体" w:eastAsia="方正小标宋简体" w:cs="方正小标宋简体"/>
          <w:color w:val="auto"/>
          <w:spacing w:val="20"/>
          <w:sz w:val="72"/>
          <w:szCs w:val="72"/>
          <w:highlight w:val="none"/>
        </w:rPr>
        <w:t>国</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家</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试</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点</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领</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域</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基</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层</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政</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务</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公</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开</w:t>
      </w:r>
    </w:p>
    <w:p>
      <w:pPr>
        <w:spacing w:line="1520" w:lineRule="exact"/>
        <w:jc w:val="center"/>
        <w:rPr>
          <w:rFonts w:hint="eastAsia" w:ascii="方正小标宋简体" w:hAnsi="方正小标宋简体" w:eastAsia="方正小标宋简体" w:cs="方正小标宋简体"/>
          <w:color w:val="auto"/>
          <w:spacing w:val="20"/>
          <w:sz w:val="72"/>
          <w:szCs w:val="72"/>
          <w:highlight w:val="none"/>
        </w:rPr>
      </w:pPr>
      <w:r>
        <w:rPr>
          <w:rFonts w:hint="eastAsia" w:ascii="方正小标宋简体" w:hAnsi="方正小标宋简体" w:eastAsia="方正小标宋简体" w:cs="方正小标宋简体"/>
          <w:color w:val="auto"/>
          <w:spacing w:val="20"/>
          <w:sz w:val="72"/>
          <w:szCs w:val="72"/>
          <w:highlight w:val="none"/>
        </w:rPr>
        <w:t>标</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准</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目</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录</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汇</w:t>
      </w:r>
      <w:r>
        <w:rPr>
          <w:rFonts w:hint="eastAsia" w:ascii="方正小标宋简体" w:hAnsi="方正小标宋简体" w:eastAsia="方正小标宋简体" w:cs="方正小标宋简体"/>
          <w:color w:val="auto"/>
          <w:spacing w:val="20"/>
          <w:sz w:val="72"/>
          <w:szCs w:val="72"/>
          <w:highlight w:val="none"/>
          <w:lang w:val="en-US" w:eastAsia="zh-CN"/>
        </w:rPr>
        <w:t xml:space="preserve"> </w:t>
      </w:r>
      <w:r>
        <w:rPr>
          <w:rFonts w:hint="eastAsia" w:ascii="方正小标宋简体" w:hAnsi="方正小标宋简体" w:eastAsia="方正小标宋简体" w:cs="方正小标宋简体"/>
          <w:color w:val="auto"/>
          <w:spacing w:val="20"/>
          <w:sz w:val="72"/>
          <w:szCs w:val="72"/>
          <w:highlight w:val="none"/>
        </w:rPr>
        <w:t>编</w:t>
      </w:r>
    </w:p>
    <w:p>
      <w:pPr>
        <w:jc w:val="center"/>
        <w:rPr>
          <w:rFonts w:hint="eastAsia" w:ascii="仿宋_GB2312" w:hAnsi="仿宋_GB2312" w:eastAsia="仿宋_GB2312" w:cs="仿宋_GB2312"/>
          <w:color w:val="auto"/>
          <w:sz w:val="44"/>
          <w:szCs w:val="44"/>
          <w:highlight w:val="none"/>
          <w:lang w:val="en-US" w:eastAsia="zh-CN"/>
        </w:rPr>
      </w:pPr>
    </w:p>
    <w:p>
      <w:pPr>
        <w:jc w:val="center"/>
        <w:rPr>
          <w:rFonts w:hint="eastAsia" w:ascii="仿宋_GB2312" w:hAnsi="仿宋_GB2312" w:eastAsia="仿宋_GB2312" w:cs="仿宋_GB2312"/>
          <w:color w:val="auto"/>
          <w:sz w:val="44"/>
          <w:szCs w:val="44"/>
          <w:highlight w:val="none"/>
          <w:lang w:val="en-US" w:eastAsia="zh-CN"/>
        </w:rPr>
      </w:pPr>
    </w:p>
    <w:p>
      <w:pPr>
        <w:jc w:val="center"/>
        <w:rPr>
          <w:rFonts w:hint="eastAsia" w:ascii="仿宋_GB2312" w:hAnsi="仿宋_GB2312" w:eastAsia="仿宋_GB2312" w:cs="仿宋_GB2312"/>
          <w:color w:val="auto"/>
          <w:sz w:val="44"/>
          <w:szCs w:val="44"/>
          <w:highlight w:val="none"/>
          <w:lang w:val="en-US" w:eastAsia="zh-CN"/>
        </w:rPr>
      </w:pPr>
    </w:p>
    <w:p>
      <w:pPr>
        <w:jc w:val="center"/>
        <w:rPr>
          <w:rFonts w:hint="eastAsia" w:ascii="仿宋_GB2312" w:hAnsi="仿宋_GB2312" w:eastAsia="仿宋_GB2312" w:cs="仿宋_GB2312"/>
          <w:color w:val="auto"/>
          <w:sz w:val="44"/>
          <w:szCs w:val="44"/>
          <w:highlight w:val="none"/>
          <w:lang w:val="en-US" w:eastAsia="zh-CN"/>
        </w:rPr>
      </w:pPr>
    </w:p>
    <w:p>
      <w:pPr>
        <w:jc w:val="center"/>
        <w:rPr>
          <w:rFonts w:hint="eastAsia" w:ascii="仿宋_GB2312" w:hAnsi="仿宋_GB2312" w:eastAsia="仿宋_GB2312" w:cs="仿宋_GB2312"/>
          <w:color w:val="auto"/>
          <w:sz w:val="44"/>
          <w:szCs w:val="44"/>
          <w:highlight w:val="none"/>
          <w:lang w:val="en-US" w:eastAsia="zh-CN"/>
        </w:rPr>
      </w:pPr>
    </w:p>
    <w:p>
      <w:pPr>
        <w:jc w:val="center"/>
        <w:rPr>
          <w:rFonts w:hint="eastAsia" w:ascii="仿宋_GB2312" w:hAnsi="仿宋_GB2312" w:eastAsia="仿宋_GB2312" w:cs="仿宋_GB2312"/>
          <w:color w:val="auto"/>
          <w:sz w:val="44"/>
          <w:szCs w:val="44"/>
          <w:highlight w:val="none"/>
          <w:lang w:val="en-US" w:eastAsia="zh-CN"/>
        </w:rPr>
      </w:pPr>
    </w:p>
    <w:p>
      <w:pPr>
        <w:jc w:val="center"/>
        <w:rPr>
          <w:rFonts w:hint="eastAsia" w:ascii="仿宋_GB2312" w:hAnsi="仿宋_GB2312" w:eastAsia="仿宋_GB2312" w:cs="仿宋_GB2312"/>
          <w:b/>
          <w:bCs/>
          <w:color w:val="auto"/>
          <w:sz w:val="44"/>
          <w:szCs w:val="44"/>
          <w:highlight w:val="none"/>
          <w:lang w:val="en-US" w:eastAsia="zh-CN"/>
        </w:rPr>
      </w:pPr>
      <w:r>
        <w:rPr>
          <w:rFonts w:hint="eastAsia" w:ascii="仿宋_GB2312" w:hAnsi="仿宋_GB2312" w:eastAsia="仿宋_GB2312" w:cs="仿宋_GB2312"/>
          <w:b/>
          <w:bCs/>
          <w:color w:val="auto"/>
          <w:sz w:val="44"/>
          <w:szCs w:val="44"/>
          <w:highlight w:val="none"/>
          <w:lang w:val="en-US" w:eastAsia="zh-CN"/>
        </w:rPr>
        <w:t>双台子区人民政府办公室</w:t>
      </w:r>
    </w:p>
    <w:p>
      <w:pPr>
        <w:jc w:val="center"/>
        <w:rPr>
          <w:rFonts w:hint="eastAsia" w:ascii="仿宋_GB2312" w:hAnsi="仿宋_GB2312" w:eastAsia="仿宋_GB2312" w:cs="仿宋_GB2312"/>
          <w:b/>
          <w:bCs/>
          <w:color w:val="auto"/>
          <w:sz w:val="44"/>
          <w:szCs w:val="44"/>
          <w:highlight w:val="none"/>
          <w:lang w:val="en-US" w:eastAsia="zh-CN"/>
        </w:rPr>
      </w:pPr>
    </w:p>
    <w:p>
      <w:pPr>
        <w:pStyle w:val="6"/>
        <w:spacing w:line="660" w:lineRule="exact"/>
        <w:rPr>
          <w:rFonts w:hint="eastAsia" w:ascii="黑体" w:hAnsi="方正小标宋_GBK" w:eastAsia="黑体"/>
          <w:color w:val="auto"/>
          <w:sz w:val="30"/>
          <w:szCs w:val="30"/>
          <w:highlight w:val="none"/>
        </w:rPr>
        <w:sectPr>
          <w:footerReference r:id="rId3" w:type="default"/>
          <w:pgSz w:w="16840" w:h="11910" w:orient="landscape"/>
          <w:pgMar w:top="1100" w:right="1140" w:bottom="740" w:left="960" w:header="720" w:footer="550" w:gutter="0"/>
          <w:pgBorders>
            <w:top w:val="none" w:sz="0" w:space="0"/>
            <w:left w:val="none" w:sz="0" w:space="0"/>
            <w:bottom w:val="none" w:sz="0" w:space="0"/>
            <w:right w:val="none" w:sz="0" w:space="0"/>
          </w:pgBorders>
          <w:pgNumType w:fmt="numberInDash" w:start="3"/>
          <w:cols w:equalWidth="0" w:num="1">
            <w:col w:w="14740"/>
          </w:cols>
        </w:sectPr>
      </w:pPr>
    </w:p>
    <w:p>
      <w:pPr>
        <w:pStyle w:val="6"/>
        <w:spacing w:line="660" w:lineRule="exact"/>
        <w:rPr>
          <w:rFonts w:hint="eastAsia" w:ascii="黑体" w:hAnsi="Times New Roman" w:eastAsia="黑体"/>
          <w:color w:val="auto"/>
          <w:sz w:val="30"/>
          <w:szCs w:val="30"/>
          <w:highlight w:val="none"/>
          <w:u w:val="none"/>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"_Toc24724704"</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（一）</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重大建设项目领域基层政务公开标准目录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lang w:val="en-US" w:eastAsia="zh-CN"/>
        </w:rPr>
        <w:t>1</w:t>
      </w:r>
      <w:r>
        <w:rPr>
          <w:rFonts w:hint="eastAsia" w:ascii="黑体" w:eastAsia="黑体"/>
          <w:color w:val="auto"/>
          <w:sz w:val="30"/>
          <w:szCs w:val="30"/>
          <w:highlight w:val="none"/>
          <w:u w:val="none"/>
        </w:rPr>
        <w:fldChar w:fldCharType="end"/>
      </w:r>
    </w:p>
    <w:p>
      <w:pPr>
        <w:pStyle w:val="6"/>
        <w:spacing w:line="660" w:lineRule="exact"/>
        <w:rPr>
          <w:rFonts w:hint="eastAsia"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"_Toc24724705"</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0"/>
          <w:rFonts w:hint="eastAsia" w:ascii="黑体" w:hAnsi="方正小标宋_GBK" w:eastAsia="黑体"/>
          <w:color w:val="auto"/>
          <w:sz w:val="30"/>
          <w:szCs w:val="30"/>
          <w:highlight w:val="none"/>
          <w:u w:val="none"/>
        </w:rPr>
        <w:t>（二）</w:t>
      </w:r>
      <w:r>
        <w:rPr>
          <w:rStyle w:val="10"/>
          <w:rFonts w:hint="eastAsia" w:ascii="黑体" w:hAnsi="方正小标宋_GBK" w:eastAsia="黑体"/>
          <w:color w:val="auto"/>
          <w:sz w:val="30"/>
          <w:szCs w:val="30"/>
          <w:highlight w:val="none"/>
          <w:u w:val="none"/>
          <w:lang w:val="en-US" w:eastAsia="zh-CN"/>
        </w:rPr>
        <w:t>双台子区</w:t>
      </w:r>
      <w:r>
        <w:rPr>
          <w:rStyle w:val="10"/>
          <w:rFonts w:hint="eastAsia" w:ascii="黑体" w:hAnsi="方正小标宋_GBK" w:eastAsia="黑体"/>
          <w:color w:val="auto"/>
          <w:sz w:val="30"/>
          <w:szCs w:val="30"/>
          <w:highlight w:val="none"/>
          <w:u w:val="none"/>
        </w:rPr>
        <w:t>公共资源交易领域基层政务公开标准目录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lang w:val="en-US" w:eastAsia="zh-CN"/>
        </w:rPr>
        <w:t>8</w:t>
      </w:r>
      <w:r>
        <w:rPr>
          <w:rFonts w:hint="eastAsia" w:ascii="黑体" w:eastAsia="黑体"/>
          <w:color w:val="auto"/>
          <w:sz w:val="30"/>
          <w:szCs w:val="30"/>
          <w:highlight w:val="none"/>
          <w:u w:val="none"/>
        </w:rPr>
        <w:fldChar w:fldCharType="end"/>
      </w:r>
    </w:p>
    <w:p>
      <w:pPr>
        <w:pStyle w:val="6"/>
        <w:spacing w:line="660" w:lineRule="exact"/>
        <w:rPr>
          <w:rFonts w:hint="eastAsia"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"_Toc24724706"</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0"/>
          <w:rFonts w:hint="eastAsia" w:ascii="黑体" w:hAnsi="方正小标宋_GBK" w:eastAsia="黑体"/>
          <w:color w:val="auto"/>
          <w:sz w:val="30"/>
          <w:szCs w:val="30"/>
          <w:highlight w:val="none"/>
          <w:u w:val="none"/>
        </w:rPr>
        <w:t>（三）</w:t>
      </w:r>
      <w:r>
        <w:rPr>
          <w:rStyle w:val="10"/>
          <w:rFonts w:hint="eastAsia" w:ascii="黑体" w:hAnsi="方正小标宋_GBK" w:eastAsia="黑体"/>
          <w:color w:val="auto"/>
          <w:sz w:val="30"/>
          <w:szCs w:val="30"/>
          <w:highlight w:val="none"/>
          <w:u w:val="none"/>
          <w:lang w:val="en-US" w:eastAsia="zh-CN"/>
        </w:rPr>
        <w:t>双台子区</w:t>
      </w:r>
      <w:r>
        <w:rPr>
          <w:rStyle w:val="10"/>
          <w:rFonts w:hint="eastAsia" w:ascii="黑体" w:hAnsi="方正小标宋_GBK" w:eastAsia="黑体"/>
          <w:color w:val="auto"/>
          <w:sz w:val="30"/>
          <w:szCs w:val="30"/>
          <w:highlight w:val="none"/>
          <w:u w:val="none"/>
        </w:rPr>
        <w:t>义务教育领域基层政务公开标准目录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lang w:val="en-US" w:eastAsia="zh-CN"/>
        </w:rPr>
        <w:t>1</w:t>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9</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"_Toc24724707"</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（四）</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户籍管理领域基层政务公开标准目录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26</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"_Toc24724708"</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（五）</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社会救助领域基层政务公开标准目录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28</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"_Toc24724709"</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（六）</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养老服务领域基层政务公开标准目录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30</w:t>
      </w:r>
    </w:p>
    <w:p>
      <w:pPr>
        <w:pStyle w:val="6"/>
        <w:spacing w:line="660" w:lineRule="exact"/>
        <w:rPr>
          <w:rFonts w:hint="eastAsia"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"_Toc24724710"</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（七）</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公共法律服务领域基层政务公开标准目录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lang w:val="en-US" w:eastAsia="zh-CN"/>
        </w:rPr>
        <w:t>3</w:t>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2</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"_Toc24724711"</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（八）</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财政预决算领域基层政务公开标准目录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34</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"_Toc24724712"</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0"/>
          <w:rFonts w:hint="eastAsia" w:ascii="黑体" w:hAnsi="方正小标宋_GBK" w:eastAsia="黑体"/>
          <w:color w:val="auto"/>
          <w:sz w:val="30"/>
          <w:szCs w:val="30"/>
          <w:highlight w:val="none"/>
          <w:u w:val="none"/>
        </w:rPr>
        <w:t>（九）</w:t>
      </w:r>
      <w:r>
        <w:rPr>
          <w:rStyle w:val="10"/>
          <w:rFonts w:hint="eastAsia" w:ascii="黑体" w:hAnsi="方正小标宋_GBK" w:eastAsia="黑体"/>
          <w:color w:val="auto"/>
          <w:sz w:val="30"/>
          <w:szCs w:val="30"/>
          <w:highlight w:val="none"/>
          <w:u w:val="none"/>
          <w:lang w:val="en-US" w:eastAsia="zh-CN"/>
        </w:rPr>
        <w:t>双台子区</w:t>
      </w:r>
      <w:r>
        <w:rPr>
          <w:rStyle w:val="10"/>
          <w:rFonts w:hint="eastAsia" w:ascii="黑体" w:hAnsi="方正小标宋_GBK" w:eastAsia="黑体"/>
          <w:color w:val="auto"/>
          <w:sz w:val="30"/>
          <w:szCs w:val="30"/>
          <w:highlight w:val="none"/>
          <w:u w:val="none"/>
        </w:rPr>
        <w:t>就业领域基层政务公开标准目录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38</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"_Toc24724713"</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eastAsia="黑体"/>
          <w:color w:val="auto"/>
          <w:sz w:val="30"/>
          <w:szCs w:val="30"/>
          <w:highlight w:val="none"/>
          <w:u w:val="none"/>
        </w:rPr>
        <w:t>（十）</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eastAsia="黑体"/>
          <w:color w:val="auto"/>
          <w:sz w:val="30"/>
          <w:szCs w:val="30"/>
          <w:highlight w:val="none"/>
          <w:u w:val="none"/>
        </w:rPr>
        <w:t>社会保险领域基层政务公开标准目录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46</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"_Toc24724714"</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（十一）</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城乡规划领域基层政务公开标准目录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70</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"_Toc24724715"</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（十二）</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农村集体土地征收基层政务公开标准目录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73</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"_Toc24724716"</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（十三）</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生态环境领域基层政务公开标准目录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79</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"_Toc24724717"</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（十四）</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保障性住房领域基层政务公开标准目录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83</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"_Toc24724718"</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（十五）</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国有土地上房屋征收与补偿领域基层政务公开标准目录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93</w:t>
      </w:r>
    </w:p>
    <w:p>
      <w:pPr>
        <w:pStyle w:val="6"/>
        <w:spacing w:line="660" w:lineRule="exact"/>
        <w:rPr>
          <w:rFonts w:hint="eastAsia" w:ascii="黑体" w:eastAsia="黑体"/>
          <w:color w:val="auto"/>
          <w:sz w:val="30"/>
          <w:szCs w:val="30"/>
          <w:highlight w:val="none"/>
          <w:u w:val="none"/>
        </w:rPr>
        <w:sectPr>
          <w:footerReference r:id="rId4" w:type="default"/>
          <w:pgSz w:w="16840" w:h="11910" w:orient="landscape"/>
          <w:pgMar w:top="1100" w:right="1140" w:bottom="740" w:left="960" w:header="720" w:footer="550" w:gutter="0"/>
          <w:pgBorders>
            <w:top w:val="none" w:sz="0" w:space="0"/>
            <w:left w:val="none" w:sz="0" w:space="0"/>
            <w:bottom w:val="none" w:sz="0" w:space="0"/>
            <w:right w:val="none" w:sz="0" w:space="0"/>
          </w:pgBorders>
          <w:pgNumType w:fmt="numberInDash" w:start="1"/>
          <w:cols w:equalWidth="0" w:num="1">
            <w:col w:w="14740"/>
          </w:cols>
        </w:sectPr>
      </w:pP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"_Toc24724719"</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（十六）</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农村危房改造领域基层政务公开标准目录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96</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"_Toc24724720"</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（十七）</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市政服务领域基层政务公开标准目录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102</w:t>
      </w:r>
    </w:p>
    <w:p>
      <w:pPr>
        <w:pStyle w:val="6"/>
        <w:spacing w:line="660" w:lineRule="exact"/>
        <w:rPr>
          <w:rFonts w:hint="eastAsia" w:ascii="黑体" w:hAnsi="Times New Roman" w:eastAsia="黑体"/>
          <w:color w:val="auto"/>
          <w:sz w:val="30"/>
          <w:szCs w:val="30"/>
          <w:highlight w:val="none"/>
          <w:u w:val="none"/>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"_Toc24724721"</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（十八）</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城市综合执法领域基层政务公开标准目录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lang w:val="en-US" w:eastAsia="zh-CN"/>
        </w:rPr>
        <w:t>单独成册</w:t>
      </w:r>
      <w:r>
        <w:rPr>
          <w:rFonts w:hint="eastAsia" w:ascii="黑体" w:eastAsia="黑体"/>
          <w:color w:val="auto"/>
          <w:sz w:val="30"/>
          <w:szCs w:val="30"/>
          <w:highlight w:val="none"/>
          <w:u w:val="none"/>
        </w:rPr>
        <w:fldChar w:fldCharType="end"/>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"_Toc24724722"</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（十九）</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涉农补贴领域基层政务公开标准目录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105</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"_Toc24724723"</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（二十）</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公共文化服务领域基层政务公开标准目录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lang w:val="en-US" w:eastAsia="zh-CN"/>
        </w:rPr>
        <w:t>1</w:t>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11</w:t>
      </w:r>
    </w:p>
    <w:p>
      <w:pPr>
        <w:pStyle w:val="6"/>
        <w:spacing w:line="660" w:lineRule="exact"/>
        <w:rPr>
          <w:rFonts w:hint="eastAsia" w:ascii="黑体" w:hAnsi="Times New Roman" w:eastAsia="黑体"/>
          <w:color w:val="auto"/>
          <w:sz w:val="30"/>
          <w:szCs w:val="30"/>
          <w:highlight w:val="none"/>
          <w:u w:val="none"/>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"_Toc24724724"</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（二十一）</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卫生健康领域基层政务公开标准目录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lang w:val="en-US" w:eastAsia="zh-CN"/>
        </w:rPr>
        <w:t>单独成册</w:t>
      </w:r>
      <w:r>
        <w:rPr>
          <w:rFonts w:hint="eastAsia" w:ascii="黑体" w:eastAsia="黑体"/>
          <w:color w:val="auto"/>
          <w:sz w:val="30"/>
          <w:szCs w:val="30"/>
          <w:highlight w:val="none"/>
          <w:u w:val="none"/>
        </w:rPr>
        <w:fldChar w:fldCharType="end"/>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"_Toc24724725"</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（二十二）</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安全生产领域基层政务公开标准目录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208</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"_Toc24724726"</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（二十三）</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救灾领域基层政务公开标准目录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217</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"_Toc24724727"</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（二十四）</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食品药品监管领域基层政务公开标准目录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223</w:t>
      </w:r>
    </w:p>
    <w:p>
      <w:pPr>
        <w:pStyle w:val="6"/>
        <w:spacing w:line="660" w:lineRule="exact"/>
        <w:rPr>
          <w:rFonts w:hint="default" w:ascii="黑体" w:hAnsi="Times New Roman" w:eastAsia="黑体"/>
          <w:color w:val="auto"/>
          <w:sz w:val="30"/>
          <w:szCs w:val="30"/>
          <w:highlight w:val="none"/>
          <w:u w:val="none"/>
          <w:lang w:val="en-US" w:eastAsia="zh-CN"/>
        </w:rPr>
      </w:pPr>
      <w:r>
        <w:rPr>
          <w:rFonts w:hint="eastAsia" w:ascii="黑体" w:eastAsia="黑体"/>
          <w:color w:val="auto"/>
          <w:sz w:val="30"/>
          <w:szCs w:val="30"/>
          <w:highlight w:val="none"/>
          <w:u w:val="none"/>
        </w:rPr>
        <w:fldChar w:fldCharType="begin"/>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instrText xml:space="preserve">HYPERLINK \l "_Toc24724728"</w:instrText>
      </w:r>
      <w:r>
        <w:rPr>
          <w:rStyle w:val="11"/>
          <w:rFonts w:hint="eastAsia" w:ascii="黑体" w:eastAsia="黑体"/>
          <w:color w:val="auto"/>
          <w:sz w:val="30"/>
          <w:szCs w:val="30"/>
          <w:highlight w:val="none"/>
          <w:u w:val="none"/>
        </w:rPr>
        <w:instrText xml:space="preserve"> </w:instrText>
      </w:r>
      <w:r>
        <w:rPr>
          <w:rFonts w:hint="eastAsia" w:ascii="黑体" w:eastAsia="黑体"/>
          <w:color w:val="auto"/>
          <w:sz w:val="30"/>
          <w:szCs w:val="30"/>
          <w:highlight w:val="none"/>
          <w:u w:val="none"/>
        </w:rPr>
        <w:fldChar w:fldCharType="separate"/>
      </w:r>
      <w:r>
        <w:rPr>
          <w:rStyle w:val="11"/>
          <w:rFonts w:hint="eastAsia" w:ascii="黑体" w:hAnsi="方正小标宋_GBK" w:eastAsia="黑体"/>
          <w:color w:val="auto"/>
          <w:sz w:val="30"/>
          <w:szCs w:val="30"/>
          <w:highlight w:val="none"/>
          <w:u w:val="none"/>
        </w:rPr>
        <w:t>（二十五）</w:t>
      </w:r>
      <w:r>
        <w:rPr>
          <w:rStyle w:val="11"/>
          <w:rFonts w:hint="eastAsia" w:ascii="黑体" w:hAnsi="方正小标宋_GBK" w:eastAsia="黑体"/>
          <w:color w:val="auto"/>
          <w:sz w:val="30"/>
          <w:szCs w:val="30"/>
          <w:highlight w:val="none"/>
          <w:u w:val="none"/>
          <w:lang w:val="en-US" w:eastAsia="zh-CN"/>
        </w:rPr>
        <w:t>双台子区</w:t>
      </w:r>
      <w:r>
        <w:rPr>
          <w:rStyle w:val="11"/>
          <w:rFonts w:hint="eastAsia" w:ascii="黑体" w:hAnsi="方正小标宋_GBK" w:eastAsia="黑体"/>
          <w:color w:val="auto"/>
          <w:sz w:val="30"/>
          <w:szCs w:val="30"/>
          <w:highlight w:val="none"/>
          <w:u w:val="none"/>
        </w:rPr>
        <w:t>税收管理领域基层政务公开标准目录</w:t>
      </w:r>
      <w:r>
        <w:rPr>
          <w:rFonts w:hint="eastAsia" w:ascii="黑体" w:eastAsia="黑体"/>
          <w:color w:val="auto"/>
          <w:sz w:val="30"/>
          <w:szCs w:val="30"/>
          <w:highlight w:val="none"/>
          <w:u w:val="none"/>
        </w:rPr>
        <w:tab/>
      </w:r>
      <w:r>
        <w:rPr>
          <w:rFonts w:hint="eastAsia" w:ascii="黑体" w:eastAsia="黑体"/>
          <w:color w:val="auto"/>
          <w:sz w:val="30"/>
          <w:szCs w:val="30"/>
          <w:highlight w:val="none"/>
          <w:u w:val="none"/>
          <w:lang w:val="en-US" w:eastAsia="zh-CN"/>
        </w:rPr>
        <w:t>2</w:t>
      </w:r>
      <w:r>
        <w:rPr>
          <w:rFonts w:hint="eastAsia" w:ascii="黑体" w:eastAsia="黑体"/>
          <w:color w:val="auto"/>
          <w:sz w:val="30"/>
          <w:szCs w:val="30"/>
          <w:highlight w:val="none"/>
          <w:u w:val="none"/>
        </w:rPr>
        <w:fldChar w:fldCharType="end"/>
      </w:r>
      <w:r>
        <w:rPr>
          <w:rFonts w:hint="eastAsia" w:ascii="黑体" w:eastAsia="黑体"/>
          <w:color w:val="auto"/>
          <w:sz w:val="30"/>
          <w:szCs w:val="30"/>
          <w:highlight w:val="none"/>
          <w:u w:val="none"/>
          <w:lang w:val="en-US" w:eastAsia="zh-CN"/>
        </w:rPr>
        <w:t>29</w:t>
      </w:r>
    </w:p>
    <w:p>
      <w:pPr>
        <w:rPr>
          <w:rFonts w:hint="eastAsia" w:ascii="黑体" w:hAnsi="方正小标宋_GBK" w:eastAsia="黑体"/>
          <w:color w:val="auto"/>
          <w:sz w:val="30"/>
          <w:szCs w:val="30"/>
          <w:highlight w:val="none"/>
          <w:lang w:eastAsia="zh-CN"/>
        </w:rPr>
      </w:pPr>
    </w:p>
    <w:p>
      <w:pPr>
        <w:numPr>
          <w:ilvl w:val="0"/>
          <w:numId w:val="0"/>
        </w:numPr>
        <w:jc w:val="center"/>
        <w:rPr>
          <w:rFonts w:hint="eastAsia" w:ascii="黑体" w:hAnsi="方正小标宋_GBK" w:eastAsia="黑体"/>
          <w:color w:val="auto"/>
          <w:sz w:val="30"/>
          <w:szCs w:val="30"/>
          <w:highlight w:val="none"/>
        </w:rPr>
      </w:pPr>
    </w:p>
    <w:p>
      <w:pPr>
        <w:numPr>
          <w:ilvl w:val="0"/>
          <w:numId w:val="0"/>
        </w:numPr>
        <w:jc w:val="center"/>
        <w:rPr>
          <w:rFonts w:hint="eastAsia" w:ascii="黑体" w:hAnsi="方正小标宋_GBK" w:eastAsia="黑体"/>
          <w:color w:val="auto"/>
          <w:sz w:val="30"/>
          <w:szCs w:val="30"/>
          <w:highlight w:val="none"/>
        </w:rPr>
      </w:pPr>
    </w:p>
    <w:p>
      <w:pPr>
        <w:numPr>
          <w:ilvl w:val="0"/>
          <w:numId w:val="0"/>
        </w:numPr>
        <w:jc w:val="center"/>
        <w:rPr>
          <w:rFonts w:hint="eastAsia" w:ascii="黑体" w:hAnsi="方正小标宋_GBK" w:eastAsia="黑体"/>
          <w:color w:val="auto"/>
          <w:sz w:val="30"/>
          <w:szCs w:val="30"/>
          <w:highlight w:val="none"/>
        </w:rPr>
      </w:pPr>
    </w:p>
    <w:p>
      <w:pPr>
        <w:numPr>
          <w:ilvl w:val="0"/>
          <w:numId w:val="0"/>
        </w:numPr>
        <w:jc w:val="center"/>
        <w:rPr>
          <w:rFonts w:hint="eastAsia" w:ascii="黑体" w:hAnsi="方正小标宋_GBK" w:eastAsia="黑体"/>
          <w:color w:val="auto"/>
          <w:sz w:val="30"/>
          <w:szCs w:val="30"/>
          <w:highlight w:val="none"/>
        </w:rPr>
      </w:pPr>
    </w:p>
    <w:p>
      <w:pPr>
        <w:numPr>
          <w:ilvl w:val="0"/>
          <w:numId w:val="0"/>
        </w:numPr>
        <w:jc w:val="center"/>
        <w:rPr>
          <w:rFonts w:hint="eastAsia" w:ascii="黑体" w:hAnsi="方正小标宋_GBK" w:eastAsia="黑体"/>
          <w:color w:val="auto"/>
          <w:sz w:val="30"/>
          <w:szCs w:val="30"/>
          <w:highlight w:val="none"/>
        </w:rPr>
      </w:pPr>
    </w:p>
    <w:p>
      <w:pPr>
        <w:numPr>
          <w:ilvl w:val="0"/>
          <w:numId w:val="0"/>
        </w:numPr>
        <w:jc w:val="center"/>
        <w:rPr>
          <w:rFonts w:hint="eastAsia" w:ascii="黑体" w:hAnsi="方正小标宋_GBK" w:eastAsia="黑体"/>
          <w:color w:val="auto"/>
          <w:sz w:val="30"/>
          <w:szCs w:val="30"/>
          <w:highlight w:val="none"/>
        </w:rPr>
      </w:pPr>
    </w:p>
    <w:p>
      <w:pPr>
        <w:numPr>
          <w:ilvl w:val="0"/>
          <w:numId w:val="0"/>
        </w:numPr>
        <w:jc w:val="both"/>
        <w:rPr>
          <w:rFonts w:hint="eastAsia" w:ascii="黑体" w:hAnsi="方正小标宋_GBK" w:eastAsia="黑体"/>
          <w:color w:val="auto"/>
          <w:sz w:val="30"/>
          <w:szCs w:val="30"/>
          <w:highlight w:val="none"/>
        </w:rPr>
      </w:pPr>
    </w:p>
    <w:p>
      <w:pPr>
        <w:numPr>
          <w:ilvl w:val="0"/>
          <w:numId w:val="0"/>
        </w:numPr>
        <w:jc w:val="center"/>
        <w:rPr>
          <w:rFonts w:hint="eastAsia" w:ascii="黑体" w:hAnsi="黑体" w:eastAsia="黑体" w:cs="黑体"/>
          <w:i w:val="0"/>
          <w:color w:val="auto"/>
          <w:kern w:val="0"/>
          <w:sz w:val="36"/>
          <w:szCs w:val="36"/>
          <w:highlight w:val="none"/>
          <w:u w:val="none"/>
          <w:lang w:val="en-US" w:eastAsia="zh-CN" w:bidi="ar"/>
        </w:rPr>
        <w:sectPr>
          <w:footerReference r:id="rId5" w:type="default"/>
          <w:pgSz w:w="16840" w:h="11910" w:orient="landscape"/>
          <w:pgMar w:top="1100" w:right="1140" w:bottom="740" w:left="960" w:header="720" w:footer="550" w:gutter="0"/>
          <w:pgBorders>
            <w:top w:val="none" w:sz="0" w:space="0"/>
            <w:left w:val="none" w:sz="0" w:space="0"/>
            <w:bottom w:val="none" w:sz="0" w:space="0"/>
            <w:right w:val="none" w:sz="0" w:space="0"/>
          </w:pgBorders>
          <w:pgNumType w:fmt="numberInDash" w:start="1"/>
          <w:cols w:equalWidth="0" w:num="1">
            <w:col w:w="14740"/>
          </w:cols>
        </w:sectPr>
      </w:pPr>
    </w:p>
    <w:p>
      <w:pPr>
        <w:numPr>
          <w:ilvl w:val="0"/>
          <w:numId w:val="0"/>
        </w:numPr>
        <w:jc w:val="center"/>
        <w:rPr>
          <w:rFonts w:hint="eastAsia" w:ascii="黑体" w:hAnsi="黑体" w:eastAsia="黑体" w:cs="黑体"/>
          <w:i w:val="0"/>
          <w:color w:val="auto"/>
          <w:kern w:val="0"/>
          <w:sz w:val="36"/>
          <w:szCs w:val="36"/>
          <w:highlight w:val="none"/>
          <w:u w:val="none"/>
          <w:lang w:val="en-US" w:eastAsia="zh-CN" w:bidi="ar"/>
        </w:rPr>
      </w:pPr>
      <w:r>
        <w:rPr>
          <w:rFonts w:hint="eastAsia" w:ascii="黑体" w:hAnsi="黑体" w:eastAsia="黑体" w:cs="黑体"/>
          <w:i w:val="0"/>
          <w:color w:val="auto"/>
          <w:kern w:val="0"/>
          <w:sz w:val="36"/>
          <w:szCs w:val="36"/>
          <w:highlight w:val="none"/>
          <w:u w:val="none"/>
          <w:lang w:val="en-US" w:eastAsia="zh-CN" w:bidi="ar"/>
        </w:rPr>
        <w:t>双台子区重大建设项目领域基层政务公开标准目录</w:t>
      </w:r>
    </w:p>
    <w:tbl>
      <w:tblPr>
        <w:tblStyle w:val="7"/>
        <w:tblW w:w="14990" w:type="dxa"/>
        <w:tblInd w:w="-329" w:type="dxa"/>
        <w:tblLayout w:type="autofit"/>
        <w:tblCellMar>
          <w:top w:w="0" w:type="dxa"/>
          <w:left w:w="0" w:type="dxa"/>
          <w:bottom w:w="0" w:type="dxa"/>
          <w:right w:w="0" w:type="dxa"/>
        </w:tblCellMar>
      </w:tblPr>
      <w:tblGrid>
        <w:gridCol w:w="630"/>
        <w:gridCol w:w="581"/>
        <w:gridCol w:w="696"/>
        <w:gridCol w:w="2123"/>
        <w:gridCol w:w="2891"/>
        <w:gridCol w:w="1418"/>
        <w:gridCol w:w="618"/>
        <w:gridCol w:w="3521"/>
        <w:gridCol w:w="606"/>
        <w:gridCol w:w="618"/>
        <w:gridCol w:w="631"/>
        <w:gridCol w:w="657"/>
      </w:tblGrid>
      <w:tr>
        <w:tblPrEx>
          <w:tblCellMar>
            <w:top w:w="0" w:type="dxa"/>
            <w:left w:w="0" w:type="dxa"/>
            <w:bottom w:w="0" w:type="dxa"/>
            <w:right w:w="0" w:type="dxa"/>
          </w:tblCellMar>
        </w:tblPrEx>
        <w:trPr>
          <w:trHeight w:val="360" w:hRule="atLeast"/>
          <w:tblHeader/>
        </w:trPr>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序号</w:t>
            </w:r>
          </w:p>
        </w:tc>
        <w:tc>
          <w:tcPr>
            <w:tcW w:w="127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w:t>
            </w:r>
          </w:p>
        </w:tc>
        <w:tc>
          <w:tcPr>
            <w:tcW w:w="21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公开内容（要素）</w:t>
            </w:r>
          </w:p>
        </w:tc>
        <w:tc>
          <w:tcPr>
            <w:tcW w:w="28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公开依据</w:t>
            </w:r>
          </w:p>
        </w:tc>
        <w:tc>
          <w:tcPr>
            <w:tcW w:w="14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公开时限</w:t>
            </w:r>
          </w:p>
        </w:tc>
        <w:tc>
          <w:tcPr>
            <w:tcW w:w="6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公开主体</w:t>
            </w:r>
          </w:p>
        </w:tc>
        <w:tc>
          <w:tcPr>
            <w:tcW w:w="35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公开渠道和载体</w:t>
            </w:r>
          </w:p>
        </w:tc>
        <w:tc>
          <w:tcPr>
            <w:tcW w:w="122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公开对象</w:t>
            </w:r>
          </w:p>
        </w:tc>
        <w:tc>
          <w:tcPr>
            <w:tcW w:w="128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公开方式</w:t>
            </w:r>
          </w:p>
        </w:tc>
      </w:tr>
      <w:tr>
        <w:tblPrEx>
          <w:tblCellMar>
            <w:top w:w="0" w:type="dxa"/>
            <w:left w:w="0" w:type="dxa"/>
            <w:bottom w:w="0" w:type="dxa"/>
            <w:right w:w="0" w:type="dxa"/>
          </w:tblCellMar>
        </w:tblPrEx>
        <w:trPr>
          <w:trHeight w:val="645" w:hRule="atLeast"/>
          <w:tblHeader/>
        </w:trPr>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一级事项</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二级事项</w:t>
            </w:r>
          </w:p>
        </w:tc>
        <w:tc>
          <w:tcPr>
            <w:tcW w:w="21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8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4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35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全社会</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特定群众</w:t>
            </w: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主动</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依申请</w:t>
            </w: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w:t>
            </w:r>
          </w:p>
        </w:tc>
        <w:tc>
          <w:tcPr>
            <w:tcW w:w="5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批准服务信息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办事指南</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申报材料清单、批准流程、办理时限、受理机构联系方式、申报要求等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Style w:val="17"/>
                <w:rFonts w:hint="eastAsia" w:ascii="仿宋_GB2312" w:hAnsi="仿宋_GB2312" w:eastAsia="仿宋_GB2312" w:cs="仿宋_GB2312"/>
                <w:color w:val="auto"/>
                <w:sz w:val="18"/>
                <w:szCs w:val="18"/>
                <w:highlight w:val="none"/>
                <w:lang w:val="en-US" w:eastAsia="zh-CN" w:bidi="ar"/>
              </w:rPr>
              <w:t>《关于全面推进政务公开工作意见》（中办发</w:t>
            </w:r>
            <w:r>
              <w:rPr>
                <w:rStyle w:val="18"/>
                <w:rFonts w:hint="eastAsia" w:ascii="仿宋_GB2312" w:hAnsi="仿宋_GB2312" w:eastAsia="仿宋_GB2312" w:cs="仿宋_GB2312"/>
                <w:color w:val="auto"/>
                <w:sz w:val="18"/>
                <w:szCs w:val="18"/>
                <w:highlight w:val="none"/>
                <w:lang w:val="en-US" w:eastAsia="zh-CN" w:bidi="ar"/>
              </w:rPr>
              <w:t>〔</w:t>
            </w:r>
            <w:r>
              <w:rPr>
                <w:rStyle w:val="17"/>
                <w:rFonts w:hint="eastAsia" w:ascii="仿宋_GB2312" w:hAnsi="仿宋_GB2312" w:eastAsia="仿宋_GB2312" w:cs="仿宋_GB2312"/>
                <w:color w:val="auto"/>
                <w:sz w:val="18"/>
                <w:szCs w:val="18"/>
                <w:highlight w:val="none"/>
                <w:lang w:val="en-US" w:eastAsia="zh-CN" w:bidi="ar"/>
              </w:rPr>
              <w:t>2016</w:t>
            </w:r>
            <w:r>
              <w:rPr>
                <w:rStyle w:val="18"/>
                <w:rFonts w:hint="eastAsia" w:ascii="仿宋_GB2312" w:hAnsi="仿宋_GB2312" w:eastAsia="仿宋_GB2312" w:cs="仿宋_GB2312"/>
                <w:color w:val="auto"/>
                <w:sz w:val="18"/>
                <w:szCs w:val="18"/>
                <w:highlight w:val="none"/>
                <w:lang w:val="en-US" w:eastAsia="zh-CN" w:bidi="ar"/>
              </w:rPr>
              <w:t>〕</w:t>
            </w:r>
            <w:r>
              <w:rPr>
                <w:rStyle w:val="17"/>
                <w:rFonts w:hint="eastAsia" w:ascii="仿宋_GB2312" w:hAnsi="仿宋_GB2312" w:eastAsia="仿宋_GB2312" w:cs="仿宋_GB2312"/>
                <w:color w:val="auto"/>
                <w:sz w:val="18"/>
                <w:szCs w:val="18"/>
                <w:highlight w:val="none"/>
                <w:lang w:val="en-US" w:eastAsia="zh-CN" w:bidi="ar"/>
              </w:rPr>
              <w:t>8号）《关于推进重大建设项目批准和实施领域政府信息公开的意见》（国办发〔2017〕94号）</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实时公开</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政府职能涉及部门</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9"/>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办理过程信息</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事项名称、事项办理部门、办理进展等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及时公开</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政府职能涉及部门</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9"/>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项目单位</w:t>
            </w: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咨询监督</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咨询电话、监督投诉电话等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实时公开</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政府职能涉及部门</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9"/>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w:t>
            </w:r>
          </w:p>
        </w:tc>
        <w:tc>
          <w:tcPr>
            <w:tcW w:w="5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批准结果信息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政府投资项目建议书审批</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审批结果、批复时间、批复文号、批复单位、项目名称、项目统一代码等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区营商局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9"/>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政府投资项目可行性研究报告审批</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审批结果、批复时间、批复单位、批复文号、项目名称、项目统一代码等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区营商局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9"/>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政府投资项目初步设计审批</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审批结果、批复时间、批复单位、批复文号、项目名称、项目统一代码等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区营商局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9"/>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企业投资项目核准</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核准结果、核准时间、核准单位、核准文号、项目名称、项目统一代码等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区营商局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9"/>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w:t>
            </w:r>
          </w:p>
        </w:tc>
        <w:tc>
          <w:tcPr>
            <w:tcW w:w="5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批准结果信息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企业投资项目备案</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备案号、备案时间、备案单位、项目名称、项目统一代码等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区营商局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9"/>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节能审查</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审查结果、批复时间、批复单位、批复文号、项目名称、项目统一代码等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区营商局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选址意见书</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审批结果、批复时间、批复文号、项目名称、项目统一代码等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建设项目用地（用海）预审</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预审结果、批复时间、批复文号、项目名称、项目统一代码等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12</w:t>
            </w:r>
          </w:p>
        </w:tc>
        <w:tc>
          <w:tcPr>
            <w:tcW w:w="5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批准结果信息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建设项目环境影响评价审批</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审批结果、批复时间、批复文号、项目名称、项目统一代码等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盘锦市生态环境局双台子分局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13</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建设用地（含临时用地）规划许可证核发</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审核结果、建设用地（含临时用地）规划许可证号、许可时间、发证机关、项目名称、项目统一代码等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14</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建设工程规划许可证核发</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审核结果、建设工程规划许可证号、许可时间、发证机关、项目名称、项目统一代码等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15</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乡村建设规划许可证核发</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审核结果、乡村建设规划许可证号、许可时间、发证机关、项目名称、项目统一代码等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16</w:t>
            </w:r>
          </w:p>
        </w:tc>
        <w:tc>
          <w:tcPr>
            <w:tcW w:w="58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批准结果信息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建筑工程施工许可证核发</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审核结果、建筑工程施工许可证号、施工许可日期、发证机关、项目名称、项目统一代码等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区住房和城乡建设局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17</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招标事项审批核准结果</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审批部门、批复时间、招标方式、项目名称、项目统一代码等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区住房和城乡建设局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18</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取水许可审批</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审批结果、批复时间、批复文号、批复文件标题、项目名称、项目统一代码等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区水利局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19</w:t>
            </w:r>
          </w:p>
        </w:tc>
        <w:tc>
          <w:tcPr>
            <w:tcW w:w="58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生产建设项目水土保持方案审批</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审批结果、批复时间、批复文号、批复文件标题、项目名称、项目统一代码等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区水利局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20</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批准结果信息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洪水影响评价审批</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审批结果、批复时间、批复文号、批复文件标题、项目名称、项目统一代码等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区水利局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21</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征收土地信息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征收土地信息</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征地告知书以及履行征地报批前程序的相关证明材料、建设项目用地呈报说明书、农用地转用方案、补充耕地方案、征收土地方案、供地方案、征地批后实施中征地公告、征地补偿安置方案公告等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22</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重大设计变更信息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重大设计变更审批</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项目设计变更原因、主要变更内容、批准单位、变更结果等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区住房和城乡建设局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23</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施工有关信息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施工管理服务</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施工图审查机构、审查人员、审查结果、审查时限，项目法人单位及其主要负责人信息，设计、施工、监理单位及其主要负责人、项目负责人信息、资质情况等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区住房和城乡建设局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24</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质量安全监督信息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质量安全监督</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质量安全监督机构及其联系方式、质量安全行政处罚情况</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区住房和城乡建设局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1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25</w:t>
            </w:r>
          </w:p>
        </w:tc>
        <w:tc>
          <w:tcPr>
            <w:tcW w:w="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竣工有关信息</w:t>
            </w:r>
          </w:p>
        </w:tc>
        <w:tc>
          <w:tcPr>
            <w:tcW w:w="6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竣工验收审批（备案）</w:t>
            </w:r>
          </w:p>
        </w:tc>
        <w:tc>
          <w:tcPr>
            <w:tcW w:w="21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竣工验收时间、竣工验收结果，竣工验收备案时间、备案编号、备案部门等</w:t>
            </w:r>
          </w:p>
        </w:tc>
        <w:tc>
          <w:tcPr>
            <w:tcW w:w="28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《政府信息公开条例》、《关于全面推进政务公开工作意见》、《关于推进重大建设项目批准和实施领域政府信息公开的意见》</w:t>
            </w:r>
          </w:p>
        </w:tc>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信息形成20个工作日内公开；其中行政许可、行政处罚事项应自作出行政决定之日起7个工作日内公示</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区住房和城乡建设局</w:t>
            </w:r>
          </w:p>
        </w:tc>
        <w:tc>
          <w:tcPr>
            <w:tcW w:w="35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政府网站    □政府公报</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两微一端    □发布会听证会</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□广播电视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纸质媒体    </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公开查阅点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政务服务中心</w:t>
            </w:r>
            <w:r>
              <w:rPr>
                <w:rStyle w:val="15"/>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便民服务站  □入户/现场</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□社区/企事业单位/村公示栏（电子屏）</w:t>
            </w:r>
            <w:r>
              <w:rPr>
                <w:rStyle w:val="15"/>
                <w:rFonts w:hint="eastAsia" w:ascii="仿宋_GB2312" w:hAnsi="仿宋_GB2312" w:eastAsia="仿宋_GB2312" w:cs="仿宋_GB2312"/>
                <w:color w:val="auto"/>
                <w:sz w:val="18"/>
                <w:szCs w:val="18"/>
                <w:highlight w:val="none"/>
                <w:lang w:val="en-US" w:eastAsia="zh-CN" w:bidi="ar"/>
              </w:rPr>
              <w:br w:type="textWrapping"/>
            </w:r>
            <w:r>
              <w:rPr>
                <w:rStyle w:val="15"/>
                <w:rFonts w:hint="eastAsia" w:ascii="仿宋_GB2312" w:hAnsi="仿宋_GB2312" w:eastAsia="仿宋_GB2312" w:cs="仿宋_GB2312"/>
                <w:color w:val="auto"/>
                <w:sz w:val="18"/>
                <w:szCs w:val="18"/>
                <w:highlight w:val="none"/>
                <w:lang w:val="en-US" w:eastAsia="zh-CN" w:bidi="ar"/>
              </w:rPr>
              <w:t xml:space="preserve">□精准推送    </w:t>
            </w:r>
            <w:r>
              <w:rPr>
                <w:rStyle w:val="12"/>
                <w:rFonts w:hint="eastAsia" w:ascii="仿宋_GB2312" w:hAnsi="仿宋_GB2312" w:eastAsia="仿宋_GB2312" w:cs="仿宋_GB2312"/>
                <w:color w:val="auto"/>
                <w:sz w:val="18"/>
                <w:szCs w:val="18"/>
                <w:highlight w:val="none"/>
                <w:lang w:val="en-US" w:eastAsia="zh-CN" w:bidi="ar"/>
              </w:rPr>
              <w:t>□</w:t>
            </w:r>
            <w:r>
              <w:rPr>
                <w:rStyle w:val="15"/>
                <w:rFonts w:hint="eastAsia" w:ascii="仿宋_GB2312" w:hAnsi="仿宋_GB2312" w:eastAsia="仿宋_GB2312" w:cs="仿宋_GB2312"/>
                <w:color w:val="auto"/>
                <w:sz w:val="18"/>
                <w:szCs w:val="18"/>
                <w:highlight w:val="none"/>
                <w:lang w:val="en-US" w:eastAsia="zh-CN" w:bidi="ar"/>
              </w:rPr>
              <w:t xml:space="preserve">投资项目在线审批监管平台 </w:t>
            </w:r>
          </w:p>
        </w:tc>
        <w:tc>
          <w:tcPr>
            <w:tcW w:w="6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bl>
    <w:p>
      <w:pPr>
        <w:rPr>
          <w:rFonts w:hint="eastAsia" w:ascii="宋体" w:hAnsi="宋体"/>
          <w:b/>
          <w:bCs/>
          <w:color w:val="auto"/>
          <w:highlight w:val="none"/>
          <w:lang w:val="en-US" w:eastAsia="zh-CN"/>
        </w:rPr>
      </w:pPr>
      <w:bookmarkStart w:id="0" w:name="_Toc24724707"/>
    </w:p>
    <w:p>
      <w:pPr>
        <w:rPr>
          <w:rFonts w:hint="eastAsia" w:ascii="宋体" w:hAnsi="宋体"/>
          <w:b w:val="0"/>
          <w:bCs w:val="0"/>
          <w:color w:val="auto"/>
          <w:highlight w:val="none"/>
          <w:lang w:val="en-US" w:eastAsia="zh-CN"/>
        </w:rPr>
      </w:pPr>
      <w:r>
        <w:rPr>
          <w:rFonts w:hint="eastAsia" w:ascii="宋体" w:hAnsi="宋体"/>
          <w:b w:val="0"/>
          <w:bCs w:val="0"/>
          <w:color w:val="auto"/>
          <w:highlight w:val="none"/>
          <w:lang w:val="en-US" w:eastAsia="zh-CN"/>
        </w:rPr>
        <w:br w:type="page"/>
      </w:r>
    </w:p>
    <w:p>
      <w:pPr>
        <w:spacing w:before="0" w:line="401" w:lineRule="exact"/>
        <w:ind w:left="4575" w:leftChars="0" w:right="0" w:hanging="4575" w:hangingChars="1271"/>
        <w:jc w:val="center"/>
        <w:rPr>
          <w:rFonts w:hint="eastAsia" w:ascii="黑体" w:hAnsi="黑体" w:eastAsia="黑体" w:cs="黑体"/>
          <w:b w:val="0"/>
          <w:bCs/>
          <w:color w:val="auto"/>
          <w:sz w:val="44"/>
          <w:szCs w:val="44"/>
          <w:highlight w:val="none"/>
        </w:rPr>
      </w:pPr>
      <w:r>
        <w:rPr>
          <w:rFonts w:hint="eastAsia" w:ascii="黑体" w:hAnsi="黑体" w:eastAsia="黑体" w:cs="黑体"/>
          <w:b w:val="0"/>
          <w:bCs/>
          <w:color w:val="auto"/>
          <w:sz w:val="36"/>
          <w:szCs w:val="36"/>
          <w:highlight w:val="none"/>
          <w:lang w:val="en-US" w:eastAsia="zh-CN"/>
        </w:rPr>
        <w:t>双台子区</w:t>
      </w:r>
      <w:r>
        <w:rPr>
          <w:rFonts w:hint="eastAsia" w:ascii="黑体" w:hAnsi="黑体" w:eastAsia="黑体" w:cs="黑体"/>
          <w:b w:val="0"/>
          <w:bCs/>
          <w:color w:val="auto"/>
          <w:sz w:val="36"/>
          <w:szCs w:val="36"/>
          <w:highlight w:val="none"/>
        </w:rPr>
        <w:t>公共资源交易领域基层政务公开标准目录</w:t>
      </w:r>
    </w:p>
    <w:p>
      <w:pPr>
        <w:pStyle w:val="3"/>
        <w:spacing w:before="3"/>
        <w:rPr>
          <w:b/>
          <w:color w:val="auto"/>
          <w:sz w:val="8"/>
          <w:highlight w:val="none"/>
        </w:rPr>
      </w:pPr>
    </w:p>
    <w:tbl>
      <w:tblPr>
        <w:tblStyle w:val="7"/>
        <w:tblW w:w="15496" w:type="dxa"/>
        <w:tblInd w:w="-76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95"/>
        <w:gridCol w:w="2325"/>
        <w:gridCol w:w="1610"/>
        <w:gridCol w:w="835"/>
        <w:gridCol w:w="3420"/>
        <w:gridCol w:w="479"/>
        <w:gridCol w:w="540"/>
        <w:gridCol w:w="451"/>
        <w:gridCol w:w="5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blHeader/>
        </w:trPr>
        <w:tc>
          <w:tcPr>
            <w:tcW w:w="300" w:type="dxa"/>
            <w:vMerge w:val="restart"/>
            <w:vAlign w:val="center"/>
          </w:tcPr>
          <w:p>
            <w:pPr>
              <w:pStyle w:val="21"/>
              <w:spacing w:line="235" w:lineRule="auto"/>
              <w:ind w:left="66" w:right="3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序号</w:t>
            </w:r>
          </w:p>
        </w:tc>
        <w:tc>
          <w:tcPr>
            <w:tcW w:w="1786" w:type="dxa"/>
            <w:gridSpan w:val="2"/>
            <w:vAlign w:val="center"/>
          </w:tcPr>
          <w:p>
            <w:pPr>
              <w:pStyle w:val="21"/>
              <w:ind w:left="537"/>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公开事项</w:t>
            </w:r>
          </w:p>
        </w:tc>
        <w:tc>
          <w:tcPr>
            <w:tcW w:w="3195" w:type="dxa"/>
            <w:vMerge w:val="restart"/>
            <w:vAlign w:val="center"/>
          </w:tcPr>
          <w:p>
            <w:pPr>
              <w:pStyle w:val="21"/>
              <w:spacing w:line="228" w:lineRule="exact"/>
              <w:ind w:left="1198" w:right="1167"/>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公开内容</w:t>
            </w:r>
          </w:p>
          <w:p>
            <w:pPr>
              <w:pStyle w:val="21"/>
              <w:spacing w:line="228" w:lineRule="exact"/>
              <w:ind w:left="1199" w:right="1167"/>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b/>
                <w:color w:val="auto"/>
                <w:spacing w:val="1"/>
                <w:sz w:val="18"/>
                <w:szCs w:val="18"/>
                <w:highlight w:val="none"/>
              </w:rPr>
              <w:t>要素</w:t>
            </w:r>
            <w:r>
              <w:rPr>
                <w:rFonts w:hint="eastAsia" w:ascii="仿宋_GB2312" w:hAnsi="仿宋_GB2312" w:eastAsia="仿宋_GB2312" w:cs="仿宋_GB2312"/>
                <w:b/>
                <w:color w:val="auto"/>
                <w:sz w:val="18"/>
                <w:szCs w:val="18"/>
                <w:highlight w:val="none"/>
              </w:rPr>
              <w:t>）</w:t>
            </w:r>
          </w:p>
        </w:tc>
        <w:tc>
          <w:tcPr>
            <w:tcW w:w="2325" w:type="dxa"/>
            <w:vMerge w:val="restart"/>
            <w:vAlign w:val="center"/>
          </w:tcPr>
          <w:p>
            <w:pPr>
              <w:pStyle w:val="21"/>
              <w:spacing w:before="161"/>
              <w:ind w:left="930" w:right="899"/>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公开依据</w:t>
            </w:r>
          </w:p>
        </w:tc>
        <w:tc>
          <w:tcPr>
            <w:tcW w:w="1610" w:type="dxa"/>
            <w:vMerge w:val="restart"/>
            <w:vAlign w:val="center"/>
          </w:tcPr>
          <w:p>
            <w:pPr>
              <w:pStyle w:val="21"/>
              <w:spacing w:before="161"/>
              <w:ind w:left="326"/>
              <w:jc w:val="both"/>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公开时限</w:t>
            </w:r>
          </w:p>
        </w:tc>
        <w:tc>
          <w:tcPr>
            <w:tcW w:w="835" w:type="dxa"/>
            <w:vMerge w:val="restart"/>
            <w:vAlign w:val="center"/>
          </w:tcPr>
          <w:p>
            <w:pPr>
              <w:pStyle w:val="21"/>
              <w:spacing w:before="161"/>
              <w:ind w:left="376"/>
              <w:jc w:val="both"/>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公开主体</w:t>
            </w:r>
          </w:p>
        </w:tc>
        <w:tc>
          <w:tcPr>
            <w:tcW w:w="3420" w:type="dxa"/>
            <w:vMerge w:val="restart"/>
            <w:vAlign w:val="center"/>
          </w:tcPr>
          <w:p>
            <w:pPr>
              <w:pStyle w:val="21"/>
              <w:spacing w:before="161"/>
              <w:ind w:left="807"/>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公开渠道和载体</w:t>
            </w:r>
          </w:p>
        </w:tc>
        <w:tc>
          <w:tcPr>
            <w:tcW w:w="1019" w:type="dxa"/>
            <w:gridSpan w:val="2"/>
            <w:vAlign w:val="center"/>
          </w:tcPr>
          <w:p>
            <w:pPr>
              <w:pStyle w:val="21"/>
              <w:ind w:left="172"/>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公开对象</w:t>
            </w:r>
          </w:p>
        </w:tc>
        <w:tc>
          <w:tcPr>
            <w:tcW w:w="1006" w:type="dxa"/>
            <w:gridSpan w:val="2"/>
            <w:vAlign w:val="center"/>
          </w:tcPr>
          <w:p>
            <w:pPr>
              <w:pStyle w:val="21"/>
              <w:ind w:left="172"/>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blHeader/>
        </w:trPr>
        <w:tc>
          <w:tcPr>
            <w:tcW w:w="30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color w:val="auto"/>
                <w:sz w:val="18"/>
                <w:szCs w:val="18"/>
                <w:highlight w:val="none"/>
              </w:rPr>
            </w:pPr>
          </w:p>
        </w:tc>
        <w:tc>
          <w:tcPr>
            <w:tcW w:w="540"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一级事项</w:t>
            </w:r>
          </w:p>
        </w:tc>
        <w:tc>
          <w:tcPr>
            <w:tcW w:w="1246"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二级</w:t>
            </w:r>
          </w:p>
          <w:p>
            <w:pPr>
              <w:pStyle w:val="21"/>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事项</w:t>
            </w:r>
          </w:p>
        </w:tc>
        <w:tc>
          <w:tcPr>
            <w:tcW w:w="319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color w:val="auto"/>
                <w:sz w:val="18"/>
                <w:szCs w:val="18"/>
                <w:highlight w:val="none"/>
              </w:rPr>
            </w:pPr>
          </w:p>
        </w:tc>
        <w:tc>
          <w:tcPr>
            <w:tcW w:w="232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color w:val="auto"/>
                <w:sz w:val="18"/>
                <w:szCs w:val="18"/>
                <w:highlight w:val="none"/>
              </w:rPr>
            </w:pPr>
          </w:p>
        </w:tc>
        <w:tc>
          <w:tcPr>
            <w:tcW w:w="161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color w:val="auto"/>
                <w:sz w:val="18"/>
                <w:szCs w:val="18"/>
                <w:highlight w:val="none"/>
              </w:rPr>
            </w:pPr>
          </w:p>
        </w:tc>
        <w:tc>
          <w:tcPr>
            <w:tcW w:w="8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color w:val="auto"/>
                <w:sz w:val="18"/>
                <w:szCs w:val="18"/>
                <w:highlight w:val="none"/>
              </w:rPr>
            </w:pPr>
          </w:p>
        </w:tc>
        <w:tc>
          <w:tcPr>
            <w:tcW w:w="342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color w:val="auto"/>
                <w:sz w:val="18"/>
                <w:szCs w:val="18"/>
                <w:highlight w:val="none"/>
              </w:rPr>
            </w:pPr>
          </w:p>
        </w:tc>
        <w:tc>
          <w:tcPr>
            <w:tcW w:w="479"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全社会</w:t>
            </w:r>
          </w:p>
        </w:tc>
        <w:tc>
          <w:tcPr>
            <w:tcW w:w="540"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pacing w:val="-9"/>
                <w:sz w:val="18"/>
                <w:szCs w:val="18"/>
                <w:highlight w:val="none"/>
              </w:rPr>
              <w:t>特定群体</w:t>
            </w:r>
          </w:p>
        </w:tc>
        <w:tc>
          <w:tcPr>
            <w:tcW w:w="451"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主动</w:t>
            </w:r>
          </w:p>
        </w:tc>
        <w:tc>
          <w:tcPr>
            <w:tcW w:w="555"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exact"/>
              <w:ind w:left="0" w:right="0" w:firstLine="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4" w:hRule="atLeast"/>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ind w:right="7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540" w:type="dxa"/>
            <w:tcBorders>
              <w:bottom w:val="nil"/>
            </w:tcBorders>
          </w:tcPr>
          <w:p>
            <w:pPr>
              <w:pStyle w:val="21"/>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审批核准信息</w:t>
            </w:r>
          </w:p>
        </w:tc>
        <w:tc>
          <w:tcPr>
            <w:tcW w:w="3195" w:type="dxa"/>
          </w:tcPr>
          <w:p>
            <w:pPr>
              <w:pStyle w:val="21"/>
              <w:rPr>
                <w:rFonts w:hint="eastAsia" w:ascii="仿宋_GB2312" w:hAnsi="仿宋_GB2312" w:eastAsia="仿宋_GB2312" w:cs="仿宋_GB2312"/>
                <w:b/>
                <w:color w:val="auto"/>
                <w:sz w:val="18"/>
                <w:szCs w:val="18"/>
                <w:highlight w:val="none"/>
              </w:rPr>
            </w:pPr>
          </w:p>
          <w:p>
            <w:pPr>
              <w:pStyle w:val="21"/>
              <w:spacing w:line="235"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招标内容、招标范围、招标组织形式、招标方式、招标估算金额、招标事项审核或核准部门。</w:t>
            </w:r>
          </w:p>
        </w:tc>
        <w:tc>
          <w:tcPr>
            <w:tcW w:w="2325" w:type="dxa"/>
          </w:tcPr>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《招标投标法实施条例》、《中华人民共和国政府信息公开条例</w:t>
            </w:r>
          </w:p>
          <w:p>
            <w:pPr>
              <w:pStyle w:val="21"/>
              <w:spacing w:before="1" w:line="232" w:lineRule="auto"/>
              <w:ind w:left="36" w:right="3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tc>
        <w:tc>
          <w:tcPr>
            <w:tcW w:w="1610" w:type="dxa"/>
          </w:tcPr>
          <w:p>
            <w:pPr>
              <w:pStyle w:val="21"/>
              <w:rPr>
                <w:rFonts w:hint="eastAsia" w:ascii="仿宋_GB2312" w:hAnsi="仿宋_GB2312" w:eastAsia="仿宋_GB2312" w:cs="仿宋_GB2312"/>
                <w:b/>
                <w:color w:val="auto"/>
                <w:sz w:val="18"/>
                <w:szCs w:val="18"/>
                <w:highlight w:val="none"/>
              </w:rPr>
            </w:pPr>
          </w:p>
          <w:p>
            <w:pPr>
              <w:pStyle w:val="21"/>
              <w:spacing w:before="10"/>
              <w:rPr>
                <w:rFonts w:hint="eastAsia" w:ascii="仿宋_GB2312" w:hAnsi="仿宋_GB2312" w:eastAsia="仿宋_GB2312" w:cs="仿宋_GB2312"/>
                <w:b/>
                <w:color w:val="auto"/>
                <w:sz w:val="18"/>
                <w:szCs w:val="18"/>
                <w:highlight w:val="none"/>
              </w:rPr>
            </w:pPr>
          </w:p>
          <w:p>
            <w:pPr>
              <w:pStyle w:val="21"/>
              <w:spacing w:before="1" w:line="235" w:lineRule="auto"/>
              <w:ind w:left="148" w:right="24" w:hanging="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35" w:type="dxa"/>
          </w:tcPr>
          <w:p>
            <w:pPr>
              <w:pStyle w:val="21"/>
              <w:rPr>
                <w:rFonts w:hint="eastAsia" w:ascii="仿宋_GB2312" w:hAnsi="仿宋_GB2312" w:eastAsia="仿宋_GB2312" w:cs="仿宋_GB2312"/>
                <w:b/>
                <w:color w:val="auto"/>
                <w:sz w:val="18"/>
                <w:szCs w:val="18"/>
                <w:highlight w:val="none"/>
              </w:rPr>
            </w:pPr>
          </w:p>
          <w:p>
            <w:pPr>
              <w:pStyle w:val="21"/>
              <w:spacing w:before="10"/>
              <w:rPr>
                <w:rFonts w:hint="eastAsia" w:ascii="仿宋_GB2312" w:hAnsi="仿宋_GB2312" w:eastAsia="仿宋_GB2312" w:cs="仿宋_GB2312"/>
                <w:b/>
                <w:color w:val="auto"/>
                <w:sz w:val="18"/>
                <w:szCs w:val="18"/>
                <w:highlight w:val="none"/>
              </w:rPr>
            </w:pPr>
          </w:p>
          <w:p>
            <w:pPr>
              <w:pStyle w:val="21"/>
              <w:spacing w:before="1" w:line="235" w:lineRule="auto"/>
              <w:ind w:left="35" w:right="154"/>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区住房和城乡建设局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11"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line="227" w:lineRule="exact"/>
              <w:ind w:left="6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管理部门网站</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2" w:hRule="atLeast"/>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right="7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540" w:type="dxa"/>
            <w:tcBorders>
              <w:top w:val="nil"/>
              <w:bottom w:val="nil"/>
            </w:tcBorders>
          </w:tcPr>
          <w:p>
            <w:pPr>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资格预审公告</w:t>
            </w:r>
          </w:p>
        </w:tc>
        <w:tc>
          <w:tcPr>
            <w:tcW w:w="3195" w:type="dxa"/>
          </w:tcPr>
          <w:p>
            <w:pPr>
              <w:pStyle w:val="21"/>
              <w:spacing w:line="235"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w:t>
            </w:r>
            <w:r>
              <w:rPr>
                <w:rFonts w:hint="eastAsia" w:ascii="仿宋_GB2312" w:hAnsi="仿宋_GB2312" w:eastAsia="仿宋_GB2312" w:cs="仿宋_GB2312"/>
                <w:color w:val="auto"/>
                <w:sz w:val="18"/>
                <w:szCs w:val="18"/>
                <w:highlight w:val="none"/>
              </w:rPr>
              <w:t>问电子招标投标交易平台的网址和方 法；其他依法应当载明的内容。</w:t>
            </w:r>
          </w:p>
        </w:tc>
        <w:tc>
          <w:tcPr>
            <w:tcW w:w="2325" w:type="dxa"/>
          </w:tcPr>
          <w:p>
            <w:pPr>
              <w:pStyle w:val="21"/>
              <w:spacing w:before="6" w:line="232" w:lineRule="auto"/>
              <w:ind w:left="36" w:right="3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《招标投标法》、《招标投标法实施条例》、《国务院办公厅关于推进公共资源配置领域政府信息公开的意见》、《招标公告和公示信息发布管理办法》</w:t>
            </w:r>
          </w:p>
        </w:tc>
        <w:tc>
          <w:tcPr>
            <w:tcW w:w="161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55"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w:t>
            </w:r>
          </w:p>
        </w:tc>
        <w:tc>
          <w:tcPr>
            <w:tcW w:w="835" w:type="dxa"/>
          </w:tcPr>
          <w:p>
            <w:pPr>
              <w:pStyle w:val="21"/>
              <w:rPr>
                <w:rFonts w:hint="eastAsia" w:ascii="仿宋_GB2312" w:hAnsi="仿宋_GB2312" w:eastAsia="仿宋_GB2312" w:cs="仿宋_GB2312"/>
                <w:b/>
                <w:color w:val="auto"/>
                <w:sz w:val="18"/>
                <w:szCs w:val="18"/>
                <w:highlight w:val="none"/>
              </w:rPr>
            </w:pPr>
          </w:p>
          <w:p>
            <w:pPr>
              <w:pStyle w:val="21"/>
              <w:spacing w:before="7"/>
              <w:rPr>
                <w:rFonts w:hint="eastAsia" w:ascii="仿宋_GB2312" w:hAnsi="仿宋_GB2312" w:eastAsia="仿宋_GB2312" w:cs="仿宋_GB2312"/>
                <w:b/>
                <w:color w:val="auto"/>
                <w:sz w:val="18"/>
                <w:szCs w:val="18"/>
                <w:highlight w:val="none"/>
              </w:rPr>
            </w:pPr>
          </w:p>
          <w:p>
            <w:pPr>
              <w:pStyle w:val="21"/>
              <w:spacing w:line="235" w:lineRule="auto"/>
              <w:ind w:left="35" w:right="154"/>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招标投标公共服务台</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p>
            <w:pPr>
              <w:pStyle w:val="21"/>
              <w:spacing w:line="226" w:lineRule="exact"/>
              <w:ind w:left="6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电子招标投标交易平台</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2" w:hRule="atLeast"/>
        </w:trPr>
        <w:tc>
          <w:tcPr>
            <w:tcW w:w="300"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right="7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540" w:type="dxa"/>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招标公告</w:t>
            </w:r>
          </w:p>
        </w:tc>
        <w:tc>
          <w:tcPr>
            <w:tcW w:w="3195" w:type="dxa"/>
          </w:tcPr>
          <w:p>
            <w:pPr>
              <w:pStyle w:val="21"/>
              <w:spacing w:before="115" w:line="232"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招标项目名称、内容、范围、规模、资金来源；投标资格能力要求，以及是否接受联合体投标；获取招标文件的时间</w:t>
            </w:r>
          </w:p>
          <w:p>
            <w:pPr>
              <w:pStyle w:val="21"/>
              <w:spacing w:before="3" w:line="235"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25" w:type="dxa"/>
          </w:tcPr>
          <w:p>
            <w:pPr>
              <w:pStyle w:val="21"/>
              <w:spacing w:before="11"/>
              <w:rPr>
                <w:rFonts w:hint="eastAsia" w:ascii="仿宋_GB2312" w:hAnsi="仿宋_GB2312" w:eastAsia="仿宋_GB2312" w:cs="仿宋_GB2312"/>
                <w:b/>
                <w:color w:val="auto"/>
                <w:sz w:val="18"/>
                <w:szCs w:val="18"/>
                <w:highlight w:val="none"/>
              </w:rPr>
            </w:pPr>
          </w:p>
          <w:p>
            <w:pPr>
              <w:pStyle w:val="21"/>
              <w:spacing w:line="235"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《招标投标法》、《招标投标法实施条例》、《国务院办公厅关于推进公共资源配置领域政府信</w:t>
            </w:r>
            <w:r>
              <w:rPr>
                <w:rFonts w:hint="eastAsia" w:ascii="仿宋_GB2312" w:hAnsi="仿宋_GB2312" w:eastAsia="仿宋_GB2312" w:cs="仿宋_GB2312"/>
                <w:color w:val="auto"/>
                <w:sz w:val="18"/>
                <w:szCs w:val="18"/>
                <w:highlight w:val="none"/>
              </w:rPr>
              <w:t>息公开的意见》</w:t>
            </w:r>
            <w:r>
              <w:rPr>
                <w:rFonts w:hint="eastAsia" w:ascii="仿宋_GB2312" w:hAnsi="仿宋_GB2312" w:eastAsia="仿宋_GB2312" w:cs="仿宋_GB2312"/>
                <w:color w:val="auto"/>
                <w:spacing w:val="-2"/>
                <w:sz w:val="18"/>
                <w:szCs w:val="18"/>
                <w:highlight w:val="none"/>
              </w:rPr>
              <w:t>、《招标公告和公示信</w:t>
            </w:r>
            <w:r>
              <w:rPr>
                <w:rFonts w:hint="eastAsia" w:ascii="仿宋_GB2312" w:hAnsi="仿宋_GB2312" w:eastAsia="仿宋_GB2312" w:cs="仿宋_GB2312"/>
                <w:color w:val="auto"/>
                <w:sz w:val="18"/>
                <w:szCs w:val="18"/>
                <w:highlight w:val="none"/>
              </w:rPr>
              <w:t>息发布管理办法》</w:t>
            </w:r>
            <w:r>
              <w:rPr>
                <w:rFonts w:hint="eastAsia" w:ascii="仿宋_GB2312" w:hAnsi="仿宋_GB2312" w:eastAsia="仿宋_GB2312" w:cs="仿宋_GB2312"/>
                <w:color w:val="auto"/>
                <w:spacing w:val="-5"/>
                <w:sz w:val="18"/>
                <w:szCs w:val="18"/>
                <w:highlight w:val="none"/>
              </w:rPr>
              <w:t>、《电子</w:t>
            </w:r>
            <w:r>
              <w:rPr>
                <w:rFonts w:hint="eastAsia" w:ascii="仿宋_GB2312" w:hAnsi="仿宋_GB2312" w:eastAsia="仿宋_GB2312" w:cs="仿宋_GB2312"/>
                <w:color w:val="auto"/>
                <w:sz w:val="18"/>
                <w:szCs w:val="18"/>
                <w:highlight w:val="none"/>
              </w:rPr>
              <w:t>招标投标办法》</w:t>
            </w:r>
          </w:p>
        </w:tc>
        <w:tc>
          <w:tcPr>
            <w:tcW w:w="161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55"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w:t>
            </w:r>
          </w:p>
        </w:tc>
        <w:tc>
          <w:tcPr>
            <w:tcW w:w="83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7"/>
              <w:rPr>
                <w:rFonts w:hint="eastAsia" w:ascii="仿宋_GB2312" w:hAnsi="仿宋_GB2312" w:eastAsia="仿宋_GB2312" w:cs="仿宋_GB2312"/>
                <w:b/>
                <w:color w:val="auto"/>
                <w:sz w:val="18"/>
                <w:szCs w:val="18"/>
                <w:highlight w:val="none"/>
              </w:rPr>
            </w:pPr>
          </w:p>
          <w:p>
            <w:pPr>
              <w:pStyle w:val="21"/>
              <w:spacing w:line="235" w:lineRule="auto"/>
              <w:ind w:left="35" w:right="154"/>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420" w:type="dxa"/>
          </w:tcPr>
          <w:p>
            <w:pPr>
              <w:pStyle w:val="21"/>
              <w:tabs>
                <w:tab w:val="left" w:pos="1486"/>
              </w:tabs>
              <w:spacing w:before="89"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招标投标公共服务台</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p>
            <w:pPr>
              <w:pStyle w:val="21"/>
              <w:spacing w:line="226"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电子招标投标交易平台</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1" w:hRule="atLeast"/>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right="7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540" w:type="dxa"/>
            <w:vMerge w:val="restart"/>
            <w:tcBorders>
              <w:bottom w:val="nil"/>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3"/>
              <w:rPr>
                <w:rFonts w:hint="eastAsia" w:ascii="仿宋_GB2312" w:hAnsi="仿宋_GB2312" w:eastAsia="仿宋_GB2312" w:cs="仿宋_GB2312"/>
                <w:b/>
                <w:color w:val="auto"/>
                <w:sz w:val="18"/>
                <w:szCs w:val="18"/>
                <w:highlight w:val="none"/>
              </w:rPr>
            </w:pPr>
          </w:p>
          <w:p>
            <w:pPr>
              <w:pStyle w:val="21"/>
              <w:spacing w:before="1" w:line="232" w:lineRule="auto"/>
              <w:ind w:left="97" w:right="6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工程建设项目招标投标信息</w:t>
            </w:r>
          </w:p>
        </w:tc>
        <w:tc>
          <w:tcPr>
            <w:tcW w:w="1246"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2"/>
              <w:rPr>
                <w:rFonts w:hint="eastAsia" w:ascii="仿宋_GB2312" w:hAnsi="仿宋_GB2312" w:eastAsia="仿宋_GB2312" w:cs="仿宋_GB2312"/>
                <w:b/>
                <w:color w:val="auto"/>
                <w:sz w:val="18"/>
                <w:szCs w:val="18"/>
                <w:highlight w:val="none"/>
              </w:rPr>
            </w:pPr>
          </w:p>
          <w:p>
            <w:pPr>
              <w:pStyle w:val="21"/>
              <w:spacing w:line="235"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中标候选人公示</w:t>
            </w:r>
          </w:p>
        </w:tc>
        <w:tc>
          <w:tcPr>
            <w:tcW w:w="3195" w:type="dxa"/>
          </w:tcPr>
          <w:p>
            <w:pPr>
              <w:pStyle w:val="21"/>
              <w:spacing w:line="232"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中标候选人排序、名称、投标报价、质</w:t>
            </w:r>
            <w:r>
              <w:rPr>
                <w:rFonts w:hint="eastAsia" w:ascii="仿宋_GB2312" w:hAnsi="仿宋_GB2312" w:eastAsia="仿宋_GB2312" w:cs="仿宋_GB2312"/>
                <w:color w:val="auto"/>
                <w:sz w:val="18"/>
                <w:szCs w:val="18"/>
                <w:highlight w:val="none"/>
              </w:rPr>
              <w:t>量、工期（交货期），</w:t>
            </w:r>
            <w:r>
              <w:rPr>
                <w:rFonts w:hint="eastAsia" w:ascii="仿宋_GB2312" w:hAnsi="仿宋_GB2312" w:eastAsia="仿宋_GB2312" w:cs="仿宋_GB2312"/>
                <w:color w:val="auto"/>
                <w:spacing w:val="-3"/>
                <w:sz w:val="18"/>
                <w:szCs w:val="18"/>
                <w:highlight w:val="none"/>
              </w:rPr>
              <w:t xml:space="preserve">以及评标情况； </w:t>
            </w:r>
            <w:r>
              <w:rPr>
                <w:rFonts w:hint="eastAsia" w:ascii="仿宋_GB2312" w:hAnsi="仿宋_GB2312" w:eastAsia="仿宋_GB2312" w:cs="仿宋_GB2312"/>
                <w:color w:val="auto"/>
                <w:spacing w:val="-1"/>
                <w:sz w:val="18"/>
                <w:szCs w:val="18"/>
                <w:highlight w:val="none"/>
              </w:rPr>
              <w:t>中标候选人按照招标文件要求承诺的项</w:t>
            </w:r>
            <w:r>
              <w:rPr>
                <w:rFonts w:hint="eastAsia" w:ascii="仿宋_GB2312" w:hAnsi="仿宋_GB2312" w:eastAsia="仿宋_GB2312" w:cs="仿宋_GB2312"/>
                <w:color w:val="auto"/>
                <w:sz w:val="18"/>
                <w:szCs w:val="18"/>
                <w:highlight w:val="none"/>
              </w:rPr>
              <w:t xml:space="preserve">目负责人姓名及其相关证书名称和编 </w:t>
            </w:r>
            <w:r>
              <w:rPr>
                <w:rFonts w:hint="eastAsia" w:ascii="仿宋_GB2312" w:hAnsi="仿宋_GB2312" w:eastAsia="仿宋_GB2312" w:cs="仿宋_GB2312"/>
                <w:color w:val="auto"/>
                <w:spacing w:val="-1"/>
                <w:sz w:val="18"/>
                <w:szCs w:val="18"/>
                <w:highlight w:val="none"/>
              </w:rPr>
              <w:t xml:space="preserve">号；中标候选人响应招标文件要求的资格能力条件；提出异议的渠道和方式； </w:t>
            </w:r>
            <w:r>
              <w:rPr>
                <w:rFonts w:hint="eastAsia" w:ascii="仿宋_GB2312" w:hAnsi="仿宋_GB2312" w:eastAsia="仿宋_GB2312" w:cs="仿宋_GB2312"/>
                <w:color w:val="auto"/>
                <w:sz w:val="18"/>
                <w:szCs w:val="18"/>
                <w:highlight w:val="none"/>
              </w:rPr>
              <w:t>招标文件规定公示的其他内容。</w:t>
            </w:r>
          </w:p>
        </w:tc>
        <w:tc>
          <w:tcPr>
            <w:tcW w:w="2325" w:type="dxa"/>
          </w:tcPr>
          <w:p>
            <w:pPr>
              <w:pStyle w:val="21"/>
              <w:spacing w:line="235"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《招标投标法》、《招标投标法实施条例》、《国务院办公厅关于推进公共资源配置领域政府信</w:t>
            </w:r>
            <w:r>
              <w:rPr>
                <w:rFonts w:hint="eastAsia" w:ascii="仿宋_GB2312" w:hAnsi="仿宋_GB2312" w:eastAsia="仿宋_GB2312" w:cs="仿宋_GB2312"/>
                <w:color w:val="auto"/>
                <w:sz w:val="18"/>
                <w:szCs w:val="18"/>
                <w:highlight w:val="none"/>
              </w:rPr>
              <w:t>息公开的意见》</w:t>
            </w:r>
            <w:r>
              <w:rPr>
                <w:rFonts w:hint="eastAsia" w:ascii="仿宋_GB2312" w:hAnsi="仿宋_GB2312" w:eastAsia="仿宋_GB2312" w:cs="仿宋_GB2312"/>
                <w:color w:val="auto"/>
                <w:spacing w:val="-2"/>
                <w:sz w:val="18"/>
                <w:szCs w:val="18"/>
                <w:highlight w:val="none"/>
              </w:rPr>
              <w:t>、《招标公告和公示信</w:t>
            </w:r>
            <w:r>
              <w:rPr>
                <w:rFonts w:hint="eastAsia" w:ascii="仿宋_GB2312" w:hAnsi="仿宋_GB2312" w:eastAsia="仿宋_GB2312" w:cs="仿宋_GB2312"/>
                <w:color w:val="auto"/>
                <w:sz w:val="18"/>
                <w:szCs w:val="18"/>
                <w:highlight w:val="none"/>
              </w:rPr>
              <w:t>息发布管理办法》</w:t>
            </w:r>
            <w:r>
              <w:rPr>
                <w:rFonts w:hint="eastAsia" w:ascii="仿宋_GB2312" w:hAnsi="仿宋_GB2312" w:eastAsia="仿宋_GB2312" w:cs="仿宋_GB2312"/>
                <w:color w:val="auto"/>
                <w:spacing w:val="-5"/>
                <w:sz w:val="18"/>
                <w:szCs w:val="18"/>
                <w:highlight w:val="none"/>
              </w:rPr>
              <w:t>、《电子</w:t>
            </w:r>
            <w:r>
              <w:rPr>
                <w:rFonts w:hint="eastAsia" w:ascii="仿宋_GB2312" w:hAnsi="仿宋_GB2312" w:eastAsia="仿宋_GB2312" w:cs="仿宋_GB2312"/>
                <w:color w:val="auto"/>
                <w:sz w:val="18"/>
                <w:szCs w:val="18"/>
                <w:highlight w:val="none"/>
              </w:rPr>
              <w:t>招标投标办法》</w:t>
            </w:r>
          </w:p>
        </w:tc>
        <w:tc>
          <w:tcPr>
            <w:tcW w:w="1610" w:type="dxa"/>
          </w:tcPr>
          <w:p>
            <w:pPr>
              <w:pStyle w:val="21"/>
              <w:spacing w:line="232" w:lineRule="auto"/>
              <w:ind w:left="59"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依法必须进行招标的项目，招标人应当自收到评标报告之日起3 日内公示中标候选人，公示期不得少于3日</w:t>
            </w:r>
          </w:p>
        </w:tc>
        <w:tc>
          <w:tcPr>
            <w:tcW w:w="83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spacing w:before="1" w:line="235" w:lineRule="auto"/>
              <w:ind w:left="35" w:right="154"/>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420" w:type="dxa"/>
          </w:tcPr>
          <w:p>
            <w:pPr>
              <w:pStyle w:val="21"/>
              <w:tabs>
                <w:tab w:val="left" w:pos="1486"/>
              </w:tabs>
              <w:spacing w:before="89"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招标投标公共服务台</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p>
            <w:pPr>
              <w:pStyle w:val="21"/>
              <w:spacing w:line="226" w:lineRule="exact"/>
              <w:ind w:left="6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电子招标投标交易平台</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62" w:hRule="atLeast"/>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right="7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540" w:type="dxa"/>
            <w:vMerge w:val="continue"/>
            <w:tcBorders>
              <w:top w:val="nil"/>
              <w:bottom w:val="nil"/>
            </w:tcBorders>
          </w:tcPr>
          <w:p>
            <w:pPr>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中标结果</w:t>
            </w:r>
          </w:p>
        </w:tc>
        <w:tc>
          <w:tcPr>
            <w:tcW w:w="319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2"/>
              <w:rPr>
                <w:rFonts w:hint="eastAsia" w:ascii="仿宋_GB2312" w:hAnsi="仿宋_GB2312" w:eastAsia="仿宋_GB2312" w:cs="仿宋_GB2312"/>
                <w:b/>
                <w:color w:val="auto"/>
                <w:sz w:val="18"/>
                <w:szCs w:val="18"/>
                <w:highlight w:val="none"/>
              </w:rPr>
            </w:pPr>
          </w:p>
          <w:p>
            <w:pPr>
              <w:pStyle w:val="21"/>
              <w:spacing w:line="235"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招标项目名称、中标人名称、中标价、工期、项目负责人、中标内容。</w:t>
            </w:r>
          </w:p>
        </w:tc>
        <w:tc>
          <w:tcPr>
            <w:tcW w:w="2325" w:type="dxa"/>
          </w:tcPr>
          <w:p>
            <w:pPr>
              <w:pStyle w:val="21"/>
              <w:rPr>
                <w:rFonts w:hint="eastAsia" w:ascii="仿宋_GB2312" w:hAnsi="仿宋_GB2312" w:eastAsia="仿宋_GB2312" w:cs="仿宋_GB2312"/>
                <w:b/>
                <w:color w:val="auto"/>
                <w:sz w:val="18"/>
                <w:szCs w:val="18"/>
                <w:highlight w:val="none"/>
              </w:rPr>
            </w:pPr>
          </w:p>
          <w:p>
            <w:pPr>
              <w:pStyle w:val="21"/>
              <w:spacing w:before="6"/>
              <w:rPr>
                <w:rFonts w:hint="eastAsia" w:ascii="仿宋_GB2312" w:hAnsi="仿宋_GB2312" w:eastAsia="仿宋_GB2312" w:cs="仿宋_GB2312"/>
                <w:b/>
                <w:color w:val="auto"/>
                <w:sz w:val="18"/>
                <w:szCs w:val="18"/>
                <w:highlight w:val="none"/>
              </w:rPr>
            </w:pPr>
          </w:p>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《国务院办公厅关于推进公共资源配置领域政府信息公开的意见</w:t>
            </w:r>
          </w:p>
          <w:p>
            <w:pPr>
              <w:pStyle w:val="21"/>
              <w:spacing w:line="235" w:lineRule="auto"/>
              <w:ind w:left="36" w:right="2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pacing w:val="-9"/>
                <w:sz w:val="18"/>
                <w:szCs w:val="18"/>
                <w:highlight w:val="none"/>
              </w:rPr>
              <w:t>、《</w:t>
            </w:r>
            <w:r>
              <w:rPr>
                <w:rFonts w:hint="eastAsia" w:ascii="仿宋_GB2312" w:hAnsi="仿宋_GB2312" w:eastAsia="仿宋_GB2312" w:cs="仿宋_GB2312"/>
                <w:color w:val="auto"/>
                <w:sz w:val="18"/>
                <w:szCs w:val="18"/>
                <w:highlight w:val="none"/>
              </w:rPr>
              <w:t>招标公告和公示信息发布管理办法》</w:t>
            </w:r>
            <w:r>
              <w:rPr>
                <w:rFonts w:hint="eastAsia" w:ascii="仿宋_GB2312" w:hAnsi="仿宋_GB2312" w:eastAsia="仿宋_GB2312" w:cs="仿宋_GB2312"/>
                <w:color w:val="auto"/>
                <w:spacing w:val="-2"/>
                <w:sz w:val="18"/>
                <w:szCs w:val="18"/>
                <w:highlight w:val="none"/>
              </w:rPr>
              <w:t>、《电子招标投标办法</w:t>
            </w:r>
            <w:r>
              <w:rPr>
                <w:rFonts w:hint="eastAsia" w:ascii="仿宋_GB2312" w:hAnsi="仿宋_GB2312" w:eastAsia="仿宋_GB2312" w:cs="仿宋_GB2312"/>
                <w:color w:val="auto"/>
                <w:sz w:val="18"/>
                <w:szCs w:val="18"/>
                <w:highlight w:val="none"/>
              </w:rPr>
              <w:t>》</w:t>
            </w:r>
          </w:p>
        </w:tc>
        <w:tc>
          <w:tcPr>
            <w:tcW w:w="161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left="55"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w:t>
            </w:r>
          </w:p>
        </w:tc>
        <w:tc>
          <w:tcPr>
            <w:tcW w:w="83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spacing w:before="1" w:line="235" w:lineRule="auto"/>
              <w:ind w:left="35" w:right="154"/>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420" w:type="dxa"/>
          </w:tcPr>
          <w:p>
            <w:pPr>
              <w:pStyle w:val="21"/>
              <w:tabs>
                <w:tab w:val="left" w:pos="1486"/>
              </w:tabs>
              <w:spacing w:before="89"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招标投标公共服务台</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p>
            <w:pPr>
              <w:pStyle w:val="21"/>
              <w:spacing w:line="226" w:lineRule="exact"/>
              <w:ind w:left="6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电子招标投标交易平台</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9" w:hRule="atLeast"/>
        </w:trPr>
        <w:tc>
          <w:tcPr>
            <w:tcW w:w="300"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right="7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540" w:type="dxa"/>
            <w:vMerge w:val="continue"/>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合同订立信息</w:t>
            </w:r>
          </w:p>
        </w:tc>
        <w:tc>
          <w:tcPr>
            <w:tcW w:w="319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2"/>
              <w:rPr>
                <w:rFonts w:hint="eastAsia" w:ascii="仿宋_GB2312" w:hAnsi="仿宋_GB2312" w:eastAsia="仿宋_GB2312" w:cs="仿宋_GB2312"/>
                <w:b/>
                <w:color w:val="auto"/>
                <w:sz w:val="18"/>
                <w:szCs w:val="18"/>
                <w:highlight w:val="none"/>
              </w:rPr>
            </w:pPr>
          </w:p>
          <w:p>
            <w:pPr>
              <w:pStyle w:val="21"/>
              <w:spacing w:line="235"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包括项目名称、合同双方名称、合同价款、签约时间、合同期限。</w:t>
            </w:r>
          </w:p>
        </w:tc>
        <w:tc>
          <w:tcPr>
            <w:tcW w:w="2325" w:type="dxa"/>
          </w:tcPr>
          <w:p>
            <w:pPr>
              <w:pStyle w:val="21"/>
              <w:spacing w:before="3"/>
              <w:rPr>
                <w:rFonts w:hint="eastAsia" w:ascii="仿宋_GB2312" w:hAnsi="仿宋_GB2312" w:eastAsia="仿宋_GB2312" w:cs="仿宋_GB2312"/>
                <w:b/>
                <w:color w:val="auto"/>
                <w:sz w:val="18"/>
                <w:szCs w:val="18"/>
                <w:highlight w:val="none"/>
              </w:rPr>
            </w:pPr>
          </w:p>
          <w:p>
            <w:pPr>
              <w:pStyle w:val="21"/>
              <w:spacing w:line="232"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before="2" w:line="232"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》、《电子招标投标办法》</w:t>
            </w:r>
          </w:p>
        </w:tc>
        <w:tc>
          <w:tcPr>
            <w:tcW w:w="161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left="55"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w:t>
            </w:r>
          </w:p>
        </w:tc>
        <w:tc>
          <w:tcPr>
            <w:tcW w:w="83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lef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合同当事人</w:t>
            </w:r>
          </w:p>
        </w:tc>
        <w:tc>
          <w:tcPr>
            <w:tcW w:w="3420" w:type="dxa"/>
          </w:tcPr>
          <w:p>
            <w:pPr>
              <w:pStyle w:val="21"/>
              <w:tabs>
                <w:tab w:val="left" w:pos="1486"/>
              </w:tabs>
              <w:spacing w:before="89"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招标投标公共服务台</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p>
            <w:pPr>
              <w:pStyle w:val="21"/>
              <w:spacing w:line="226" w:lineRule="exact"/>
              <w:ind w:left="6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电子招标投标交易平台</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8"/>
              <w:rPr>
                <w:rFonts w:hint="eastAsia" w:ascii="仿宋_GB2312" w:hAnsi="仿宋_GB2312" w:eastAsia="仿宋_GB2312" w:cs="仿宋_GB2312"/>
                <w:b/>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16" w:hRule="atLeast"/>
          <w:jc w:val="center"/>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right="7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540" w:type="dxa"/>
            <w:vMerge w:val="restart"/>
            <w:tcBorders>
              <w:bottom w:val="nil"/>
            </w:tcBorders>
          </w:tcPr>
          <w:p>
            <w:pPr>
              <w:pStyle w:val="21"/>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5"/>
              <w:rPr>
                <w:rFonts w:hint="eastAsia" w:ascii="仿宋_GB2312" w:hAnsi="仿宋_GB2312" w:eastAsia="仿宋_GB2312" w:cs="仿宋_GB2312"/>
                <w:b/>
                <w:color w:val="auto"/>
                <w:sz w:val="18"/>
                <w:szCs w:val="18"/>
                <w:highlight w:val="none"/>
              </w:rPr>
            </w:pPr>
          </w:p>
          <w:p>
            <w:pPr>
              <w:pStyle w:val="21"/>
              <w:spacing w:line="235"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合同履行及变更信息</w:t>
            </w:r>
          </w:p>
        </w:tc>
        <w:tc>
          <w:tcPr>
            <w:tcW w:w="319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9"/>
              <w:rPr>
                <w:rFonts w:hint="eastAsia" w:ascii="仿宋_GB2312" w:hAnsi="仿宋_GB2312" w:eastAsia="仿宋_GB2312" w:cs="仿宋_GB2312"/>
                <w:b/>
                <w:color w:val="auto"/>
                <w:sz w:val="18"/>
                <w:szCs w:val="18"/>
                <w:highlight w:val="none"/>
              </w:rPr>
            </w:pPr>
          </w:p>
          <w:p>
            <w:pPr>
              <w:pStyle w:val="21"/>
              <w:spacing w:line="235"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项目名称、标段名称、建设单位、承包人、项目完成质量、期限、结算金额、合同发生的变更、解除合同通知书、违约行为的处理结果。</w:t>
            </w:r>
          </w:p>
        </w:tc>
        <w:tc>
          <w:tcPr>
            <w:tcW w:w="232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6"/>
              <w:rPr>
                <w:rFonts w:hint="eastAsia" w:ascii="仿宋_GB2312" w:hAnsi="仿宋_GB2312" w:eastAsia="仿宋_GB2312" w:cs="仿宋_GB2312"/>
                <w:b/>
                <w:color w:val="auto"/>
                <w:sz w:val="18"/>
                <w:szCs w:val="18"/>
                <w:highlight w:val="none"/>
              </w:rPr>
            </w:pPr>
          </w:p>
          <w:p>
            <w:pPr>
              <w:pStyle w:val="21"/>
              <w:spacing w:line="232"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before="2" w:line="232"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》、《电子招标投标办法》</w:t>
            </w:r>
          </w:p>
        </w:tc>
        <w:tc>
          <w:tcPr>
            <w:tcW w:w="161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55"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鼓励及时公开</w:t>
            </w:r>
          </w:p>
        </w:tc>
        <w:tc>
          <w:tcPr>
            <w:tcW w:w="83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合同当事人</w:t>
            </w:r>
          </w:p>
        </w:tc>
        <w:tc>
          <w:tcPr>
            <w:tcW w:w="3420" w:type="dxa"/>
          </w:tcPr>
          <w:p>
            <w:pPr>
              <w:pStyle w:val="21"/>
              <w:tabs>
                <w:tab w:val="left" w:pos="1486"/>
              </w:tabs>
              <w:spacing w:before="89"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招标投标公共服务台</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p>
            <w:pPr>
              <w:pStyle w:val="21"/>
              <w:spacing w:line="226" w:lineRule="exact"/>
              <w:ind w:left="6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电子招标投标交易平台</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22" w:hRule="atLeast"/>
          <w:jc w:val="center"/>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7"/>
              <w:ind w:right="7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540" w:type="dxa"/>
            <w:vMerge w:val="continue"/>
            <w:tcBorders>
              <w:top w:val="nil"/>
              <w:bottom w:val="nil"/>
            </w:tcBorders>
          </w:tcPr>
          <w:p>
            <w:pPr>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24" w:line="227"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资格预审文件</w:t>
            </w:r>
          </w:p>
          <w:p>
            <w:pPr>
              <w:pStyle w:val="21"/>
              <w:spacing w:line="235"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、招标文件澄清或修改</w:t>
            </w:r>
          </w:p>
        </w:tc>
        <w:tc>
          <w:tcPr>
            <w:tcW w:w="319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30" w:line="232"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项目名称；标段名称；澄清或修改事 </w:t>
            </w:r>
            <w:r>
              <w:rPr>
                <w:rFonts w:hint="eastAsia" w:ascii="仿宋_GB2312" w:hAnsi="仿宋_GB2312" w:eastAsia="仿宋_GB2312" w:cs="仿宋_GB2312"/>
                <w:color w:val="auto"/>
                <w:spacing w:val="-1"/>
                <w:sz w:val="18"/>
                <w:szCs w:val="18"/>
                <w:highlight w:val="none"/>
              </w:rPr>
              <w:t>项；招标人及其招标代理机构的名称、</w:t>
            </w:r>
            <w:r>
              <w:rPr>
                <w:rFonts w:hint="eastAsia" w:ascii="仿宋_GB2312" w:hAnsi="仿宋_GB2312" w:eastAsia="仿宋_GB2312" w:cs="仿宋_GB2312"/>
                <w:color w:val="auto"/>
                <w:sz w:val="18"/>
                <w:szCs w:val="18"/>
                <w:highlight w:val="none"/>
              </w:rPr>
              <w:t>地址、联系人及联系方式。</w:t>
            </w:r>
          </w:p>
        </w:tc>
        <w:tc>
          <w:tcPr>
            <w:tcW w:w="232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2"/>
              <w:rPr>
                <w:rFonts w:hint="eastAsia" w:ascii="仿宋_GB2312" w:hAnsi="仿宋_GB2312" w:eastAsia="仿宋_GB2312" w:cs="仿宋_GB2312"/>
                <w:b/>
                <w:color w:val="auto"/>
                <w:sz w:val="18"/>
                <w:szCs w:val="18"/>
                <w:highlight w:val="none"/>
              </w:rPr>
            </w:pPr>
          </w:p>
          <w:p>
            <w:pPr>
              <w:pStyle w:val="21"/>
              <w:spacing w:line="235" w:lineRule="auto"/>
              <w:ind w:left="36" w:right="3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《招标投标法》、《招标投标法实施条例》、《电子招标投标办法》</w:t>
            </w:r>
          </w:p>
        </w:tc>
        <w:tc>
          <w:tcPr>
            <w:tcW w:w="1610" w:type="dxa"/>
          </w:tcPr>
          <w:p>
            <w:pPr>
              <w:pStyle w:val="21"/>
              <w:spacing w:before="37" w:line="235" w:lineRule="auto"/>
              <w:ind w:left="38" w:right="4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依法必须进行招标的项目，澄清或者修改的内容可能影响资格预审申请文件或者</w:t>
            </w:r>
            <w:r>
              <w:rPr>
                <w:rFonts w:hint="eastAsia" w:ascii="仿宋_GB2312" w:hAnsi="仿宋_GB2312" w:eastAsia="仿宋_GB2312" w:cs="仿宋_GB2312"/>
                <w:color w:val="auto"/>
                <w:sz w:val="18"/>
                <w:szCs w:val="18"/>
                <w:highlight w:val="none"/>
              </w:rPr>
              <w:t xml:space="preserve">投标文件编制 </w:t>
            </w:r>
            <w:r>
              <w:rPr>
                <w:rFonts w:hint="eastAsia" w:ascii="仿宋_GB2312" w:hAnsi="仿宋_GB2312" w:eastAsia="仿宋_GB2312" w:cs="仿宋_GB2312"/>
                <w:color w:val="auto"/>
                <w:spacing w:val="-3"/>
                <w:sz w:val="18"/>
                <w:szCs w:val="18"/>
                <w:highlight w:val="none"/>
              </w:rPr>
              <w:t>的，应当在提交资格预审申请文件截止时间至少３日前，或者投标截止时间至少</w:t>
            </w:r>
            <w:r>
              <w:rPr>
                <w:rFonts w:hint="eastAsia" w:ascii="仿宋_GB2312" w:hAnsi="仿宋_GB2312" w:eastAsia="仿宋_GB2312" w:cs="仿宋_GB2312"/>
                <w:color w:val="auto"/>
                <w:sz w:val="18"/>
                <w:szCs w:val="18"/>
                <w:highlight w:val="none"/>
              </w:rPr>
              <w:t>１５日前</w:t>
            </w:r>
          </w:p>
        </w:tc>
        <w:tc>
          <w:tcPr>
            <w:tcW w:w="83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30" w:line="232" w:lineRule="auto"/>
              <w:ind w:left="35" w:right="154"/>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420" w:type="dxa"/>
          </w:tcPr>
          <w:p>
            <w:pPr>
              <w:pStyle w:val="21"/>
              <w:tabs>
                <w:tab w:val="left" w:pos="1486"/>
              </w:tabs>
              <w:spacing w:before="89"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招标投标公共服务台</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p>
            <w:pPr>
              <w:pStyle w:val="21"/>
              <w:spacing w:line="227" w:lineRule="exact"/>
              <w:ind w:left="6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电子招标投标交易平台</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7"/>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7"/>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32" w:hRule="atLeast"/>
          <w:jc w:val="center"/>
        </w:trPr>
        <w:tc>
          <w:tcPr>
            <w:tcW w:w="300"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right="7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9</w:t>
            </w:r>
          </w:p>
        </w:tc>
        <w:tc>
          <w:tcPr>
            <w:tcW w:w="540" w:type="dxa"/>
            <w:vMerge w:val="continue"/>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7"/>
              <w:rPr>
                <w:rFonts w:hint="eastAsia" w:ascii="仿宋_GB2312" w:hAnsi="仿宋_GB2312" w:eastAsia="仿宋_GB2312" w:cs="仿宋_GB2312"/>
                <w:b/>
                <w:color w:val="auto"/>
                <w:sz w:val="18"/>
                <w:szCs w:val="18"/>
                <w:highlight w:val="none"/>
              </w:rPr>
            </w:pPr>
          </w:p>
          <w:p>
            <w:pPr>
              <w:pStyle w:val="21"/>
              <w:spacing w:line="235" w:lineRule="auto"/>
              <w:ind w:left="40" w:right="10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招标公告和公示信息澄清、修改</w:t>
            </w:r>
          </w:p>
        </w:tc>
        <w:tc>
          <w:tcPr>
            <w:tcW w:w="319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7"/>
              <w:rPr>
                <w:rFonts w:hint="eastAsia" w:ascii="仿宋_GB2312" w:hAnsi="仿宋_GB2312" w:eastAsia="仿宋_GB2312" w:cs="仿宋_GB2312"/>
                <w:b/>
                <w:color w:val="auto"/>
                <w:sz w:val="18"/>
                <w:szCs w:val="18"/>
                <w:highlight w:val="none"/>
              </w:rPr>
            </w:pPr>
          </w:p>
          <w:p>
            <w:pPr>
              <w:pStyle w:val="21"/>
              <w:spacing w:line="235"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项目名称；标段名称；澄清或修改事 </w:t>
            </w:r>
            <w:r>
              <w:rPr>
                <w:rFonts w:hint="eastAsia" w:ascii="仿宋_GB2312" w:hAnsi="仿宋_GB2312" w:eastAsia="仿宋_GB2312" w:cs="仿宋_GB2312"/>
                <w:color w:val="auto"/>
                <w:spacing w:val="-1"/>
                <w:sz w:val="18"/>
                <w:szCs w:val="18"/>
                <w:highlight w:val="none"/>
              </w:rPr>
              <w:t>项；招标人及其招标代理机构的名称、</w:t>
            </w:r>
            <w:r>
              <w:rPr>
                <w:rFonts w:hint="eastAsia" w:ascii="仿宋_GB2312" w:hAnsi="仿宋_GB2312" w:eastAsia="仿宋_GB2312" w:cs="仿宋_GB2312"/>
                <w:color w:val="auto"/>
                <w:sz w:val="18"/>
                <w:szCs w:val="18"/>
                <w:highlight w:val="none"/>
              </w:rPr>
              <w:t>地址、联系人及联系方式。</w:t>
            </w:r>
          </w:p>
        </w:tc>
        <w:tc>
          <w:tcPr>
            <w:tcW w:w="232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7"/>
              <w:rPr>
                <w:rFonts w:hint="eastAsia" w:ascii="仿宋_GB2312" w:hAnsi="仿宋_GB2312" w:eastAsia="仿宋_GB2312" w:cs="仿宋_GB2312"/>
                <w:b/>
                <w:color w:val="auto"/>
                <w:sz w:val="18"/>
                <w:szCs w:val="18"/>
                <w:highlight w:val="none"/>
              </w:rPr>
            </w:pPr>
          </w:p>
          <w:p>
            <w:pPr>
              <w:pStyle w:val="21"/>
              <w:spacing w:line="235" w:lineRule="auto"/>
              <w:ind w:left="36" w:right="2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《招标公告和公示信息发布管理办法》</w:t>
            </w:r>
          </w:p>
        </w:tc>
        <w:tc>
          <w:tcPr>
            <w:tcW w:w="161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55"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w:t>
            </w:r>
          </w:p>
        </w:tc>
        <w:tc>
          <w:tcPr>
            <w:tcW w:w="83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7"/>
              <w:rPr>
                <w:rFonts w:hint="eastAsia" w:ascii="仿宋_GB2312" w:hAnsi="仿宋_GB2312" w:eastAsia="仿宋_GB2312" w:cs="仿宋_GB2312"/>
                <w:b/>
                <w:color w:val="auto"/>
                <w:sz w:val="18"/>
                <w:szCs w:val="18"/>
                <w:highlight w:val="none"/>
              </w:rPr>
            </w:pPr>
          </w:p>
          <w:p>
            <w:pPr>
              <w:pStyle w:val="21"/>
              <w:spacing w:line="235" w:lineRule="auto"/>
              <w:ind w:left="35" w:right="154"/>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420" w:type="dxa"/>
          </w:tcPr>
          <w:p>
            <w:pPr>
              <w:pStyle w:val="21"/>
              <w:tabs>
                <w:tab w:val="left" w:pos="1486"/>
              </w:tabs>
              <w:spacing w:before="89"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招标投标公共服务台</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p>
            <w:pPr>
              <w:pStyle w:val="21"/>
              <w:spacing w:before="2" w:line="235" w:lineRule="auto"/>
              <w:ind w:left="65" w:right="832"/>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电子招标投标交易台</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31" w:hRule="atLeast"/>
          <w:jc w:val="center"/>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10</w:t>
            </w:r>
          </w:p>
        </w:tc>
        <w:tc>
          <w:tcPr>
            <w:tcW w:w="540" w:type="dxa"/>
          </w:tcPr>
          <w:p>
            <w:pPr>
              <w:pStyle w:val="21"/>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6"/>
              <w:rPr>
                <w:rFonts w:hint="eastAsia" w:ascii="仿宋_GB2312" w:hAnsi="仿宋_GB2312" w:eastAsia="仿宋_GB2312" w:cs="仿宋_GB2312"/>
                <w:b/>
                <w:color w:val="auto"/>
                <w:sz w:val="18"/>
                <w:szCs w:val="18"/>
                <w:highlight w:val="none"/>
              </w:rPr>
            </w:pPr>
          </w:p>
          <w:p>
            <w:pPr>
              <w:pStyle w:val="21"/>
              <w:spacing w:line="235"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暂停、终止招标</w:t>
            </w:r>
          </w:p>
        </w:tc>
        <w:tc>
          <w:tcPr>
            <w:tcW w:w="319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spacing w:line="232"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招标人名称、招标项目名称、招标项目编号、本项目首次公告日期、招标暂停或终止原因、联系方式、其他事项。</w:t>
            </w:r>
          </w:p>
        </w:tc>
        <w:tc>
          <w:tcPr>
            <w:tcW w:w="232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spacing w:line="232" w:lineRule="auto"/>
              <w:ind w:left="36" w:right="2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《招标公告和公示信息发布管理办法》</w:t>
            </w:r>
          </w:p>
        </w:tc>
        <w:tc>
          <w:tcPr>
            <w:tcW w:w="161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32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w:t>
            </w:r>
          </w:p>
        </w:tc>
        <w:tc>
          <w:tcPr>
            <w:tcW w:w="835"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spacing w:line="232" w:lineRule="auto"/>
              <w:ind w:left="35" w:right="154"/>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420" w:type="dxa"/>
          </w:tcPr>
          <w:p>
            <w:pPr>
              <w:pStyle w:val="21"/>
              <w:tabs>
                <w:tab w:val="left" w:pos="1486"/>
              </w:tabs>
              <w:spacing w:before="89"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招标投标公共服务台</w:t>
            </w:r>
          </w:p>
          <w:p>
            <w:pPr>
              <w:pStyle w:val="21"/>
              <w:spacing w:before="2" w:line="235"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p>
            <w:pPr>
              <w:pStyle w:val="21"/>
              <w:spacing w:line="216" w:lineRule="exact"/>
              <w:ind w:left="6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电子招标投标交易平台</w:t>
            </w:r>
          </w:p>
        </w:tc>
        <w:tc>
          <w:tcPr>
            <w:tcW w:w="479"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00"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1</w:t>
            </w:r>
          </w:p>
        </w:tc>
        <w:tc>
          <w:tcPr>
            <w:tcW w:w="540"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ind w:left="40"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招标公告</w:t>
            </w:r>
          </w:p>
        </w:tc>
        <w:tc>
          <w:tcPr>
            <w:tcW w:w="319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38"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采购人及其委托的采购代理机构的名称</w:t>
            </w:r>
          </w:p>
          <w:p>
            <w:pPr>
              <w:pStyle w:val="21"/>
              <w:spacing w:before="3" w:line="232" w:lineRule="auto"/>
              <w:ind w:left="37" w:leftChars="0" w:right="32"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、地址和联系方法；采购项目的名称、预算金额，设定最高限价的，还应当公开最高限价；采购人的采购需求；投标人的资格要求；获取招标文件的时间、</w:t>
            </w:r>
            <w:r>
              <w:rPr>
                <w:rFonts w:hint="eastAsia" w:ascii="仿宋_GB2312" w:hAnsi="仿宋_GB2312" w:eastAsia="仿宋_GB2312" w:cs="仿宋_GB2312"/>
                <w:color w:val="auto"/>
                <w:sz w:val="18"/>
                <w:szCs w:val="18"/>
                <w:highlight w:val="none"/>
              </w:rPr>
              <w:t xml:space="preserve">地点、方式及招标文件售价；公告期 </w:t>
            </w:r>
            <w:r>
              <w:rPr>
                <w:rFonts w:hint="eastAsia" w:ascii="仿宋_GB2312" w:hAnsi="仿宋_GB2312" w:eastAsia="仿宋_GB2312" w:cs="仿宋_GB2312"/>
                <w:color w:val="auto"/>
                <w:spacing w:val="-1"/>
                <w:sz w:val="18"/>
                <w:szCs w:val="18"/>
                <w:highlight w:val="none"/>
              </w:rPr>
              <w:t xml:space="preserve">限；投标截止时间、开标时间及地点； </w:t>
            </w:r>
            <w:r>
              <w:rPr>
                <w:rFonts w:hint="eastAsia" w:ascii="仿宋_GB2312" w:hAnsi="仿宋_GB2312" w:eastAsia="仿宋_GB2312" w:cs="仿宋_GB2312"/>
                <w:color w:val="auto"/>
                <w:sz w:val="18"/>
                <w:szCs w:val="18"/>
                <w:highlight w:val="none"/>
              </w:rPr>
              <w:t>采购项目联系人姓名和电话。</w:t>
            </w:r>
          </w:p>
        </w:tc>
        <w:tc>
          <w:tcPr>
            <w:tcW w:w="232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42"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《国务院办公厅关于推进公共资源配置领域政府信息公开的意见</w:t>
            </w:r>
          </w:p>
          <w:p>
            <w:pPr>
              <w:pStyle w:val="21"/>
              <w:spacing w:line="235" w:lineRule="auto"/>
              <w:ind w:left="36" w:right="2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pacing w:val="-9"/>
                <w:sz w:val="18"/>
                <w:szCs w:val="18"/>
                <w:highlight w:val="none"/>
              </w:rPr>
              <w:t>、《</w:t>
            </w:r>
            <w:r>
              <w:rPr>
                <w:rFonts w:hint="eastAsia" w:ascii="仿宋_GB2312" w:hAnsi="仿宋_GB2312" w:eastAsia="仿宋_GB2312" w:cs="仿宋_GB2312"/>
                <w:color w:val="auto"/>
                <w:sz w:val="18"/>
                <w:szCs w:val="18"/>
                <w:highlight w:val="none"/>
              </w:rPr>
              <w:t>政府采购货物和服务招标投标管理办法》</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pacing w:val="-1"/>
                <w:sz w:val="18"/>
                <w:szCs w:val="18"/>
                <w:highlight w:val="none"/>
              </w:rPr>
              <w:t>《财政部关于做好政府采购信息</w:t>
            </w:r>
            <w:r>
              <w:rPr>
                <w:rFonts w:hint="eastAsia" w:ascii="仿宋_GB2312" w:hAnsi="仿宋_GB2312" w:eastAsia="仿宋_GB2312" w:cs="仿宋_GB2312"/>
                <w:color w:val="auto"/>
                <w:sz w:val="18"/>
                <w:szCs w:val="18"/>
                <w:highlight w:val="none"/>
              </w:rPr>
              <w:t>公开工作的通知》</w:t>
            </w:r>
          </w:p>
          <w:p>
            <w:pPr>
              <w:pStyle w:val="21"/>
              <w:spacing w:before="120" w:line="223" w:lineRule="exact"/>
              <w:rPr>
                <w:rFonts w:hint="eastAsia" w:ascii="仿宋_GB2312" w:hAnsi="仿宋_GB2312" w:eastAsia="仿宋_GB2312" w:cs="仿宋_GB2312"/>
                <w:color w:val="auto"/>
                <w:sz w:val="18"/>
                <w:szCs w:val="18"/>
                <w:highlight w:val="none"/>
              </w:rPr>
            </w:pPr>
          </w:p>
        </w:tc>
        <w:tc>
          <w:tcPr>
            <w:tcW w:w="1610"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2"/>
              <w:rPr>
                <w:rFonts w:hint="eastAsia" w:ascii="仿宋_GB2312" w:hAnsi="仿宋_GB2312" w:eastAsia="仿宋_GB2312" w:cs="仿宋_GB2312"/>
                <w:b/>
                <w:color w:val="auto"/>
                <w:sz w:val="18"/>
                <w:szCs w:val="18"/>
                <w:highlight w:val="none"/>
              </w:rPr>
            </w:pPr>
          </w:p>
          <w:p>
            <w:pPr>
              <w:pStyle w:val="21"/>
              <w:spacing w:line="235" w:lineRule="auto"/>
              <w:ind w:left="59"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及时公开，公告期限为5个工作日</w:t>
            </w:r>
          </w:p>
          <w:p>
            <w:pPr>
              <w:pStyle w:val="21"/>
              <w:rPr>
                <w:rFonts w:hint="eastAsia" w:ascii="仿宋_GB2312" w:hAnsi="仿宋_GB2312" w:eastAsia="仿宋_GB2312" w:cs="仿宋_GB2312"/>
                <w:b/>
                <w:color w:val="auto"/>
                <w:sz w:val="18"/>
                <w:szCs w:val="18"/>
                <w:highlight w:val="none"/>
              </w:rPr>
            </w:pPr>
          </w:p>
          <w:p>
            <w:pPr>
              <w:pStyle w:val="21"/>
              <w:spacing w:line="223" w:lineRule="exact"/>
              <w:ind w:left="-116" w:leftChars="0"/>
              <w:rPr>
                <w:rFonts w:hint="eastAsia" w:ascii="仿宋_GB2312" w:hAnsi="仿宋_GB2312" w:eastAsia="仿宋_GB2312" w:cs="仿宋_GB2312"/>
                <w:color w:val="auto"/>
                <w:sz w:val="18"/>
                <w:szCs w:val="18"/>
                <w:highlight w:val="none"/>
              </w:rPr>
            </w:pPr>
          </w:p>
        </w:tc>
        <w:tc>
          <w:tcPr>
            <w:tcW w:w="83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2"/>
              <w:rPr>
                <w:rFonts w:hint="eastAsia" w:ascii="仿宋_GB2312" w:hAnsi="仿宋_GB2312" w:eastAsia="仿宋_GB2312" w:cs="仿宋_GB2312"/>
                <w:b/>
                <w:color w:val="auto"/>
                <w:sz w:val="18"/>
                <w:szCs w:val="18"/>
                <w:highlight w:val="none"/>
              </w:rPr>
            </w:pPr>
          </w:p>
          <w:p>
            <w:pPr>
              <w:pStyle w:val="21"/>
              <w:spacing w:line="235" w:lineRule="auto"/>
              <w:ind w:left="66" w:leftChars="0" w:right="123"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公共资源交易中心</w:t>
            </w:r>
          </w:p>
        </w:tc>
        <w:tc>
          <w:tcPr>
            <w:tcW w:w="3420" w:type="dxa"/>
            <w:vAlign w:val="top"/>
          </w:tcPr>
          <w:p>
            <w:pPr>
              <w:pStyle w:val="21"/>
              <w:tabs>
                <w:tab w:val="left" w:pos="1486"/>
              </w:tabs>
              <w:spacing w:before="89"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40"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7" w:lineRule="exact"/>
              <w:ind w:left="65" w:lef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ind w:left="189"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sz w:val="18"/>
                <w:szCs w:val="18"/>
                <w:highlight w:val="none"/>
              </w:rPr>
            </w:pPr>
          </w:p>
        </w:tc>
        <w:tc>
          <w:tcPr>
            <w:tcW w:w="451"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4"/>
              <w:rPr>
                <w:rFonts w:hint="eastAsia" w:ascii="仿宋_GB2312" w:hAnsi="仿宋_GB2312" w:eastAsia="仿宋_GB2312" w:cs="仿宋_GB2312"/>
                <w:b/>
                <w:color w:val="auto"/>
                <w:sz w:val="18"/>
                <w:szCs w:val="18"/>
                <w:highlight w:val="none"/>
              </w:rPr>
            </w:pPr>
          </w:p>
          <w:p>
            <w:pPr>
              <w:pStyle w:val="21"/>
              <w:ind w:right="83" w:rightChars="0"/>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2</w:t>
            </w:r>
          </w:p>
        </w:tc>
        <w:tc>
          <w:tcPr>
            <w:tcW w:w="540" w:type="dxa"/>
            <w:vMerge w:val="restart"/>
            <w:tcBorders>
              <w:bottom w:val="nil"/>
            </w:tcBorders>
          </w:tcPr>
          <w:p>
            <w:pPr>
              <w:pStyle w:val="21"/>
              <w:rPr>
                <w:rFonts w:hint="eastAsia" w:ascii="仿宋_GB2312" w:hAnsi="仿宋_GB2312" w:eastAsia="仿宋_GB2312" w:cs="仿宋_GB2312"/>
                <w:color w:val="auto"/>
                <w:sz w:val="18"/>
                <w:szCs w:val="18"/>
                <w:highlight w:val="none"/>
              </w:rPr>
            </w:pPr>
          </w:p>
        </w:tc>
        <w:tc>
          <w:tcPr>
            <w:tcW w:w="1246"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22" w:leftChars="0" w:right="84" w:right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资格预审公告</w:t>
            </w:r>
          </w:p>
        </w:tc>
        <w:tc>
          <w:tcPr>
            <w:tcW w:w="3195" w:type="dxa"/>
            <w:vAlign w:val="top"/>
          </w:tcPr>
          <w:p>
            <w:pPr>
              <w:pStyle w:val="21"/>
              <w:spacing w:before="1" w:line="227"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采购人及其委托的采购代理机构的名称</w:t>
            </w:r>
          </w:p>
          <w:p>
            <w:pPr>
              <w:pStyle w:val="21"/>
              <w:spacing w:line="235" w:lineRule="auto"/>
              <w:ind w:left="37" w:leftChars="0" w:right="32"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25" w:type="dxa"/>
            <w:vAlign w:val="top"/>
          </w:tcPr>
          <w:p>
            <w:pPr>
              <w:pStyle w:val="21"/>
              <w:rPr>
                <w:rFonts w:hint="eastAsia" w:ascii="仿宋_GB2312" w:hAnsi="仿宋_GB2312" w:eastAsia="仿宋_GB2312" w:cs="仿宋_GB2312"/>
                <w:b/>
                <w:color w:val="auto"/>
                <w:sz w:val="18"/>
                <w:szCs w:val="18"/>
                <w:highlight w:val="none"/>
              </w:rPr>
            </w:pPr>
          </w:p>
          <w:p>
            <w:pPr>
              <w:pStyle w:val="21"/>
              <w:spacing w:before="154" w:line="232"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《国务院办公厅关于推进公共资源配置领域政府信息公开的意见</w:t>
            </w:r>
          </w:p>
          <w:p>
            <w:pPr>
              <w:pStyle w:val="21"/>
              <w:spacing w:line="235" w:lineRule="auto"/>
              <w:ind w:left="36" w:leftChars="0" w:right="26"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pacing w:val="-9"/>
                <w:sz w:val="18"/>
                <w:szCs w:val="18"/>
                <w:highlight w:val="none"/>
              </w:rPr>
              <w:t>、《</w:t>
            </w:r>
            <w:r>
              <w:rPr>
                <w:rFonts w:hint="eastAsia" w:ascii="仿宋_GB2312" w:hAnsi="仿宋_GB2312" w:eastAsia="仿宋_GB2312" w:cs="仿宋_GB2312"/>
                <w:color w:val="auto"/>
                <w:sz w:val="18"/>
                <w:szCs w:val="18"/>
                <w:highlight w:val="none"/>
              </w:rPr>
              <w:t>政府采购货物和服务招标投标管理办法》（财政部令第87号）</w:t>
            </w:r>
            <w:r>
              <w:rPr>
                <w:rFonts w:hint="eastAsia" w:ascii="仿宋_GB2312" w:hAnsi="仿宋_GB2312" w:eastAsia="仿宋_GB2312" w:cs="仿宋_GB2312"/>
                <w:color w:val="auto"/>
                <w:spacing w:val="-13"/>
                <w:sz w:val="18"/>
                <w:szCs w:val="18"/>
                <w:highlight w:val="none"/>
              </w:rPr>
              <w:t>、</w:t>
            </w:r>
            <w:r>
              <w:rPr>
                <w:rFonts w:hint="eastAsia" w:ascii="仿宋_GB2312" w:hAnsi="仿宋_GB2312" w:eastAsia="仿宋_GB2312" w:cs="仿宋_GB2312"/>
                <w:color w:val="auto"/>
                <w:spacing w:val="-1"/>
                <w:sz w:val="18"/>
                <w:szCs w:val="18"/>
                <w:highlight w:val="none"/>
              </w:rPr>
              <w:t>《财政部关于做好政府采购信息</w:t>
            </w:r>
            <w:r>
              <w:rPr>
                <w:rFonts w:hint="eastAsia" w:ascii="仿宋_GB2312" w:hAnsi="仿宋_GB2312" w:eastAsia="仿宋_GB2312" w:cs="仿宋_GB2312"/>
                <w:color w:val="auto"/>
                <w:sz w:val="18"/>
                <w:szCs w:val="18"/>
                <w:highlight w:val="none"/>
              </w:rPr>
              <w:t>公开工作的通知》</w:t>
            </w:r>
          </w:p>
        </w:tc>
        <w:tc>
          <w:tcPr>
            <w:tcW w:w="1610"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spacing w:line="232" w:lineRule="auto"/>
              <w:ind w:left="59" w:leftChars="0" w:right="24" w:right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及时公开，公告期限为5个工作日</w:t>
            </w:r>
          </w:p>
        </w:tc>
        <w:tc>
          <w:tcPr>
            <w:tcW w:w="83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spacing w:line="232" w:lineRule="auto"/>
              <w:ind w:left="66" w:leftChars="0" w:right="123"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公共资源交易中心</w:t>
            </w:r>
          </w:p>
        </w:tc>
        <w:tc>
          <w:tcPr>
            <w:tcW w:w="3420" w:type="dxa"/>
            <w:vAlign w:val="top"/>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w w:val="110"/>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40"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6" w:lineRule="exact"/>
              <w:ind w:left="65" w:lef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189"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sz w:val="18"/>
                <w:szCs w:val="18"/>
                <w:highlight w:val="none"/>
              </w:rPr>
            </w:pPr>
          </w:p>
        </w:tc>
        <w:tc>
          <w:tcPr>
            <w:tcW w:w="451"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right="83" w:rightChars="0"/>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9" w:hRule="atLeast"/>
          <w:jc w:val="center"/>
        </w:trPr>
        <w:tc>
          <w:tcPr>
            <w:tcW w:w="300"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0"/>
              <w:rPr>
                <w:rFonts w:hint="eastAsia" w:ascii="仿宋_GB2312" w:hAnsi="仿宋_GB2312" w:eastAsia="仿宋_GB2312" w:cs="仿宋_GB2312"/>
                <w:b/>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3</w:t>
            </w:r>
          </w:p>
        </w:tc>
        <w:tc>
          <w:tcPr>
            <w:tcW w:w="540" w:type="dxa"/>
            <w:vMerge w:val="continue"/>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41" w:line="232" w:lineRule="auto"/>
              <w:ind w:left="40" w:leftChars="0" w:right="103"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竞争性谈判公告、竞争性磋商公告和询价公告</w:t>
            </w:r>
          </w:p>
        </w:tc>
        <w:tc>
          <w:tcPr>
            <w:tcW w:w="3195" w:type="dxa"/>
            <w:vAlign w:val="top"/>
          </w:tcPr>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spacing w:line="235"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w:t>
            </w:r>
          </w:p>
          <w:p>
            <w:pPr>
              <w:pStyle w:val="21"/>
              <w:spacing w:line="232" w:lineRule="auto"/>
              <w:ind w:left="37" w:leftChars="0" w:right="32"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、方式及文件售价，响应文件提交的截止时间、开启时间及地点，采购项目联系人姓名和电话。</w:t>
            </w:r>
          </w:p>
        </w:tc>
        <w:tc>
          <w:tcPr>
            <w:tcW w:w="232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44"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before="2" w:line="232" w:lineRule="auto"/>
              <w:ind w:left="36" w:leftChars="0" w:right="26"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》、《财政部关于做好政府采购信息公开工作的通知》</w:t>
            </w:r>
          </w:p>
        </w:tc>
        <w:tc>
          <w:tcPr>
            <w:tcW w:w="1610"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spacing w:line="232" w:lineRule="auto"/>
              <w:ind w:left="59" w:leftChars="0" w:right="24" w:right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及时公开，公告期限为3个工作日</w:t>
            </w:r>
          </w:p>
        </w:tc>
        <w:tc>
          <w:tcPr>
            <w:tcW w:w="83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spacing w:line="232" w:lineRule="auto"/>
              <w:ind w:left="66" w:leftChars="0" w:right="123"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公共资源交易中心</w:t>
            </w:r>
          </w:p>
        </w:tc>
        <w:tc>
          <w:tcPr>
            <w:tcW w:w="3420" w:type="dxa"/>
            <w:vAlign w:val="top"/>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40"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7" w:lineRule="exact"/>
              <w:ind w:left="65"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0"/>
              <w:rPr>
                <w:rFonts w:hint="eastAsia" w:ascii="仿宋_GB2312" w:hAnsi="仿宋_GB2312" w:eastAsia="仿宋_GB2312" w:cs="仿宋_GB2312"/>
                <w:b/>
                <w:color w:val="auto"/>
                <w:sz w:val="18"/>
                <w:szCs w:val="18"/>
                <w:highlight w:val="none"/>
              </w:rPr>
            </w:pPr>
          </w:p>
          <w:p>
            <w:pPr>
              <w:pStyle w:val="21"/>
              <w:ind w:left="189"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sz w:val="18"/>
                <w:szCs w:val="18"/>
                <w:highlight w:val="none"/>
              </w:rPr>
            </w:pPr>
          </w:p>
        </w:tc>
        <w:tc>
          <w:tcPr>
            <w:tcW w:w="451"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0"/>
              <w:rPr>
                <w:rFonts w:hint="eastAsia" w:ascii="仿宋_GB2312" w:hAnsi="仿宋_GB2312" w:eastAsia="仿宋_GB2312" w:cs="仿宋_GB2312"/>
                <w:b/>
                <w:color w:val="auto"/>
                <w:sz w:val="18"/>
                <w:szCs w:val="18"/>
                <w:highlight w:val="none"/>
              </w:rPr>
            </w:pPr>
          </w:p>
          <w:p>
            <w:pPr>
              <w:pStyle w:val="21"/>
              <w:ind w:right="83" w:rightChars="0"/>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1" w:hRule="atLeast"/>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36"/>
              <w:ind w:left="50" w:right="1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4</w:t>
            </w:r>
          </w:p>
        </w:tc>
        <w:tc>
          <w:tcPr>
            <w:tcW w:w="540" w:type="dxa"/>
            <w:vMerge w:val="restart"/>
            <w:tcBorders>
              <w:bottom w:val="nil"/>
            </w:tcBorders>
          </w:tcPr>
          <w:p>
            <w:pPr>
              <w:pStyle w:val="21"/>
              <w:rPr>
                <w:rFonts w:hint="eastAsia" w:ascii="仿宋_GB2312" w:hAnsi="仿宋_GB2312" w:eastAsia="仿宋_GB2312" w:cs="仿宋_GB2312"/>
                <w:color w:val="auto"/>
                <w:sz w:val="18"/>
                <w:szCs w:val="18"/>
                <w:highlight w:val="none"/>
              </w:rPr>
            </w:pPr>
          </w:p>
        </w:tc>
        <w:tc>
          <w:tcPr>
            <w:tcW w:w="1246"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 w:line="235" w:lineRule="auto"/>
              <w:ind w:left="40" w:leftChars="0" w:right="103"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采购项目预算金额</w:t>
            </w:r>
          </w:p>
        </w:tc>
        <w:tc>
          <w:tcPr>
            <w:tcW w:w="3195" w:type="dxa"/>
            <w:vAlign w:val="top"/>
          </w:tcPr>
          <w:p>
            <w:pPr>
              <w:pStyle w:val="21"/>
              <w:spacing w:line="235" w:lineRule="auto"/>
              <w:ind w:left="37" w:leftChars="0" w:right="32"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2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2"/>
              <w:rPr>
                <w:rFonts w:hint="eastAsia" w:ascii="仿宋_GB2312" w:hAnsi="仿宋_GB2312" w:eastAsia="仿宋_GB2312" w:cs="仿宋_GB2312"/>
                <w:b/>
                <w:color w:val="auto"/>
                <w:sz w:val="18"/>
                <w:szCs w:val="18"/>
                <w:highlight w:val="none"/>
              </w:rPr>
            </w:pPr>
          </w:p>
          <w:p>
            <w:pPr>
              <w:pStyle w:val="21"/>
              <w:spacing w:line="232"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before="1" w:line="232" w:lineRule="auto"/>
              <w:ind w:left="36" w:leftChars="0" w:right="26"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》、《财政部关于做好政府采购信息公开工作的通知》</w:t>
            </w:r>
          </w:p>
        </w:tc>
        <w:tc>
          <w:tcPr>
            <w:tcW w:w="1610"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 w:line="235" w:lineRule="auto"/>
              <w:ind w:left="239" w:leftChars="0" w:right="24" w:rightChars="0" w:hanging="180"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随采购公告、采购文件公开</w:t>
            </w:r>
          </w:p>
        </w:tc>
        <w:tc>
          <w:tcPr>
            <w:tcW w:w="83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44" w:line="235" w:lineRule="auto"/>
              <w:ind w:left="66" w:leftChars="0" w:right="123"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公共资源交易中心</w:t>
            </w:r>
          </w:p>
        </w:tc>
        <w:tc>
          <w:tcPr>
            <w:tcW w:w="3420" w:type="dxa"/>
            <w:vAlign w:val="top"/>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40"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7" w:lineRule="exact"/>
              <w:ind w:left="65"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36"/>
              <w:ind w:left="189"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sz w:val="18"/>
                <w:szCs w:val="18"/>
                <w:highlight w:val="none"/>
              </w:rPr>
            </w:pPr>
          </w:p>
        </w:tc>
        <w:tc>
          <w:tcPr>
            <w:tcW w:w="451"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36"/>
              <w:ind w:right="83" w:rightChars="0"/>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300"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5</w:t>
            </w:r>
          </w:p>
        </w:tc>
        <w:tc>
          <w:tcPr>
            <w:tcW w:w="540" w:type="dxa"/>
            <w:vMerge w:val="continue"/>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40"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采购文件</w:t>
            </w:r>
          </w:p>
        </w:tc>
        <w:tc>
          <w:tcPr>
            <w:tcW w:w="319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35" w:line="235" w:lineRule="auto"/>
              <w:ind w:left="37" w:leftChars="0" w:right="32"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招标文件、竞争性谈判文件、竞争性磋商文件和询价通知书。</w:t>
            </w:r>
          </w:p>
        </w:tc>
        <w:tc>
          <w:tcPr>
            <w:tcW w:w="2325" w:type="dxa"/>
            <w:vAlign w:val="top"/>
          </w:tcPr>
          <w:p>
            <w:pPr>
              <w:pStyle w:val="21"/>
              <w:rPr>
                <w:rFonts w:hint="eastAsia" w:ascii="仿宋_GB2312" w:hAnsi="仿宋_GB2312" w:eastAsia="仿宋_GB2312" w:cs="仿宋_GB2312"/>
                <w:b/>
                <w:color w:val="auto"/>
                <w:sz w:val="18"/>
                <w:szCs w:val="18"/>
                <w:highlight w:val="none"/>
              </w:rPr>
            </w:pPr>
          </w:p>
          <w:p>
            <w:pPr>
              <w:pStyle w:val="21"/>
              <w:spacing w:before="149" w:line="232"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before="1" w:line="232" w:lineRule="auto"/>
              <w:ind w:left="36" w:leftChars="0" w:right="26"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》、《财政部关于做好政府采购信息公开工作的通知》</w:t>
            </w:r>
          </w:p>
        </w:tc>
        <w:tc>
          <w:tcPr>
            <w:tcW w:w="1610" w:type="dxa"/>
            <w:vAlign w:val="top"/>
          </w:tcPr>
          <w:p>
            <w:pPr>
              <w:pStyle w:val="21"/>
              <w:rPr>
                <w:rFonts w:hint="eastAsia" w:ascii="仿宋_GB2312" w:hAnsi="仿宋_GB2312" w:eastAsia="仿宋_GB2312" w:cs="仿宋_GB2312"/>
                <w:b/>
                <w:color w:val="auto"/>
                <w:sz w:val="18"/>
                <w:szCs w:val="18"/>
                <w:highlight w:val="none"/>
              </w:rPr>
            </w:pPr>
          </w:p>
          <w:p>
            <w:pPr>
              <w:pStyle w:val="21"/>
              <w:spacing w:before="149" w:line="232" w:lineRule="auto"/>
              <w:ind w:left="59" w:leftChars="0" w:right="24" w:right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随中标、成交结果同时公告。中标、成交结果公告前采购文件已公告的，不再重复公告</w:t>
            </w:r>
          </w:p>
        </w:tc>
        <w:tc>
          <w:tcPr>
            <w:tcW w:w="835" w:type="dxa"/>
            <w:vAlign w:val="top"/>
          </w:tcPr>
          <w:p>
            <w:pPr>
              <w:pStyle w:val="21"/>
              <w:rPr>
                <w:rFonts w:hint="eastAsia" w:ascii="仿宋_GB2312" w:hAnsi="仿宋_GB2312" w:eastAsia="仿宋_GB2312" w:cs="仿宋_GB2312"/>
                <w:b/>
                <w:color w:val="auto"/>
                <w:sz w:val="18"/>
                <w:szCs w:val="18"/>
                <w:highlight w:val="none"/>
              </w:rPr>
            </w:pPr>
          </w:p>
          <w:p>
            <w:pPr>
              <w:pStyle w:val="21"/>
              <w:spacing w:before="9"/>
              <w:rPr>
                <w:rFonts w:hint="eastAsia" w:ascii="仿宋_GB2312" w:hAnsi="仿宋_GB2312" w:eastAsia="仿宋_GB2312" w:cs="仿宋_GB2312"/>
                <w:b/>
                <w:color w:val="auto"/>
                <w:sz w:val="18"/>
                <w:szCs w:val="18"/>
                <w:highlight w:val="none"/>
              </w:rPr>
            </w:pPr>
          </w:p>
          <w:p>
            <w:pPr>
              <w:pStyle w:val="21"/>
              <w:spacing w:line="235" w:lineRule="auto"/>
              <w:ind w:left="66" w:leftChars="0" w:right="123"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公共资源交易中心</w:t>
            </w:r>
          </w:p>
        </w:tc>
        <w:tc>
          <w:tcPr>
            <w:tcW w:w="3420" w:type="dxa"/>
            <w:vAlign w:val="top"/>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7" w:lineRule="exact"/>
              <w:ind w:left="65"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189"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sz w:val="18"/>
                <w:szCs w:val="18"/>
                <w:highlight w:val="none"/>
              </w:rPr>
            </w:pPr>
          </w:p>
        </w:tc>
        <w:tc>
          <w:tcPr>
            <w:tcW w:w="451"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right="83" w:rightChars="0"/>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3" w:hRule="atLeast"/>
        </w:trPr>
        <w:tc>
          <w:tcPr>
            <w:tcW w:w="300" w:type="dxa"/>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59"/>
              <w:ind w:left="50" w:right="1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6</w:t>
            </w:r>
          </w:p>
        </w:tc>
        <w:tc>
          <w:tcPr>
            <w:tcW w:w="540" w:type="dxa"/>
            <w:vMerge w:val="restart"/>
            <w:tcBorders>
              <w:bottom w:val="nil"/>
            </w:tcBorders>
          </w:tcPr>
          <w:p>
            <w:pPr>
              <w:pStyle w:val="21"/>
              <w:rPr>
                <w:rFonts w:hint="eastAsia" w:ascii="仿宋_GB2312" w:hAnsi="仿宋_GB2312" w:eastAsia="仿宋_GB2312" w:cs="仿宋_GB2312"/>
                <w:color w:val="auto"/>
                <w:sz w:val="18"/>
                <w:szCs w:val="18"/>
                <w:highlight w:val="none"/>
              </w:rPr>
            </w:pPr>
          </w:p>
        </w:tc>
        <w:tc>
          <w:tcPr>
            <w:tcW w:w="1246"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1"/>
              <w:rPr>
                <w:rFonts w:hint="eastAsia" w:ascii="仿宋_GB2312" w:hAnsi="仿宋_GB2312" w:eastAsia="仿宋_GB2312" w:cs="仿宋_GB2312"/>
                <w:b/>
                <w:color w:val="auto"/>
                <w:sz w:val="18"/>
                <w:szCs w:val="18"/>
                <w:highlight w:val="none"/>
              </w:rPr>
            </w:pPr>
          </w:p>
          <w:p>
            <w:pPr>
              <w:pStyle w:val="21"/>
              <w:spacing w:line="235" w:lineRule="auto"/>
              <w:ind w:left="40" w:leftChars="0" w:right="103"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采购信息更正公告</w:t>
            </w:r>
          </w:p>
        </w:tc>
        <w:tc>
          <w:tcPr>
            <w:tcW w:w="319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6"/>
              <w:rPr>
                <w:rFonts w:hint="eastAsia" w:ascii="仿宋_GB2312" w:hAnsi="仿宋_GB2312" w:eastAsia="仿宋_GB2312" w:cs="仿宋_GB2312"/>
                <w:b/>
                <w:color w:val="auto"/>
                <w:sz w:val="18"/>
                <w:szCs w:val="18"/>
                <w:highlight w:val="none"/>
              </w:rPr>
            </w:pPr>
          </w:p>
          <w:p>
            <w:pPr>
              <w:pStyle w:val="21"/>
              <w:spacing w:line="235" w:lineRule="auto"/>
              <w:ind w:left="37" w:leftChars="0" w:right="32"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采购人和采购代理机构名称、地址、联系方式；原公告的采购项目名称及首次公告日期；更正事项、内容及日期；采购项目联系人和电话。</w:t>
            </w:r>
          </w:p>
        </w:tc>
        <w:tc>
          <w:tcPr>
            <w:tcW w:w="232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2"/>
              <w:rPr>
                <w:rFonts w:hint="eastAsia" w:ascii="仿宋_GB2312" w:hAnsi="仿宋_GB2312" w:eastAsia="仿宋_GB2312" w:cs="仿宋_GB2312"/>
                <w:b/>
                <w:color w:val="auto"/>
                <w:sz w:val="18"/>
                <w:szCs w:val="18"/>
                <w:highlight w:val="none"/>
              </w:rPr>
            </w:pPr>
          </w:p>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line="235" w:lineRule="auto"/>
              <w:ind w:left="36" w:leftChars="0" w:right="26"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》、《财政部关于做好政府采购信息公开工作的通知》</w:t>
            </w:r>
          </w:p>
        </w:tc>
        <w:tc>
          <w:tcPr>
            <w:tcW w:w="1610"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5"/>
              <w:rPr>
                <w:rFonts w:hint="eastAsia" w:ascii="仿宋_GB2312" w:hAnsi="仿宋_GB2312" w:eastAsia="仿宋_GB2312" w:cs="仿宋_GB2312"/>
                <w:b/>
                <w:color w:val="auto"/>
                <w:sz w:val="18"/>
                <w:szCs w:val="18"/>
                <w:highlight w:val="none"/>
              </w:rPr>
            </w:pPr>
          </w:p>
          <w:p>
            <w:pPr>
              <w:pStyle w:val="21"/>
              <w:spacing w:before="1" w:line="232" w:lineRule="auto"/>
              <w:ind w:left="57" w:leftChars="0" w:right="24" w:rightChars="0" w:firstLine="2" w:firstLine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投标截止时间至少15日前、提交资格预审申请文件截止时间至少3日前，或者提交首次响应文件截止之日3个工作日前</w:t>
            </w:r>
          </w:p>
        </w:tc>
        <w:tc>
          <w:tcPr>
            <w:tcW w:w="83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2"/>
              <w:rPr>
                <w:rFonts w:hint="eastAsia" w:ascii="仿宋_GB2312" w:hAnsi="仿宋_GB2312" w:eastAsia="仿宋_GB2312" w:cs="仿宋_GB2312"/>
                <w:b/>
                <w:color w:val="auto"/>
                <w:sz w:val="18"/>
                <w:szCs w:val="18"/>
                <w:highlight w:val="none"/>
              </w:rPr>
            </w:pPr>
          </w:p>
          <w:p>
            <w:pPr>
              <w:pStyle w:val="21"/>
              <w:spacing w:line="235" w:lineRule="auto"/>
              <w:ind w:left="66" w:leftChars="0" w:right="123"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公共资源交易中心</w:t>
            </w:r>
          </w:p>
        </w:tc>
        <w:tc>
          <w:tcPr>
            <w:tcW w:w="3420" w:type="dxa"/>
            <w:vAlign w:val="top"/>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3" w:lineRule="exact"/>
              <w:ind w:left="65"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59"/>
              <w:ind w:left="189"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sz w:val="18"/>
                <w:szCs w:val="18"/>
                <w:highlight w:val="none"/>
              </w:rPr>
            </w:pPr>
          </w:p>
        </w:tc>
        <w:tc>
          <w:tcPr>
            <w:tcW w:w="451"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59"/>
              <w:ind w:right="83" w:rightChars="0"/>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8" w:hRule="atLeast"/>
        </w:trPr>
        <w:tc>
          <w:tcPr>
            <w:tcW w:w="300" w:type="dxa"/>
            <w:tcBorders>
              <w:bottom w:val="single" w:color="auto" w:sz="4" w:space="0"/>
            </w:tcBorders>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7</w:t>
            </w:r>
          </w:p>
        </w:tc>
        <w:tc>
          <w:tcPr>
            <w:tcW w:w="540" w:type="dxa"/>
            <w:vMerge w:val="continue"/>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22" w:leftChars="0" w:right="84" w:right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单一来源公示</w:t>
            </w:r>
          </w:p>
        </w:tc>
        <w:tc>
          <w:tcPr>
            <w:tcW w:w="3195" w:type="dxa"/>
            <w:vAlign w:val="top"/>
          </w:tcPr>
          <w:p>
            <w:pPr>
              <w:pStyle w:val="21"/>
              <w:spacing w:before="159" w:line="232"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采购人、采购项目名称；拟采购的货物或者服务的说明、拟采购的货物或者服务的预算金额；采用单一来源方式的原因及相关说明；拟定的唯一供应商名称</w:t>
            </w:r>
          </w:p>
          <w:p>
            <w:pPr>
              <w:pStyle w:val="21"/>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、地址；专业人员对相关供应商因专利</w:t>
            </w:r>
          </w:p>
          <w:p>
            <w:pPr>
              <w:pStyle w:val="21"/>
              <w:spacing w:before="1" w:line="235" w:lineRule="auto"/>
              <w:ind w:left="37" w:leftChars="0" w:right="32"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、专有技术等原因具有唯一性的具体论证意见，以及专业人员的姓名、工作单位和职称；公示的期限；采购人、采购代理机构、财政部门的联系地址、联系人和联系电话。</w:t>
            </w:r>
          </w:p>
        </w:tc>
        <w:tc>
          <w:tcPr>
            <w:tcW w:w="232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48" w:line="232"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before="2" w:line="232" w:lineRule="auto"/>
              <w:ind w:left="36" w:leftChars="0" w:right="26"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》、《财政部关于做好政府采购信息公开工作的通知》</w:t>
            </w:r>
          </w:p>
        </w:tc>
        <w:tc>
          <w:tcPr>
            <w:tcW w:w="1610"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0"/>
              <w:rPr>
                <w:rFonts w:hint="eastAsia" w:ascii="仿宋_GB2312" w:hAnsi="仿宋_GB2312" w:eastAsia="仿宋_GB2312" w:cs="仿宋_GB2312"/>
                <w:b/>
                <w:color w:val="auto"/>
                <w:sz w:val="18"/>
                <w:szCs w:val="18"/>
                <w:highlight w:val="none"/>
              </w:rPr>
            </w:pPr>
          </w:p>
          <w:p>
            <w:pPr>
              <w:pStyle w:val="21"/>
              <w:spacing w:line="232" w:lineRule="auto"/>
              <w:ind w:left="59" w:leftChars="0" w:right="24" w:right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及时公开，公示期限不得少于5 个工作日</w:t>
            </w:r>
          </w:p>
        </w:tc>
        <w:tc>
          <w:tcPr>
            <w:tcW w:w="835"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spacing w:before="10"/>
              <w:rPr>
                <w:rFonts w:hint="eastAsia" w:ascii="仿宋_GB2312" w:hAnsi="仿宋_GB2312" w:eastAsia="仿宋_GB2312" w:cs="仿宋_GB2312"/>
                <w:b/>
                <w:color w:val="auto"/>
                <w:sz w:val="18"/>
                <w:szCs w:val="18"/>
                <w:highlight w:val="none"/>
              </w:rPr>
            </w:pPr>
          </w:p>
          <w:p>
            <w:pPr>
              <w:pStyle w:val="21"/>
              <w:spacing w:line="232" w:lineRule="auto"/>
              <w:ind w:left="66" w:leftChars="0" w:right="123"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公共资源交易中心</w:t>
            </w:r>
          </w:p>
        </w:tc>
        <w:tc>
          <w:tcPr>
            <w:tcW w:w="3420" w:type="dxa"/>
            <w:vAlign w:val="top"/>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7" w:lineRule="exact"/>
              <w:ind w:left="65"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left="189"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sz w:val="18"/>
                <w:szCs w:val="18"/>
                <w:highlight w:val="none"/>
              </w:rPr>
            </w:pPr>
          </w:p>
        </w:tc>
        <w:tc>
          <w:tcPr>
            <w:tcW w:w="451" w:type="dxa"/>
            <w:vAlign w:val="top"/>
          </w:tcPr>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rPr>
                <w:rFonts w:hint="eastAsia" w:ascii="仿宋_GB2312" w:hAnsi="仿宋_GB2312" w:eastAsia="仿宋_GB2312" w:cs="仿宋_GB2312"/>
                <w:b/>
                <w:color w:val="auto"/>
                <w:sz w:val="18"/>
                <w:szCs w:val="18"/>
                <w:highlight w:val="none"/>
              </w:rPr>
            </w:pPr>
          </w:p>
          <w:p>
            <w:pPr>
              <w:pStyle w:val="21"/>
              <w:ind w:right="83" w:rightChars="0"/>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4" w:hRule="atLeast"/>
        </w:trPr>
        <w:tc>
          <w:tcPr>
            <w:tcW w:w="300" w:type="dxa"/>
            <w:tcBorders>
              <w:bottom w:val="single" w:color="auto" w:sz="4" w:space="0"/>
            </w:tcBorders>
            <w:vAlign w:val="center"/>
          </w:tcPr>
          <w:p>
            <w:pPr>
              <w:pStyle w:val="21"/>
              <w:spacing w:before="1"/>
              <w:ind w:left="50" w:right="10"/>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18</w:t>
            </w:r>
          </w:p>
        </w:tc>
        <w:tc>
          <w:tcPr>
            <w:tcW w:w="540" w:type="dxa"/>
            <w:tcBorders>
              <w:top w:val="nil"/>
              <w:bottom w:val="single" w:color="auto" w:sz="4"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5" w:lineRule="auto"/>
              <w:ind w:left="97" w:leftChars="0" w:right="60" w:rightChars="0"/>
              <w:jc w:val="both"/>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政府采购信息</w:t>
            </w:r>
          </w:p>
        </w:tc>
        <w:tc>
          <w:tcPr>
            <w:tcW w:w="1246" w:type="dxa"/>
            <w:tcBorders>
              <w:bottom w:val="single" w:color="auto" w:sz="4"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6" w:line="235" w:lineRule="auto"/>
              <w:ind w:left="40" w:leftChars="0" w:right="103" w:rightChars="0"/>
              <w:jc w:val="both"/>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协议供货和定点采购的具体成交记录</w:t>
            </w:r>
          </w:p>
        </w:tc>
        <w:tc>
          <w:tcPr>
            <w:tcW w:w="3195"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2"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采购人和成交供应商的名称、成交金额以及成交标的的名称、规格型号、数量</w:t>
            </w:r>
          </w:p>
          <w:p>
            <w:pPr>
              <w:pStyle w:val="21"/>
              <w:spacing w:line="235" w:lineRule="auto"/>
              <w:ind w:left="37" w:leftChars="0" w:right="32" w:rightChars="0"/>
              <w:jc w:val="both"/>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、单价等。电子卖场、电子商城、网上超市等的具体成交记录，也应当予以公开。</w:t>
            </w:r>
          </w:p>
        </w:tc>
        <w:tc>
          <w:tcPr>
            <w:tcW w:w="2325"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6" w:line="235" w:lineRule="auto"/>
              <w:ind w:left="36" w:leftChars="0" w:right="33" w:rightChars="0"/>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《关于进一步做好政府采购信息公开工作有关事项的通知》</w:t>
            </w:r>
          </w:p>
        </w:tc>
        <w:tc>
          <w:tcPr>
            <w:tcW w:w="1610"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2"/>
              <w:ind w:left="328" w:leftChars="0"/>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及时公开</w:t>
            </w:r>
          </w:p>
        </w:tc>
        <w:tc>
          <w:tcPr>
            <w:tcW w:w="835"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2"/>
              <w:ind w:left="35" w:leftChars="0"/>
              <w:rPr>
                <w:rFonts w:hint="eastAsia" w:ascii="仿宋_GB2312" w:hAnsi="仿宋_GB2312" w:eastAsia="仿宋_GB2312" w:cs="仿宋_GB2312"/>
                <w:color w:val="auto"/>
                <w:kern w:val="2"/>
                <w:sz w:val="18"/>
                <w:szCs w:val="18"/>
                <w:highlight w:val="none"/>
                <w:lang w:val="en-US" w:eastAsia="zh-CN" w:bidi="zh-CN"/>
              </w:rPr>
            </w:pPr>
            <w:r>
              <w:rPr>
                <w:rFonts w:hint="eastAsia" w:ascii="仿宋_GB2312" w:hAnsi="仿宋_GB2312" w:eastAsia="仿宋_GB2312" w:cs="仿宋_GB2312"/>
                <w:color w:val="auto"/>
                <w:sz w:val="18"/>
                <w:szCs w:val="18"/>
                <w:highlight w:val="none"/>
                <w:lang w:eastAsia="zh-CN"/>
              </w:rPr>
              <w:t>区</w:t>
            </w:r>
            <w:r>
              <w:rPr>
                <w:rFonts w:hint="eastAsia" w:ascii="仿宋_GB2312" w:hAnsi="仿宋_GB2312" w:eastAsia="仿宋_GB2312" w:cs="仿宋_GB2312"/>
                <w:color w:val="auto"/>
                <w:sz w:val="18"/>
                <w:szCs w:val="18"/>
                <w:highlight w:val="none"/>
                <w:lang w:val="en-US" w:eastAsia="zh-CN"/>
              </w:rPr>
              <w:t>财政局</w:t>
            </w:r>
          </w:p>
        </w:tc>
        <w:tc>
          <w:tcPr>
            <w:tcW w:w="3420" w:type="dxa"/>
            <w:vAlign w:val="top"/>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6" w:lineRule="exact"/>
              <w:ind w:left="65" w:leftChars="0"/>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2"/>
              <w:ind w:left="189" w:leftChars="0"/>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kern w:val="2"/>
                <w:sz w:val="18"/>
                <w:szCs w:val="18"/>
                <w:highlight w:val="none"/>
                <w:lang w:val="zh-CN" w:eastAsia="zh-CN" w:bidi="zh-CN"/>
              </w:rPr>
            </w:pPr>
          </w:p>
        </w:tc>
        <w:tc>
          <w:tcPr>
            <w:tcW w:w="451"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2"/>
              <w:ind w:right="83" w:rightChars="0"/>
              <w:jc w:val="right"/>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kern w:val="2"/>
                <w:sz w:val="18"/>
                <w:szCs w:val="18"/>
                <w:highlight w:val="none"/>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300" w:type="dxa"/>
            <w:tcBorders>
              <w:bottom w:val="single" w:color="auto" w:sz="4" w:space="0"/>
            </w:tcBorders>
            <w:vAlign w:val="center"/>
          </w:tcPr>
          <w:p>
            <w:pPr>
              <w:pStyle w:val="21"/>
              <w:spacing w:before="1"/>
              <w:ind w:left="50" w:right="10"/>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19</w:t>
            </w:r>
          </w:p>
        </w:tc>
        <w:tc>
          <w:tcPr>
            <w:tcW w:w="540" w:type="dxa"/>
            <w:tcBorders>
              <w:top w:val="nil"/>
              <w:bottom w:val="single" w:color="auto" w:sz="4" w:space="0"/>
            </w:tcBorders>
          </w:tcPr>
          <w:p>
            <w:pPr>
              <w:jc w:val="left"/>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line="235" w:lineRule="auto"/>
              <w:ind w:left="40" w:leftChars="0" w:right="103" w:rightChars="0"/>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中标、成交结果</w:t>
            </w:r>
          </w:p>
        </w:tc>
        <w:tc>
          <w:tcPr>
            <w:tcW w:w="3195" w:type="dxa"/>
            <w:vAlign w:val="top"/>
          </w:tcPr>
          <w:p>
            <w:pPr>
              <w:pStyle w:val="21"/>
              <w:spacing w:line="235"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采购人和采购代理机构名称、地址、联系方式；项目名称和项目编号；中标或者成交供应商名称、地址和中标或者成交金额；主要中标或者成交标的的名称</w:t>
            </w:r>
          </w:p>
          <w:p>
            <w:pPr>
              <w:pStyle w:val="21"/>
              <w:spacing w:line="235" w:lineRule="auto"/>
              <w:ind w:left="37" w:leftChars="0" w:right="32" w:rightChars="0"/>
              <w:jc w:val="both"/>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pacing w:val="-1"/>
                <w:sz w:val="18"/>
                <w:szCs w:val="18"/>
                <w:highlight w:val="none"/>
              </w:rPr>
              <w:t>、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25"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before="1"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line="235" w:lineRule="auto"/>
              <w:ind w:left="36" w:leftChars="0" w:right="26" w:rightChars="0"/>
              <w:jc w:val="both"/>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》、《财政部关于做好政府采购信息公开工作的通知》</w:t>
            </w:r>
          </w:p>
        </w:tc>
        <w:tc>
          <w:tcPr>
            <w:tcW w:w="1610"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before="1" w:line="235" w:lineRule="auto"/>
              <w:ind w:left="59" w:leftChars="0" w:right="24" w:rightChars="0"/>
              <w:jc w:val="center"/>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自中标、成交供应商确定之日起2个工作日内公告，公告期限为1个工作日</w:t>
            </w:r>
          </w:p>
        </w:tc>
        <w:tc>
          <w:tcPr>
            <w:tcW w:w="835"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2" w:lineRule="auto"/>
              <w:ind w:left="66" w:leftChars="0" w:right="123" w:rightChars="0"/>
              <w:jc w:val="both"/>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lang w:eastAsia="zh-CN"/>
              </w:rPr>
              <w:t>公共资源交易中心</w:t>
            </w:r>
          </w:p>
        </w:tc>
        <w:tc>
          <w:tcPr>
            <w:tcW w:w="3420" w:type="dxa"/>
            <w:vAlign w:val="top"/>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8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6" w:lineRule="exact"/>
              <w:ind w:left="65" w:leftChars="0"/>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before="1"/>
              <w:ind w:left="189" w:leftChars="0"/>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kern w:val="2"/>
                <w:sz w:val="18"/>
                <w:szCs w:val="18"/>
                <w:highlight w:val="none"/>
                <w:lang w:val="zh-CN" w:eastAsia="zh-CN" w:bidi="zh-CN"/>
              </w:rPr>
            </w:pPr>
          </w:p>
        </w:tc>
        <w:tc>
          <w:tcPr>
            <w:tcW w:w="451"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before="1"/>
              <w:ind w:right="83" w:rightChars="0"/>
              <w:jc w:val="right"/>
              <w:rPr>
                <w:rFonts w:hint="eastAsia" w:ascii="仿宋_GB2312" w:hAnsi="仿宋_GB2312" w:eastAsia="仿宋_GB2312" w:cs="仿宋_GB2312"/>
                <w:color w:val="auto"/>
                <w:kern w:val="2"/>
                <w:sz w:val="18"/>
                <w:szCs w:val="18"/>
                <w:highlight w:val="none"/>
                <w:lang w:val="zh-CN" w:eastAsia="zh-CN" w:bidi="zh-CN"/>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kern w:val="2"/>
                <w:sz w:val="18"/>
                <w:szCs w:val="18"/>
                <w:highlight w:val="none"/>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0" w:hRule="atLeast"/>
        </w:trPr>
        <w:tc>
          <w:tcPr>
            <w:tcW w:w="300" w:type="dxa"/>
            <w:tcBorders>
              <w:right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0</w:t>
            </w:r>
          </w:p>
        </w:tc>
        <w:tc>
          <w:tcPr>
            <w:tcW w:w="540" w:type="dxa"/>
            <w:tcBorders>
              <w:top w:val="single" w:color="auto" w:sz="4" w:space="0"/>
              <w:left w:val="single" w:color="auto" w:sz="4" w:space="0"/>
              <w:bottom w:val="nil"/>
            </w:tcBorders>
          </w:tcPr>
          <w:p>
            <w:pPr>
              <w:pStyle w:val="21"/>
              <w:rPr>
                <w:rFonts w:hint="eastAsia" w:ascii="仿宋_GB2312" w:hAnsi="仿宋_GB2312" w:eastAsia="仿宋_GB2312" w:cs="仿宋_GB2312"/>
                <w:color w:val="auto"/>
                <w:sz w:val="18"/>
                <w:szCs w:val="18"/>
                <w:highlight w:val="none"/>
              </w:rPr>
            </w:pPr>
          </w:p>
        </w:tc>
        <w:tc>
          <w:tcPr>
            <w:tcW w:w="1246" w:type="dxa"/>
            <w:tcBorders>
              <w:top w:val="single" w:color="auto" w:sz="4" w:space="0"/>
              <w:right w:val="single" w:color="auto" w:sz="4"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40"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采购合同</w:t>
            </w:r>
          </w:p>
        </w:tc>
        <w:tc>
          <w:tcPr>
            <w:tcW w:w="3195" w:type="dxa"/>
            <w:tcBorders>
              <w:left w:val="single" w:color="auto" w:sz="4" w:space="0"/>
            </w:tcBorders>
            <w:vAlign w:val="top"/>
          </w:tcPr>
          <w:p>
            <w:pPr>
              <w:pStyle w:val="21"/>
              <w:spacing w:before="117" w:line="232"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采购人和采购代理机构名称、地址、联系方式；采购项目名称、编号，合同编号；供应商名称；合同内容。</w:t>
            </w:r>
          </w:p>
          <w:p>
            <w:pPr>
              <w:pStyle w:val="21"/>
              <w:spacing w:before="3" w:line="232" w:lineRule="auto"/>
              <w:ind w:left="37" w:leftChars="0" w:right="32"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25" w:type="dxa"/>
            <w:vAlign w:val="top"/>
          </w:tcPr>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line="235" w:lineRule="auto"/>
              <w:ind w:left="36" w:leftChars="0" w:right="26"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》、《财政部关于做好政府采购信息公开工作的通知》</w:t>
            </w:r>
          </w:p>
        </w:tc>
        <w:tc>
          <w:tcPr>
            <w:tcW w:w="1610"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194" w:leftChars="0" w:right="24" w:rightChars="0" w:hanging="135"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合同签订之日起2个工作日内</w:t>
            </w:r>
          </w:p>
        </w:tc>
        <w:tc>
          <w:tcPr>
            <w:tcW w:w="835"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2" w:lineRule="auto"/>
              <w:ind w:left="66" w:leftChars="0" w:right="123" w:rightChars="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公共资源交易中心</w:t>
            </w:r>
          </w:p>
        </w:tc>
        <w:tc>
          <w:tcPr>
            <w:tcW w:w="3420" w:type="dxa"/>
            <w:vAlign w:val="top"/>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40"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line="226" w:lineRule="exact"/>
              <w:ind w:left="65"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189" w:lef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vAlign w:val="top"/>
          </w:tcPr>
          <w:p>
            <w:pPr>
              <w:pStyle w:val="21"/>
              <w:rPr>
                <w:rFonts w:hint="eastAsia" w:ascii="仿宋_GB2312" w:hAnsi="仿宋_GB2312" w:eastAsia="仿宋_GB2312" w:cs="仿宋_GB2312"/>
                <w:color w:val="auto"/>
                <w:sz w:val="18"/>
                <w:szCs w:val="18"/>
                <w:highlight w:val="none"/>
              </w:rPr>
            </w:pPr>
          </w:p>
        </w:tc>
        <w:tc>
          <w:tcPr>
            <w:tcW w:w="451"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right="83" w:rightChars="0"/>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vAlign w:val="top"/>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0" w:hRule="atLeast"/>
        </w:trPr>
        <w:tc>
          <w:tcPr>
            <w:tcW w:w="300"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left="50" w:right="1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1</w:t>
            </w:r>
          </w:p>
        </w:tc>
        <w:tc>
          <w:tcPr>
            <w:tcW w:w="540" w:type="dxa"/>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4" w:line="232" w:lineRule="auto"/>
              <w:ind w:left="40" w:right="10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集中采购机构的考核结果公告</w:t>
            </w:r>
          </w:p>
        </w:tc>
        <w:tc>
          <w:tcPr>
            <w:tcW w:w="319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4" w:line="232"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集中采购机构名称、考核内容、考核方法、考核结果、存在问题、考核单位等</w:t>
            </w:r>
          </w:p>
          <w:p>
            <w:pPr>
              <w:pStyle w:val="21"/>
              <w:spacing w:line="227"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232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2"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before="1" w:line="232" w:lineRule="auto"/>
              <w:ind w:left="36" w:right="2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》（国办发〔2017〕97号）、《财政部关于做好政府采购信息公开工作的通知》（财库〔2015〕135号）</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4" w:line="232" w:lineRule="auto"/>
              <w:ind w:left="59"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完成并履行有关报审程序后5个工作日内</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left="35"/>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w:t>
            </w:r>
            <w:r>
              <w:rPr>
                <w:rFonts w:hint="eastAsia" w:ascii="仿宋_GB2312" w:hAnsi="仿宋_GB2312" w:eastAsia="仿宋_GB2312" w:cs="仿宋_GB2312"/>
                <w:color w:val="auto"/>
                <w:sz w:val="18"/>
                <w:szCs w:val="18"/>
                <w:highlight w:val="none"/>
              </w:rPr>
              <w:t>财政</w:t>
            </w:r>
            <w:r>
              <w:rPr>
                <w:rFonts w:hint="eastAsia" w:ascii="仿宋_GB2312" w:hAnsi="仿宋_GB2312" w:eastAsia="仿宋_GB2312" w:cs="仿宋_GB2312"/>
                <w:color w:val="auto"/>
                <w:sz w:val="18"/>
                <w:szCs w:val="18"/>
                <w:highlight w:val="none"/>
                <w:lang w:eastAsia="zh-CN"/>
              </w:rPr>
              <w:t>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中国政府采购网及其地方分网</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省级（含计划单列市）</w:t>
            </w:r>
            <w:r>
              <w:rPr>
                <w:rFonts w:hint="eastAsia" w:ascii="仿宋_GB2312" w:hAnsi="仿宋_GB2312" w:eastAsia="仿宋_GB2312" w:cs="仿宋_GB2312"/>
                <w:color w:val="auto"/>
                <w:spacing w:val="-5"/>
                <w:sz w:val="18"/>
                <w:szCs w:val="18"/>
                <w:highlight w:val="none"/>
              </w:rPr>
              <w:t>财政部门</w:t>
            </w:r>
            <w:r>
              <w:rPr>
                <w:rFonts w:hint="eastAsia" w:ascii="仿宋_GB2312" w:hAnsi="仿宋_GB2312" w:eastAsia="仿宋_GB2312" w:cs="仿宋_GB2312"/>
                <w:color w:val="auto"/>
                <w:w w:val="105"/>
                <w:sz w:val="18"/>
                <w:szCs w:val="18"/>
                <w:highlight w:val="none"/>
              </w:rPr>
              <w:t>指定的媒体</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《中国财经报》（《中国政府采</w:t>
            </w:r>
            <w:r>
              <w:rPr>
                <w:rFonts w:hint="eastAsia" w:ascii="仿宋_GB2312" w:hAnsi="仿宋_GB2312" w:eastAsia="仿宋_GB2312" w:cs="仿宋_GB2312"/>
                <w:color w:val="auto"/>
                <w:w w:val="105"/>
                <w:sz w:val="18"/>
                <w:szCs w:val="18"/>
                <w:highlight w:val="none"/>
              </w:rPr>
              <w:t>购报》）</w:t>
            </w:r>
          </w:p>
          <w:p>
            <w:pPr>
              <w:pStyle w:val="21"/>
              <w:spacing w:line="232" w:lineRule="auto"/>
              <w:ind w:left="65" w:right="40"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pacing w:val="-2"/>
                <w:sz w:val="18"/>
                <w:szCs w:val="18"/>
                <w:highlight w:val="none"/>
              </w:rPr>
              <w:t>《中国政府采购杂志》</w:t>
            </w:r>
            <w:r>
              <w:rPr>
                <w:rFonts w:hint="eastAsia" w:ascii="仿宋_GB2312" w:hAnsi="仿宋_GB2312" w:eastAsia="仿宋_GB2312" w:cs="仿宋_GB2312"/>
                <w:color w:val="auto"/>
                <w:w w:val="105"/>
                <w:sz w:val="18"/>
                <w:szCs w:val="18"/>
                <w:highlight w:val="none"/>
              </w:rPr>
              <w:t>《中国财政杂志》</w:t>
            </w:r>
          </w:p>
          <w:p>
            <w:pPr>
              <w:pStyle w:val="21"/>
              <w:spacing w:before="1" w:line="232" w:lineRule="auto"/>
              <w:ind w:left="65" w:right="341" w:rightChars="0"/>
              <w:jc w:val="both"/>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公共资源交易平</w:t>
            </w:r>
            <w:r>
              <w:rPr>
                <w:rFonts w:hint="eastAsia" w:ascii="仿宋_GB2312" w:hAnsi="仿宋_GB2312" w:eastAsia="仿宋_GB2312" w:cs="仿宋_GB2312"/>
                <w:color w:val="auto"/>
                <w:sz w:val="18"/>
                <w:szCs w:val="18"/>
                <w:highlight w:val="none"/>
                <w:lang w:eastAsia="zh-CN"/>
              </w:rPr>
              <w:t>台</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trPr>
        <w:tc>
          <w:tcPr>
            <w:tcW w:w="30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2</w:t>
            </w:r>
          </w:p>
        </w:tc>
        <w:tc>
          <w:tcPr>
            <w:tcW w:w="540" w:type="dxa"/>
            <w:vMerge w:val="restart"/>
            <w:tcBorders>
              <w:bottom w:val="nil"/>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97" w:right="6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国有土地使用权出让信息</w:t>
            </w:r>
          </w:p>
        </w:tc>
        <w:tc>
          <w:tcPr>
            <w:tcW w:w="12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土地出让计划</w:t>
            </w:r>
          </w:p>
        </w:tc>
        <w:tc>
          <w:tcPr>
            <w:tcW w:w="3195" w:type="dxa"/>
          </w:tcPr>
          <w:p>
            <w:pPr>
              <w:pStyle w:val="21"/>
              <w:rPr>
                <w:rFonts w:hint="eastAsia" w:ascii="仿宋_GB2312" w:hAnsi="仿宋_GB2312" w:eastAsia="仿宋_GB2312" w:cs="仿宋_GB2312"/>
                <w:color w:val="auto"/>
                <w:sz w:val="18"/>
                <w:szCs w:val="18"/>
                <w:highlight w:val="none"/>
              </w:rPr>
            </w:pPr>
          </w:p>
          <w:p>
            <w:pPr>
              <w:pStyle w:val="21"/>
              <w:spacing w:line="235"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明确国有建设用地供应指导思想和原 </w:t>
            </w:r>
            <w:r>
              <w:rPr>
                <w:rFonts w:hint="eastAsia" w:ascii="仿宋_GB2312" w:hAnsi="仿宋_GB2312" w:eastAsia="仿宋_GB2312" w:cs="仿宋_GB2312"/>
                <w:color w:val="auto"/>
                <w:spacing w:val="-1"/>
                <w:sz w:val="18"/>
                <w:szCs w:val="18"/>
                <w:highlight w:val="none"/>
              </w:rPr>
              <w:t>则；提出国有建设用地供应政策导向； 确定国有建设用地供应总量、结构、布</w:t>
            </w:r>
            <w:r>
              <w:rPr>
                <w:rFonts w:hint="eastAsia" w:ascii="仿宋_GB2312" w:hAnsi="仿宋_GB2312" w:eastAsia="仿宋_GB2312" w:cs="仿宋_GB2312"/>
                <w:color w:val="auto"/>
                <w:sz w:val="18"/>
                <w:szCs w:val="18"/>
                <w:highlight w:val="none"/>
              </w:rPr>
              <w:t>局、时序和方式；落实计划供应的宗 地；实施计划的保障措施。</w:t>
            </w:r>
          </w:p>
        </w:tc>
        <w:tc>
          <w:tcPr>
            <w:tcW w:w="2325" w:type="dxa"/>
          </w:tcPr>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国办发〔2017〕97号）、《招标拍卖挂牌出让国有建设用地使用权规定》（国土资源部令第39号）、《国有建设用地供应计划编制规范》（试行）（2010年9月）</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2" w:line="235" w:lineRule="auto"/>
              <w:ind w:left="59" w:right="24" w:hanging="2"/>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每年3月31日  </w:t>
            </w:r>
            <w:r>
              <w:rPr>
                <w:rFonts w:hint="eastAsia" w:ascii="仿宋_GB2312" w:hAnsi="仿宋_GB2312" w:eastAsia="仿宋_GB2312" w:cs="仿宋_GB2312"/>
                <w:color w:val="auto"/>
                <w:spacing w:val="-3"/>
                <w:sz w:val="18"/>
                <w:szCs w:val="18"/>
                <w:highlight w:val="none"/>
              </w:rPr>
              <w:t>前，公布年度国有建设用地供应</w:t>
            </w:r>
            <w:r>
              <w:rPr>
                <w:rFonts w:hint="eastAsia" w:ascii="仿宋_GB2312" w:hAnsi="仿宋_GB2312" w:eastAsia="仿宋_GB2312" w:cs="仿宋_GB2312"/>
                <w:color w:val="auto"/>
                <w:sz w:val="18"/>
                <w:szCs w:val="18"/>
                <w:highlight w:val="none"/>
              </w:rPr>
              <w:t>计划</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2" w:line="235" w:lineRule="auto"/>
              <w:ind w:left="35" w:right="154"/>
              <w:jc w:val="both"/>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盘锦市自然资源局双台子分局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line="228"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各级自然资源管理部门网站</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51" w:hRule="atLeast"/>
        </w:trPr>
        <w:tc>
          <w:tcPr>
            <w:tcW w:w="30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3</w:t>
            </w:r>
          </w:p>
        </w:tc>
        <w:tc>
          <w:tcPr>
            <w:tcW w:w="540" w:type="dxa"/>
            <w:vMerge w:val="continue"/>
            <w:tcBorders>
              <w:top w:val="nil"/>
              <w:bottom w:val="nil"/>
            </w:tcBorders>
          </w:tcPr>
          <w:p>
            <w:pPr>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5"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招标拍卖挂牌出让公告</w:t>
            </w:r>
          </w:p>
        </w:tc>
        <w:tc>
          <w:tcPr>
            <w:tcW w:w="3195" w:type="dxa"/>
          </w:tcPr>
          <w:p>
            <w:pPr>
              <w:pStyle w:val="21"/>
              <w:spacing w:before="1"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出让人的名称和地址；出让宗地的面积</w:t>
            </w:r>
          </w:p>
          <w:p>
            <w:pPr>
              <w:pStyle w:val="21"/>
              <w:spacing w:before="1" w:line="235"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2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line="235" w:lineRule="auto"/>
              <w:ind w:left="36" w:right="2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》（国办发〔2017〕97号）、《招标拍卖挂牌出让国有建设用地使用权规定》（国土资源部令第39号）</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3" w:line="235" w:lineRule="auto"/>
              <w:ind w:left="57" w:right="24" w:firstLine="2"/>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至少在投标、拍卖或者挂牌开始日前20日。挂牌时间不得少于10 日</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ind w:lef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盘锦市自然资源局双台子分局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2" w:lineRule="auto"/>
              <w:ind w:left="65" w:right="9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土地有形市场或者指定的场所、媒介（一般指中国土地市场网、当</w:t>
            </w:r>
            <w:r>
              <w:rPr>
                <w:rFonts w:hint="eastAsia" w:ascii="仿宋_GB2312" w:hAnsi="仿宋_GB2312" w:eastAsia="仿宋_GB2312" w:cs="仿宋_GB2312"/>
                <w:color w:val="auto"/>
                <w:w w:val="105"/>
                <w:sz w:val="18"/>
                <w:szCs w:val="18"/>
                <w:highlight w:val="none"/>
              </w:rPr>
              <w:t>地政府媒介）</w:t>
            </w:r>
            <w:r>
              <w:rPr>
                <w:rFonts w:hint="eastAsia" w:ascii="仿宋_GB2312" w:hAnsi="仿宋_GB2312" w:eastAsia="仿宋_GB2312" w:cs="仿宋_GB2312"/>
                <w:color w:val="auto"/>
                <w:w w:val="105"/>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49" w:hRule="atLeast"/>
        </w:trPr>
        <w:tc>
          <w:tcPr>
            <w:tcW w:w="300"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4</w:t>
            </w:r>
          </w:p>
        </w:tc>
        <w:tc>
          <w:tcPr>
            <w:tcW w:w="540" w:type="dxa"/>
            <w:vMerge w:val="continue"/>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公告调整</w:t>
            </w:r>
          </w:p>
        </w:tc>
        <w:tc>
          <w:tcPr>
            <w:tcW w:w="319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before="1" w:line="232"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公开国有建设用地使用权出让公告、项目概况、澄清或者修改事项、联系方式</w:t>
            </w:r>
          </w:p>
          <w:p>
            <w:pPr>
              <w:pStyle w:val="21"/>
              <w:spacing w:line="227"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232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before="1" w:line="232" w:lineRule="auto"/>
              <w:ind w:left="36" w:right="2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《招标拍卖挂牌出让国有土地使用权规范》（国土资发〔2006〕114号）</w:t>
            </w:r>
          </w:p>
        </w:tc>
        <w:tc>
          <w:tcPr>
            <w:tcW w:w="1610" w:type="dxa"/>
          </w:tcPr>
          <w:p>
            <w:pPr>
              <w:pStyle w:val="21"/>
              <w:spacing w:before="150" w:line="235" w:lineRule="auto"/>
              <w:ind w:left="59"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按原公告发布渠道及时发布补充公告，涉及土地使用条件变更等影响土地价格的重大变动，补充公告发布时间距招拍挂活动开始</w:t>
            </w:r>
            <w:r>
              <w:rPr>
                <w:rFonts w:hint="eastAsia" w:ascii="仿宋_GB2312" w:hAnsi="仿宋_GB2312" w:eastAsia="仿宋_GB2312" w:cs="仿宋_GB2312"/>
                <w:color w:val="auto"/>
                <w:sz w:val="18"/>
                <w:szCs w:val="18"/>
                <w:highlight w:val="none"/>
              </w:rPr>
              <w:t xml:space="preserve">时间少于20日 </w:t>
            </w:r>
            <w:r>
              <w:rPr>
                <w:rFonts w:hint="eastAsia" w:ascii="仿宋_GB2312" w:hAnsi="仿宋_GB2312" w:eastAsia="仿宋_GB2312" w:cs="仿宋_GB2312"/>
                <w:color w:val="auto"/>
                <w:spacing w:val="-3"/>
                <w:sz w:val="18"/>
                <w:szCs w:val="18"/>
                <w:highlight w:val="none"/>
              </w:rPr>
              <w:t>的，招拍挂活动</w:t>
            </w:r>
            <w:r>
              <w:rPr>
                <w:rFonts w:hint="eastAsia" w:ascii="仿宋_GB2312" w:hAnsi="仿宋_GB2312" w:eastAsia="仿宋_GB2312" w:cs="仿宋_GB2312"/>
                <w:color w:val="auto"/>
                <w:sz w:val="18"/>
                <w:szCs w:val="18"/>
                <w:highlight w:val="none"/>
              </w:rPr>
              <w:t>相应顺延</w:t>
            </w:r>
          </w:p>
        </w:tc>
        <w:tc>
          <w:tcPr>
            <w:tcW w:w="835"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before="1" w:line="232" w:lineRule="auto"/>
              <w:ind w:left="35" w:right="154"/>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盘锦市自然资源局双台子分局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3" w:line="232"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中国土地市场网或者土地有形市</w:t>
            </w:r>
            <w:r>
              <w:rPr>
                <w:rFonts w:hint="eastAsia" w:ascii="仿宋_GB2312" w:hAnsi="仿宋_GB2312" w:eastAsia="仿宋_GB2312" w:cs="仿宋_GB2312"/>
                <w:color w:val="auto"/>
                <w:w w:val="105"/>
                <w:sz w:val="18"/>
                <w:szCs w:val="18"/>
                <w:highlight w:val="none"/>
              </w:rPr>
              <w:t>场等指定场所</w:t>
            </w:r>
            <w:r>
              <w:rPr>
                <w:rFonts w:hint="eastAsia" w:ascii="仿宋_GB2312" w:hAnsi="仿宋_GB2312" w:eastAsia="仿宋_GB2312" w:cs="仿宋_GB2312"/>
                <w:color w:val="auto"/>
                <w:w w:val="105"/>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65" w:hRule="atLeast"/>
        </w:trPr>
        <w:tc>
          <w:tcPr>
            <w:tcW w:w="30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left="50" w:right="10"/>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25</w:t>
            </w:r>
          </w:p>
        </w:tc>
        <w:tc>
          <w:tcPr>
            <w:tcW w:w="540" w:type="dxa"/>
            <w:vMerge w:val="restart"/>
          </w:tcPr>
          <w:p>
            <w:pPr>
              <w:pStyle w:val="21"/>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5" w:lineRule="auto"/>
              <w:ind w:left="40" w:right="10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招标拍卖挂牌出让结果（成交公示）</w:t>
            </w:r>
          </w:p>
        </w:tc>
        <w:tc>
          <w:tcPr>
            <w:tcW w:w="319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5"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土地位置、面积、用途、开发程度、土地级别、容积率、出让年限、供地方式</w:t>
            </w:r>
          </w:p>
          <w:p>
            <w:pPr>
              <w:pStyle w:val="21"/>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、受让人、成交价格和成交时间等。</w:t>
            </w:r>
          </w:p>
        </w:tc>
        <w:tc>
          <w:tcPr>
            <w:tcW w:w="2325" w:type="dxa"/>
          </w:tcPr>
          <w:p>
            <w:pPr>
              <w:pStyle w:val="21"/>
              <w:spacing w:before="158"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《国务院办公厅关于推进公共资源配置领域政府信息公开的意见</w:t>
            </w:r>
          </w:p>
          <w:p>
            <w:pPr>
              <w:pStyle w:val="21"/>
              <w:spacing w:line="235" w:lineRule="auto"/>
              <w:ind w:left="36" w:right="2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w:t>
            </w:r>
            <w:r>
              <w:rPr>
                <w:rFonts w:hint="eastAsia" w:ascii="仿宋_GB2312" w:hAnsi="仿宋_GB2312" w:eastAsia="仿宋_GB2312" w:cs="仿宋_GB2312"/>
                <w:color w:val="auto"/>
                <w:spacing w:val="-9"/>
                <w:sz w:val="18"/>
                <w:szCs w:val="18"/>
                <w:highlight w:val="none"/>
              </w:rPr>
              <w:t>、《</w:t>
            </w:r>
            <w:r>
              <w:rPr>
                <w:rFonts w:hint="eastAsia" w:ascii="仿宋_GB2312" w:hAnsi="仿宋_GB2312" w:eastAsia="仿宋_GB2312" w:cs="仿宋_GB2312"/>
                <w:color w:val="auto"/>
                <w:sz w:val="18"/>
                <w:szCs w:val="18"/>
                <w:highlight w:val="none"/>
              </w:rPr>
              <w:t>招标拍卖挂牌出让国有建设用地使用权规定》（国土资源部令第39号）</w:t>
            </w:r>
            <w:r>
              <w:rPr>
                <w:rFonts w:hint="eastAsia" w:ascii="仿宋_GB2312" w:hAnsi="仿宋_GB2312" w:eastAsia="仿宋_GB2312" w:cs="仿宋_GB2312"/>
                <w:color w:val="auto"/>
                <w:spacing w:val="-2"/>
                <w:sz w:val="18"/>
                <w:szCs w:val="18"/>
                <w:highlight w:val="none"/>
              </w:rPr>
              <w:t>、《招标拍卖挂牌出让国</w:t>
            </w:r>
            <w:r>
              <w:rPr>
                <w:rFonts w:hint="eastAsia" w:ascii="仿宋_GB2312" w:hAnsi="仿宋_GB2312" w:eastAsia="仿宋_GB2312" w:cs="仿宋_GB2312"/>
                <w:color w:val="auto"/>
                <w:sz w:val="18"/>
                <w:szCs w:val="18"/>
                <w:highlight w:val="none"/>
              </w:rPr>
              <w:t>有土地使用权规范》（国土资发</w:t>
            </w:r>
          </w:p>
          <w:p>
            <w:pPr>
              <w:pStyle w:val="21"/>
              <w:spacing w:line="223" w:lineRule="exact"/>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〔2006〕114号）</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5" w:lineRule="auto"/>
              <w:ind w:left="57" w:right="24" w:firstLine="2"/>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招标拍卖挂牌活动结束后的10个工作日内</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lef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盘锦市自然资源局双台子分局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2" w:lineRule="auto"/>
              <w:ind w:left="65" w:right="9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土地有形市场或者指定的场所、媒介（一般指中国土地市场网、当</w:t>
            </w:r>
            <w:r>
              <w:rPr>
                <w:rFonts w:hint="eastAsia" w:ascii="仿宋_GB2312" w:hAnsi="仿宋_GB2312" w:eastAsia="仿宋_GB2312" w:cs="仿宋_GB2312"/>
                <w:color w:val="auto"/>
                <w:w w:val="105"/>
                <w:sz w:val="18"/>
                <w:szCs w:val="18"/>
                <w:highlight w:val="none"/>
              </w:rPr>
              <w:t>地政府媒介）</w:t>
            </w:r>
            <w:r>
              <w:rPr>
                <w:rFonts w:hint="eastAsia" w:ascii="仿宋_GB2312" w:hAnsi="仿宋_GB2312" w:eastAsia="仿宋_GB2312" w:cs="仿宋_GB2312"/>
                <w:color w:val="auto"/>
                <w:w w:val="105"/>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1" w:hRule="atLeast"/>
        </w:trPr>
        <w:tc>
          <w:tcPr>
            <w:tcW w:w="30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50" w:right="10"/>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26</w:t>
            </w:r>
          </w:p>
        </w:tc>
        <w:tc>
          <w:tcPr>
            <w:tcW w:w="540"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供应结果</w:t>
            </w:r>
          </w:p>
        </w:tc>
        <w:tc>
          <w:tcPr>
            <w:tcW w:w="3195"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国有建设用地使用权年度供应结果。</w:t>
            </w:r>
          </w:p>
        </w:tc>
        <w:tc>
          <w:tcPr>
            <w:tcW w:w="2325" w:type="dxa"/>
          </w:tcPr>
          <w:p>
            <w:pPr>
              <w:pStyle w:val="21"/>
              <w:spacing w:before="151"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《国务院办公厅关于推进公共资源配置领域政府信息公开的意见》（国办发〔2017〕97号）</w:t>
            </w:r>
          </w:p>
        </w:tc>
        <w:tc>
          <w:tcPr>
            <w:tcW w:w="1610"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32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w:t>
            </w:r>
          </w:p>
        </w:tc>
        <w:tc>
          <w:tcPr>
            <w:tcW w:w="835" w:type="dxa"/>
          </w:tcPr>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2" w:lineRule="auto"/>
              <w:ind w:left="35" w:right="15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盘锦市自然资源局双台子分局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line="228"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各级自然资源管理部门网站</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300"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ind w:left="50" w:right="10"/>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27</w:t>
            </w:r>
          </w:p>
        </w:tc>
        <w:tc>
          <w:tcPr>
            <w:tcW w:w="540"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5"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招标拍卖挂牌出让公告</w:t>
            </w:r>
          </w:p>
        </w:tc>
        <w:tc>
          <w:tcPr>
            <w:tcW w:w="3195" w:type="dxa"/>
          </w:tcPr>
          <w:p>
            <w:pPr>
              <w:pStyle w:val="21"/>
              <w:keepNext w:val="0"/>
              <w:keepLines w:val="0"/>
              <w:pageBreakBefore w:val="0"/>
              <w:widowControl w:val="0"/>
              <w:kinsoku/>
              <w:wordWrap/>
              <w:overflowPunct/>
              <w:topLinePunct w:val="0"/>
              <w:autoSpaceDE/>
              <w:autoSpaceDN/>
              <w:bidi w:val="0"/>
              <w:adjustRightInd/>
              <w:snapToGrid/>
              <w:spacing w:line="232" w:lineRule="auto"/>
              <w:ind w:left="40" w:right="34"/>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出让人和矿业权交易平台的名称、场 </w:t>
            </w:r>
            <w:r>
              <w:rPr>
                <w:rFonts w:hint="eastAsia" w:ascii="仿宋_GB2312" w:hAnsi="仿宋_GB2312" w:eastAsia="仿宋_GB2312" w:cs="仿宋_GB2312"/>
                <w:color w:val="auto"/>
                <w:spacing w:val="-1"/>
                <w:sz w:val="18"/>
                <w:szCs w:val="18"/>
                <w:highlight w:val="none"/>
              </w:rPr>
              <w:t>所；出让矿业权的简要情况，包括项目名称、矿种、地理位置、拐点范围坐标</w:t>
            </w:r>
          </w:p>
          <w:p>
            <w:pPr>
              <w:pStyle w:val="21"/>
              <w:keepNext w:val="0"/>
              <w:keepLines w:val="0"/>
              <w:pageBreakBefore w:val="0"/>
              <w:widowControl w:val="0"/>
              <w:kinsoku/>
              <w:wordWrap/>
              <w:overflowPunct/>
              <w:topLinePunct w:val="0"/>
              <w:autoSpaceDE/>
              <w:autoSpaceDN/>
              <w:bidi w:val="0"/>
              <w:adjustRightInd/>
              <w:snapToGrid/>
              <w:spacing w:line="235" w:lineRule="auto"/>
              <w:ind w:left="40" w:right="34"/>
              <w:jc w:val="both"/>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25" w:type="dxa"/>
          </w:tcPr>
          <w:p>
            <w:pPr>
              <w:pStyle w:val="21"/>
              <w:spacing w:before="1"/>
              <w:rPr>
                <w:rFonts w:hint="eastAsia" w:ascii="仿宋_GB2312" w:hAnsi="仿宋_GB2312" w:eastAsia="仿宋_GB2312" w:cs="仿宋_GB2312"/>
                <w:color w:val="auto"/>
                <w:sz w:val="18"/>
                <w:szCs w:val="18"/>
                <w:highlight w:val="none"/>
              </w:rPr>
            </w:pPr>
          </w:p>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before="1" w:line="232"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》（国办发〔2017〕97号）、国土资源部关于印发矿业权交易规则》的通知（国土资规〔2017〕7号）、《自然资源部关于调整&lt; 矿业权交易规则&gt;有关规定的通知》（自然资发〔2018〕</w:t>
            </w:r>
          </w:p>
          <w:p>
            <w:pPr>
              <w:pStyle w:val="21"/>
              <w:spacing w:before="1"/>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175号）</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5" w:lineRule="auto"/>
              <w:ind w:left="57" w:right="24" w:firstLine="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在投标截止日、公开拍卖日或者挂牌起始日20个工作日前发布。挂牌时间不得少于10个工作日</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5" w:lineRule="auto"/>
              <w:ind w:left="35" w:right="15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盘锦市自然资源局双台子分局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r>
              <w:rPr>
                <w:rFonts w:hint="eastAsia" w:ascii="仿宋_GB2312" w:hAnsi="仿宋_GB2312" w:eastAsia="仿宋_GB2312" w:cs="仿宋_GB2312"/>
                <w:color w:val="auto"/>
                <w:sz w:val="18"/>
                <w:szCs w:val="18"/>
                <w:highlight w:val="none"/>
              </w:rPr>
              <w:t>在下列平台同时发布：</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自然资源部门户网站</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68" w:hRule="atLeast"/>
        </w:trPr>
        <w:tc>
          <w:tcPr>
            <w:tcW w:w="30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50" w:right="10"/>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28</w:t>
            </w:r>
          </w:p>
        </w:tc>
        <w:tc>
          <w:tcPr>
            <w:tcW w:w="540" w:type="dxa"/>
            <w:vMerge w:val="restart"/>
            <w:tcBorders>
              <w:bottom w:val="nil"/>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7" w:line="232" w:lineRule="auto"/>
              <w:ind w:left="97" w:right="6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矿业权出让信息</w:t>
            </w:r>
          </w:p>
        </w:tc>
        <w:tc>
          <w:tcPr>
            <w:tcW w:w="12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9" w:line="232"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招标拍卖挂牌成交结果公示</w:t>
            </w:r>
          </w:p>
        </w:tc>
        <w:tc>
          <w:tcPr>
            <w:tcW w:w="3195" w:type="dxa"/>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中标人或者竞得人的名称、场所，成交时间、地点；中标或者竞得的勘查区块</w:t>
            </w:r>
          </w:p>
          <w:p>
            <w:pPr>
              <w:pStyle w:val="21"/>
              <w:spacing w:before="1" w:line="232"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、面积、开采范围的简要情况；矿业权成交价格及缴纳时间、方式，申请办理矿业权登记的时限；对公示内容提出异议的方式及途径；应当公示的其他内容</w:t>
            </w:r>
          </w:p>
          <w:p>
            <w:pPr>
              <w:pStyle w:val="21"/>
              <w:spacing w:line="230"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2325" w:type="dxa"/>
          </w:tcPr>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《国务院办公厅关于推进公共资源配置领域政府信息公开的意见</w:t>
            </w:r>
          </w:p>
          <w:p>
            <w:pPr>
              <w:pStyle w:val="21"/>
              <w:spacing w:before="1" w:line="232" w:lineRule="auto"/>
              <w:ind w:left="36" w:right="2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》（国办发〔2017〕97号）、国土资源部关于印发矿业权交易规则》的通知（国土资规〔2017〕7号）</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5" w:lineRule="auto"/>
              <w:ind w:left="59" w:right="24"/>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发出中标通知书或者签订成交确认书后5个工作日内进行信息公示。公示期不少于10个工作日</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9" w:line="232" w:lineRule="auto"/>
              <w:ind w:left="35" w:right="15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盘锦市自然资源局双台子分局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r>
              <w:rPr>
                <w:rFonts w:hint="eastAsia" w:ascii="仿宋_GB2312" w:hAnsi="仿宋_GB2312" w:eastAsia="仿宋_GB2312" w:cs="仿宋_GB2312"/>
                <w:color w:val="auto"/>
                <w:sz w:val="18"/>
                <w:szCs w:val="18"/>
                <w:highlight w:val="none"/>
              </w:rPr>
              <w:t>在下列平台同时发布：</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自然资源部门户网站</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同级自然资源主管部门门户网站</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矿业权交易平台交易大厅</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300" w:type="dxa"/>
            <w:tcBorders>
              <w:bottom w:val="single" w:color="auto" w:sz="4" w:space="0"/>
            </w:tcBorders>
          </w:tcPr>
          <w:p>
            <w:pPr>
              <w:pStyle w:val="21"/>
              <w:spacing w:before="8"/>
              <w:rPr>
                <w:rFonts w:hint="eastAsia" w:ascii="仿宋_GB2312" w:hAnsi="仿宋_GB2312" w:eastAsia="仿宋_GB2312" w:cs="仿宋_GB2312"/>
                <w:color w:val="auto"/>
                <w:sz w:val="18"/>
                <w:szCs w:val="18"/>
                <w:highlight w:val="none"/>
              </w:rPr>
            </w:pPr>
          </w:p>
          <w:p>
            <w:pPr>
              <w:pStyle w:val="21"/>
              <w:ind w:left="50" w:right="10"/>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29</w:t>
            </w:r>
          </w:p>
        </w:tc>
        <w:tc>
          <w:tcPr>
            <w:tcW w:w="540" w:type="dxa"/>
            <w:vMerge w:val="continue"/>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tcPr>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审批结果信息</w:t>
            </w:r>
          </w:p>
        </w:tc>
        <w:tc>
          <w:tcPr>
            <w:tcW w:w="3195" w:type="dxa"/>
          </w:tcPr>
          <w:p>
            <w:pPr>
              <w:pStyle w:val="21"/>
              <w:spacing w:before="128" w:line="235"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每个项目的审批结果信息（交易完成后由各级自然资源管理部门审批）。</w:t>
            </w:r>
          </w:p>
        </w:tc>
        <w:tc>
          <w:tcPr>
            <w:tcW w:w="2325" w:type="dxa"/>
          </w:tcPr>
          <w:p>
            <w:pPr>
              <w:pStyle w:val="21"/>
              <w:spacing w:line="235" w:lineRule="auto"/>
              <w:ind w:left="36" w:right="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《中华人民共和国政府信息公开条例》、《国务院办公厅关于推进公共资源配置领域政府信息公开的意见》（国办发〔2017〕97 号）</w:t>
            </w:r>
          </w:p>
        </w:tc>
        <w:tc>
          <w:tcPr>
            <w:tcW w:w="1610" w:type="dxa"/>
          </w:tcPr>
          <w:p>
            <w:pPr>
              <w:pStyle w:val="21"/>
              <w:spacing w:before="128" w:line="235" w:lineRule="auto"/>
              <w:ind w:left="148" w:right="24" w:hanging="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35" w:type="dxa"/>
          </w:tcPr>
          <w:p>
            <w:pPr>
              <w:pStyle w:val="21"/>
              <w:spacing w:before="128" w:line="235" w:lineRule="auto"/>
              <w:ind w:right="15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盘锦市自然资源局双台子分局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r>
              <w:rPr>
                <w:rFonts w:hint="eastAsia" w:ascii="仿宋_GB2312" w:hAnsi="仿宋_GB2312" w:eastAsia="仿宋_GB2312" w:cs="仿宋_GB2312"/>
                <w:color w:val="auto"/>
                <w:sz w:val="18"/>
                <w:szCs w:val="18"/>
                <w:highlight w:val="none"/>
              </w:rPr>
              <w:t>在下列平台同时发布：</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自然资源部门户网站</w:t>
            </w:r>
          </w:p>
          <w:p>
            <w:pPr>
              <w:pStyle w:val="21"/>
              <w:spacing w:line="228"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同级自然资源主管部门门户网站</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2" w:hRule="atLeast"/>
        </w:trPr>
        <w:tc>
          <w:tcPr>
            <w:tcW w:w="300" w:type="dxa"/>
            <w:tcBorders>
              <w:top w:val="single" w:color="auto" w:sz="4" w:space="0"/>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50" w:right="10"/>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30</w:t>
            </w:r>
          </w:p>
        </w:tc>
        <w:tc>
          <w:tcPr>
            <w:tcW w:w="540" w:type="dxa"/>
            <w:vMerge w:val="continue"/>
            <w:tcBorders>
              <w:top w:val="single" w:color="auto" w:sz="4" w:space="0"/>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top w:val="single" w:color="auto" w:sz="4" w:space="0"/>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项目信息</w:t>
            </w:r>
          </w:p>
        </w:tc>
        <w:tc>
          <w:tcPr>
            <w:tcW w:w="319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公告有效期内矿业权基本信息包括矿业权名称、许可证号、矿业权人、矿种、有效期限。</w:t>
            </w:r>
          </w:p>
        </w:tc>
        <w:tc>
          <w:tcPr>
            <w:tcW w:w="232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5" w:lineRule="auto"/>
              <w:ind w:left="36" w:right="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《中华人民共和国政府信息公开条例》、《国务院办公厅关于推进公共资源配置领域政府信息公开的意见》（国办发〔2017〕97 号）</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1" w:line="235" w:lineRule="auto"/>
              <w:ind w:left="508" w:right="24" w:hanging="44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每年一季度集中公告</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1" w:line="235" w:lineRule="auto"/>
              <w:ind w:left="35" w:right="15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盘锦市自然资源局双台子分局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05"/>
                <w:sz w:val="18"/>
                <w:szCs w:val="18"/>
                <w:highlight w:val="none"/>
              </w:rPr>
              <w:t>公共资源交易平台</w:t>
            </w:r>
            <w:r>
              <w:rPr>
                <w:rFonts w:hint="eastAsia" w:ascii="仿宋_GB2312" w:hAnsi="仿宋_GB2312" w:eastAsia="仿宋_GB2312" w:cs="仿宋_GB2312"/>
                <w:color w:val="auto"/>
                <w:sz w:val="18"/>
                <w:szCs w:val="18"/>
                <w:highlight w:val="none"/>
              </w:rPr>
              <w:t>在下列平台同时发布：</w:t>
            </w:r>
          </w:p>
          <w:p>
            <w:pPr>
              <w:pStyle w:val="21"/>
              <w:spacing w:before="2" w:line="235" w:lineRule="auto"/>
              <w:ind w:left="65" w:right="11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自然资源部门户网站</w:t>
            </w:r>
          </w:p>
          <w:p>
            <w:pPr>
              <w:pStyle w:val="21"/>
              <w:spacing w:line="228"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同级自然资源主管部门门户网站</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07" w:hRule="atLeast"/>
          <w:jc w:val="center"/>
        </w:trPr>
        <w:tc>
          <w:tcPr>
            <w:tcW w:w="30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left="50" w:right="1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1</w:t>
            </w:r>
          </w:p>
        </w:tc>
        <w:tc>
          <w:tcPr>
            <w:tcW w:w="540" w:type="dxa"/>
            <w:vMerge w:val="restart"/>
            <w:tcBorders>
              <w:bottom w:val="nil"/>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5" w:lineRule="auto"/>
              <w:ind w:left="97" w:right="6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国有产权交易信息</w:t>
            </w:r>
          </w:p>
        </w:tc>
        <w:tc>
          <w:tcPr>
            <w:tcW w:w="12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2" w:lineRule="auto"/>
              <w:ind w:left="40" w:right="10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国有企业产权转让信息预披露</w:t>
            </w:r>
          </w:p>
        </w:tc>
        <w:tc>
          <w:tcPr>
            <w:tcW w:w="3195" w:type="dxa"/>
          </w:tcPr>
          <w:p>
            <w:pPr>
              <w:pStyle w:val="21"/>
              <w:spacing w:before="140" w:line="235"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2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《国务院办公厅关于推进公共资源配置领域政府信息公开的意见</w:t>
            </w:r>
          </w:p>
          <w:p>
            <w:pPr>
              <w:pStyle w:val="21"/>
              <w:spacing w:line="235"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w:t>
            </w:r>
            <w:r>
              <w:rPr>
                <w:rFonts w:hint="eastAsia" w:ascii="仿宋_GB2312" w:hAnsi="仿宋_GB2312" w:eastAsia="仿宋_GB2312" w:cs="仿宋_GB2312"/>
                <w:color w:val="auto"/>
                <w:spacing w:val="-9"/>
                <w:sz w:val="18"/>
                <w:szCs w:val="18"/>
                <w:highlight w:val="none"/>
              </w:rPr>
              <w:t>、《</w:t>
            </w:r>
            <w:r>
              <w:rPr>
                <w:rFonts w:hint="eastAsia" w:ascii="仿宋_GB2312" w:hAnsi="仿宋_GB2312" w:eastAsia="仿宋_GB2312" w:cs="仿宋_GB2312"/>
                <w:color w:val="auto"/>
                <w:sz w:val="18"/>
                <w:szCs w:val="18"/>
                <w:highlight w:val="none"/>
              </w:rPr>
              <w:t>企业国有资产交易监督管理办法</w:t>
            </w:r>
          </w:p>
          <w:p>
            <w:pPr>
              <w:pStyle w:val="21"/>
              <w:spacing w:line="235" w:lineRule="auto"/>
              <w:ind w:left="36" w:right="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》（国资委、财政部2016年第32 号令）</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line="232" w:lineRule="auto"/>
              <w:ind w:left="57" w:right="24" w:firstLine="2"/>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及时公开，正式披露信息时间不得少于20个工作日</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left="35"/>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区国有资产监督管理局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1" w:line="235" w:lineRule="auto"/>
              <w:ind w:left="65" w:right="54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产权交易机构网站</w:t>
            </w:r>
          </w:p>
          <w:p>
            <w:pPr>
              <w:pStyle w:val="21"/>
              <w:spacing w:before="1" w:line="235" w:lineRule="auto"/>
              <w:ind w:left="65" w:right="76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22" w:hRule="atLeast"/>
          <w:jc w:val="center"/>
        </w:trPr>
        <w:tc>
          <w:tcPr>
            <w:tcW w:w="300"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2</w:t>
            </w:r>
          </w:p>
        </w:tc>
        <w:tc>
          <w:tcPr>
            <w:tcW w:w="540" w:type="dxa"/>
            <w:vMerge w:val="continue"/>
            <w:tcBorders>
              <w:top w:val="nil"/>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5"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国有企业产权转让信息披露</w:t>
            </w:r>
          </w:p>
        </w:tc>
        <w:tc>
          <w:tcPr>
            <w:tcW w:w="3195" w:type="dxa"/>
          </w:tcPr>
          <w:p>
            <w:pPr>
              <w:pStyle w:val="21"/>
              <w:spacing w:line="240"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w:t>
            </w:r>
          </w:p>
          <w:p>
            <w:pPr>
              <w:pStyle w:val="21"/>
              <w:spacing w:line="240" w:lineRule="auto"/>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的事项。</w:t>
            </w:r>
          </w:p>
        </w:tc>
        <w:tc>
          <w:tcPr>
            <w:tcW w:w="232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2"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《国务院办公厅关于推进公共资源配置领域政府信息公开的意见</w:t>
            </w:r>
          </w:p>
          <w:p>
            <w:pPr>
              <w:pStyle w:val="21"/>
              <w:spacing w:line="235"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w:t>
            </w:r>
            <w:r>
              <w:rPr>
                <w:rFonts w:hint="eastAsia" w:ascii="仿宋_GB2312" w:hAnsi="仿宋_GB2312" w:eastAsia="仿宋_GB2312" w:cs="仿宋_GB2312"/>
                <w:color w:val="auto"/>
                <w:spacing w:val="-9"/>
                <w:sz w:val="18"/>
                <w:szCs w:val="18"/>
                <w:highlight w:val="none"/>
              </w:rPr>
              <w:t>、《</w:t>
            </w:r>
            <w:r>
              <w:rPr>
                <w:rFonts w:hint="eastAsia" w:ascii="仿宋_GB2312" w:hAnsi="仿宋_GB2312" w:eastAsia="仿宋_GB2312" w:cs="仿宋_GB2312"/>
                <w:color w:val="auto"/>
                <w:sz w:val="18"/>
                <w:szCs w:val="18"/>
                <w:highlight w:val="none"/>
              </w:rPr>
              <w:t>企业国有资产交易监督管理办法</w:t>
            </w:r>
          </w:p>
          <w:p>
            <w:pPr>
              <w:pStyle w:val="21"/>
              <w:spacing w:before="1" w:line="232" w:lineRule="auto"/>
              <w:ind w:left="36" w:right="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》（国资委、财政部2016年第32 号令）</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57" w:right="24" w:firstLine="2"/>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及时公开，正式披露信息时间不得少于20个工作日</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ind w:lef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区国有资产监督管理局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1" w:line="235" w:lineRule="auto"/>
              <w:ind w:left="65" w:right="54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产权交易机构网站</w:t>
            </w:r>
          </w:p>
          <w:p>
            <w:pPr>
              <w:pStyle w:val="21"/>
              <w:spacing w:before="1" w:line="235" w:lineRule="auto"/>
              <w:ind w:left="65" w:right="76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36" w:hRule="atLeast"/>
          <w:jc w:val="center"/>
        </w:trPr>
        <w:tc>
          <w:tcPr>
            <w:tcW w:w="300" w:type="dxa"/>
            <w:tcBorders>
              <w:top w:val="single" w:color="auto" w:sz="4" w:space="0"/>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50" w:right="1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3</w:t>
            </w:r>
          </w:p>
        </w:tc>
        <w:tc>
          <w:tcPr>
            <w:tcW w:w="540" w:type="dxa"/>
            <w:vMerge w:val="continue"/>
            <w:tcBorders>
              <w:top w:val="single" w:color="auto" w:sz="4" w:space="0"/>
              <w:bottom w:val="single" w:color="auto" w:sz="4" w:space="0"/>
            </w:tcBorders>
          </w:tcPr>
          <w:p>
            <w:pPr>
              <w:rPr>
                <w:rFonts w:hint="eastAsia" w:ascii="仿宋_GB2312" w:hAnsi="仿宋_GB2312" w:eastAsia="仿宋_GB2312" w:cs="仿宋_GB2312"/>
                <w:color w:val="auto"/>
                <w:sz w:val="18"/>
                <w:szCs w:val="18"/>
                <w:highlight w:val="none"/>
              </w:rPr>
            </w:pPr>
          </w:p>
        </w:tc>
        <w:tc>
          <w:tcPr>
            <w:tcW w:w="1246" w:type="dxa"/>
            <w:tcBorders>
              <w:top w:val="single" w:color="auto" w:sz="4" w:space="0"/>
              <w:bottom w:val="single" w:color="auto" w:sz="4" w:space="0"/>
            </w:tcBorders>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2"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国有企业产权转让成交公告</w:t>
            </w:r>
          </w:p>
        </w:tc>
        <w:tc>
          <w:tcPr>
            <w:tcW w:w="319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2"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交易标的名称、转让标的评估结果、转让底价、交易价格。</w:t>
            </w:r>
          </w:p>
        </w:tc>
        <w:tc>
          <w:tcPr>
            <w:tcW w:w="2325" w:type="dxa"/>
          </w:tcPr>
          <w:p>
            <w:pPr>
              <w:pStyle w:val="21"/>
              <w:spacing w:before="145"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《国务院办公厅关于推进公共资源配置领域政府信息公开的意见</w:t>
            </w:r>
          </w:p>
          <w:p>
            <w:pPr>
              <w:pStyle w:val="21"/>
              <w:spacing w:line="232"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w:t>
            </w:r>
            <w:r>
              <w:rPr>
                <w:rFonts w:hint="eastAsia" w:ascii="仿宋_GB2312" w:hAnsi="仿宋_GB2312" w:eastAsia="仿宋_GB2312" w:cs="仿宋_GB2312"/>
                <w:color w:val="auto"/>
                <w:spacing w:val="-9"/>
                <w:sz w:val="18"/>
                <w:szCs w:val="18"/>
                <w:highlight w:val="none"/>
              </w:rPr>
              <w:t>、《</w:t>
            </w:r>
            <w:r>
              <w:rPr>
                <w:rFonts w:hint="eastAsia" w:ascii="仿宋_GB2312" w:hAnsi="仿宋_GB2312" w:eastAsia="仿宋_GB2312" w:cs="仿宋_GB2312"/>
                <w:color w:val="auto"/>
                <w:sz w:val="18"/>
                <w:szCs w:val="18"/>
                <w:highlight w:val="none"/>
              </w:rPr>
              <w:t>企业国有资产交易监督管理办法</w:t>
            </w:r>
          </w:p>
          <w:p>
            <w:pPr>
              <w:pStyle w:val="21"/>
              <w:spacing w:line="235" w:lineRule="auto"/>
              <w:ind w:left="36" w:right="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》（国资委、财政部2016年第32 号令）</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2" w:lineRule="auto"/>
              <w:ind w:left="59" w:right="2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及时公开，公告期不少于5个工作日</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区国有资产监督管理局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1" w:line="235" w:lineRule="auto"/>
              <w:ind w:left="65" w:right="54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产权交易机构网站</w:t>
            </w:r>
          </w:p>
          <w:p>
            <w:pPr>
              <w:pStyle w:val="21"/>
              <w:spacing w:before="3" w:line="232" w:lineRule="auto"/>
              <w:ind w:left="65" w:right="54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0" w:hRule="atLeast"/>
          <w:jc w:val="center"/>
        </w:trPr>
        <w:tc>
          <w:tcPr>
            <w:tcW w:w="30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0"/>
              <w:ind w:left="50" w:right="1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4</w:t>
            </w:r>
          </w:p>
        </w:tc>
        <w:tc>
          <w:tcPr>
            <w:tcW w:w="540" w:type="dxa"/>
            <w:vMerge w:val="restart"/>
          </w:tcPr>
          <w:p>
            <w:pPr>
              <w:pStyle w:val="21"/>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国有企业资产转让信息披露</w:t>
            </w:r>
          </w:p>
        </w:tc>
        <w:tc>
          <w:tcPr>
            <w:tcW w:w="3195" w:type="dxa"/>
          </w:tcPr>
          <w:p>
            <w:pPr>
              <w:pStyle w:val="21"/>
              <w:rPr>
                <w:rFonts w:hint="eastAsia" w:ascii="仿宋_GB2312" w:hAnsi="仿宋_GB2312" w:eastAsia="仿宋_GB2312" w:cs="仿宋_GB2312"/>
                <w:color w:val="auto"/>
                <w:sz w:val="18"/>
                <w:szCs w:val="18"/>
                <w:highlight w:val="none"/>
              </w:rPr>
            </w:pPr>
          </w:p>
          <w:p>
            <w:pPr>
              <w:pStyle w:val="21"/>
              <w:spacing w:before="109" w:line="232" w:lineRule="auto"/>
              <w:ind w:left="37" w:right="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标的基本情况、交易条件、转让底价、竞价方式、受让方选择的相关评判标准等。</w:t>
            </w:r>
          </w:p>
        </w:tc>
        <w:tc>
          <w:tcPr>
            <w:tcW w:w="2325" w:type="dxa"/>
          </w:tcPr>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《国务院办公厅关于推进公共资源配置领域政府信息公开的意见</w:t>
            </w:r>
          </w:p>
          <w:p>
            <w:pPr>
              <w:pStyle w:val="21"/>
              <w:spacing w:line="235"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w:t>
            </w:r>
            <w:r>
              <w:rPr>
                <w:rFonts w:hint="eastAsia" w:ascii="仿宋_GB2312" w:hAnsi="仿宋_GB2312" w:eastAsia="仿宋_GB2312" w:cs="仿宋_GB2312"/>
                <w:color w:val="auto"/>
                <w:spacing w:val="-9"/>
                <w:sz w:val="18"/>
                <w:szCs w:val="18"/>
                <w:highlight w:val="none"/>
              </w:rPr>
              <w:t>、《</w:t>
            </w:r>
            <w:r>
              <w:rPr>
                <w:rFonts w:hint="eastAsia" w:ascii="仿宋_GB2312" w:hAnsi="仿宋_GB2312" w:eastAsia="仿宋_GB2312" w:cs="仿宋_GB2312"/>
                <w:color w:val="auto"/>
                <w:sz w:val="18"/>
                <w:szCs w:val="18"/>
                <w:highlight w:val="none"/>
              </w:rPr>
              <w:t>企业国有资产交易监督管理办法</w:t>
            </w:r>
          </w:p>
          <w:p>
            <w:pPr>
              <w:pStyle w:val="21"/>
              <w:spacing w:line="235" w:lineRule="auto"/>
              <w:ind w:left="36" w:right="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》（国资委、财政部2016年第32 号令）</w:t>
            </w:r>
          </w:p>
        </w:tc>
        <w:tc>
          <w:tcPr>
            <w:tcW w:w="1610" w:type="dxa"/>
          </w:tcPr>
          <w:p>
            <w:pPr>
              <w:pStyle w:val="21"/>
              <w:spacing w:before="37" w:line="232" w:lineRule="auto"/>
              <w:ind w:left="103" w:right="67" w:hanging="3"/>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转让底价高于100</w:t>
            </w:r>
            <w:r>
              <w:rPr>
                <w:rFonts w:hint="eastAsia" w:ascii="仿宋_GB2312" w:hAnsi="仿宋_GB2312" w:eastAsia="仿宋_GB2312" w:cs="仿宋_GB2312"/>
                <w:color w:val="auto"/>
                <w:spacing w:val="-4"/>
                <w:sz w:val="18"/>
                <w:szCs w:val="18"/>
                <w:highlight w:val="none"/>
              </w:rPr>
              <w:t>万元、低于</w:t>
            </w:r>
            <w:r>
              <w:rPr>
                <w:rFonts w:hint="eastAsia" w:ascii="仿宋_GB2312" w:hAnsi="仿宋_GB2312" w:eastAsia="仿宋_GB2312" w:cs="仿宋_GB2312"/>
                <w:color w:val="auto"/>
                <w:sz w:val="18"/>
                <w:szCs w:val="18"/>
                <w:highlight w:val="none"/>
              </w:rPr>
              <w:t>1000</w:t>
            </w:r>
            <w:r>
              <w:rPr>
                <w:rFonts w:hint="eastAsia" w:ascii="仿宋_GB2312" w:hAnsi="仿宋_GB2312" w:eastAsia="仿宋_GB2312" w:cs="仿宋_GB2312"/>
                <w:color w:val="auto"/>
                <w:spacing w:val="-4"/>
                <w:sz w:val="18"/>
                <w:szCs w:val="18"/>
                <w:highlight w:val="none"/>
              </w:rPr>
              <w:t>万元的资产</w:t>
            </w:r>
            <w:r>
              <w:rPr>
                <w:rFonts w:hint="eastAsia" w:ascii="仿宋_GB2312" w:hAnsi="仿宋_GB2312" w:eastAsia="仿宋_GB2312" w:cs="仿宋_GB2312"/>
                <w:color w:val="auto"/>
                <w:spacing w:val="-2"/>
                <w:sz w:val="18"/>
                <w:szCs w:val="18"/>
                <w:highlight w:val="none"/>
              </w:rPr>
              <w:t>转让项目，信息公告期应不少于</w:t>
            </w:r>
            <w:r>
              <w:rPr>
                <w:rFonts w:hint="eastAsia"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pacing w:val="-3"/>
                <w:sz w:val="18"/>
                <w:szCs w:val="18"/>
                <w:highlight w:val="none"/>
              </w:rPr>
              <w:t>个工作日；转</w:t>
            </w:r>
            <w:r>
              <w:rPr>
                <w:rFonts w:hint="eastAsia" w:ascii="仿宋_GB2312" w:hAnsi="仿宋_GB2312" w:eastAsia="仿宋_GB2312" w:cs="仿宋_GB2312"/>
                <w:color w:val="auto"/>
                <w:sz w:val="18"/>
                <w:szCs w:val="18"/>
                <w:highlight w:val="none"/>
              </w:rPr>
              <w:t>让底价高于</w:t>
            </w:r>
            <w:r>
              <w:rPr>
                <w:rFonts w:hint="eastAsia" w:ascii="仿宋_GB2312" w:hAnsi="仿宋_GB2312" w:eastAsia="仿宋_GB2312" w:cs="仿宋_GB2312"/>
                <w:color w:val="auto"/>
                <w:spacing w:val="-4"/>
                <w:sz w:val="18"/>
                <w:szCs w:val="18"/>
                <w:highlight w:val="none"/>
              </w:rPr>
              <w:t xml:space="preserve">1000 </w:t>
            </w:r>
            <w:r>
              <w:rPr>
                <w:rFonts w:hint="eastAsia" w:ascii="仿宋_GB2312" w:hAnsi="仿宋_GB2312" w:eastAsia="仿宋_GB2312" w:cs="仿宋_GB2312"/>
                <w:color w:val="auto"/>
                <w:spacing w:val="-2"/>
                <w:sz w:val="18"/>
                <w:szCs w:val="18"/>
                <w:highlight w:val="none"/>
              </w:rPr>
              <w:t>万元的资产转让项目，信息公告</w:t>
            </w:r>
            <w:r>
              <w:rPr>
                <w:rFonts w:hint="eastAsia" w:ascii="仿宋_GB2312" w:hAnsi="仿宋_GB2312" w:eastAsia="仿宋_GB2312" w:cs="仿宋_GB2312"/>
                <w:color w:val="auto"/>
                <w:sz w:val="18"/>
                <w:szCs w:val="18"/>
                <w:highlight w:val="none"/>
              </w:rPr>
              <w:t>期应不少于20</w:t>
            </w:r>
            <w:r>
              <w:rPr>
                <w:rFonts w:hint="eastAsia" w:ascii="仿宋_GB2312" w:hAnsi="仿宋_GB2312" w:eastAsia="仿宋_GB2312" w:cs="仿宋_GB2312"/>
                <w:color w:val="auto"/>
                <w:spacing w:val="-14"/>
                <w:sz w:val="18"/>
                <w:szCs w:val="18"/>
                <w:highlight w:val="none"/>
              </w:rPr>
              <w:t>个</w:t>
            </w:r>
            <w:r>
              <w:rPr>
                <w:rFonts w:hint="eastAsia" w:ascii="仿宋_GB2312" w:hAnsi="仿宋_GB2312" w:eastAsia="仿宋_GB2312" w:cs="仿宋_GB2312"/>
                <w:color w:val="auto"/>
                <w:sz w:val="18"/>
                <w:szCs w:val="18"/>
                <w:highlight w:val="none"/>
              </w:rPr>
              <w:t>工作日</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0"/>
              <w:ind w:lef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区国有资产监督管理局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1" w:line="235" w:lineRule="auto"/>
              <w:ind w:left="65" w:right="63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产权交易机构网站</w:t>
            </w:r>
          </w:p>
          <w:p>
            <w:pPr>
              <w:pStyle w:val="21"/>
              <w:spacing w:before="2" w:line="235" w:lineRule="auto"/>
              <w:ind w:left="65" w:right="41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w:t>
            </w:r>
            <w:r>
              <w:rPr>
                <w:rFonts w:hint="eastAsia" w:ascii="仿宋_GB2312" w:hAnsi="仿宋_GB2312" w:eastAsia="仿宋_GB2312" w:cs="仿宋_GB2312"/>
                <w:color w:val="auto"/>
                <w:sz w:val="18"/>
                <w:szCs w:val="18"/>
                <w:highlight w:val="none"/>
                <w:lang w:eastAsia="zh-CN"/>
              </w:rPr>
              <w:t>台</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0"/>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0"/>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87" w:hRule="atLeast"/>
          <w:jc w:val="center"/>
        </w:trPr>
        <w:tc>
          <w:tcPr>
            <w:tcW w:w="30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50" w:right="10"/>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35</w:t>
            </w:r>
          </w:p>
        </w:tc>
        <w:tc>
          <w:tcPr>
            <w:tcW w:w="540"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246" w:type="dxa"/>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2" w:lineRule="auto"/>
              <w:ind w:left="40" w:right="10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国有企业资产转让成交公告</w:t>
            </w:r>
          </w:p>
        </w:tc>
        <w:tc>
          <w:tcPr>
            <w:tcW w:w="319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2" w:lineRule="auto"/>
              <w:ind w:left="37" w:righ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交易标的名称、评估价格、转让底价、交易价格等。</w:t>
            </w:r>
          </w:p>
        </w:tc>
        <w:tc>
          <w:tcPr>
            <w:tcW w:w="2325" w:type="dxa"/>
          </w:tcPr>
          <w:p>
            <w:pPr>
              <w:pStyle w:val="21"/>
              <w:spacing w:before="145" w:line="235" w:lineRule="auto"/>
              <w:ind w:left="36" w:right="3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《国务院办公厅关于推进公共资源配置领域政府信息公开的意见</w:t>
            </w:r>
          </w:p>
          <w:p>
            <w:pPr>
              <w:pStyle w:val="21"/>
              <w:spacing w:before="1" w:line="232" w:lineRule="auto"/>
              <w:ind w:left="36" w:right="2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》（国办发〔2017〕97号）</w:t>
            </w:r>
            <w:r>
              <w:rPr>
                <w:rFonts w:hint="eastAsia" w:ascii="仿宋_GB2312" w:hAnsi="仿宋_GB2312" w:eastAsia="仿宋_GB2312" w:cs="仿宋_GB2312"/>
                <w:color w:val="auto"/>
                <w:spacing w:val="-9"/>
                <w:sz w:val="18"/>
                <w:szCs w:val="18"/>
                <w:highlight w:val="none"/>
              </w:rPr>
              <w:t>、《</w:t>
            </w:r>
            <w:r>
              <w:rPr>
                <w:rFonts w:hint="eastAsia" w:ascii="仿宋_GB2312" w:hAnsi="仿宋_GB2312" w:eastAsia="仿宋_GB2312" w:cs="仿宋_GB2312"/>
                <w:color w:val="auto"/>
                <w:sz w:val="18"/>
                <w:szCs w:val="18"/>
                <w:highlight w:val="none"/>
              </w:rPr>
              <w:t>企业国有资产交易监督管理办法</w:t>
            </w:r>
          </w:p>
          <w:p>
            <w:pPr>
              <w:pStyle w:val="21"/>
              <w:spacing w:line="235" w:lineRule="auto"/>
              <w:ind w:left="36" w:right="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》（国资委、财政部2016年第32 号令）</w:t>
            </w:r>
          </w:p>
        </w:tc>
        <w:tc>
          <w:tcPr>
            <w:tcW w:w="161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2" w:lineRule="auto"/>
              <w:ind w:left="599" w:right="69" w:hanging="49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不少于5个工作日</w:t>
            </w:r>
          </w:p>
        </w:tc>
        <w:tc>
          <w:tcPr>
            <w:tcW w:w="83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ind w:lef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区国有资产监督管理局</w:t>
            </w:r>
          </w:p>
        </w:tc>
        <w:tc>
          <w:tcPr>
            <w:tcW w:w="3420" w:type="dxa"/>
          </w:tcPr>
          <w:p>
            <w:pPr>
              <w:pStyle w:val="21"/>
              <w:tabs>
                <w:tab w:val="left" w:pos="1486"/>
              </w:tabs>
              <w:spacing w:before="89" w:line="228"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政府网站</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政府公报</w:t>
            </w:r>
          </w:p>
          <w:p>
            <w:pPr>
              <w:pStyle w:val="21"/>
              <w:tabs>
                <w:tab w:val="left" w:pos="1486"/>
              </w:tabs>
              <w:spacing w:line="226"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两微一端</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发布会听证会</w:t>
            </w:r>
          </w:p>
          <w:p>
            <w:pPr>
              <w:pStyle w:val="21"/>
              <w:tabs>
                <w:tab w:val="left" w:pos="1486"/>
              </w:tabs>
              <w:spacing w:line="224"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广播电视</w:t>
            </w:r>
            <w:r>
              <w:rPr>
                <w:rFonts w:hint="eastAsia" w:ascii="仿宋_GB2312" w:hAnsi="仿宋_GB2312" w:eastAsia="仿宋_GB2312" w:cs="仿宋_GB2312"/>
                <w:color w:val="auto"/>
                <w:w w:val="110"/>
                <w:sz w:val="18"/>
                <w:szCs w:val="18"/>
                <w:highlight w:val="none"/>
                <w:lang w:val="en-US" w:eastAsia="zh-CN"/>
              </w:rPr>
              <w:t xml:space="preserve"> </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纸质媒体</w:t>
            </w:r>
          </w:p>
          <w:p>
            <w:pPr>
              <w:pStyle w:val="21"/>
              <w:tabs>
                <w:tab w:val="left" w:pos="1486"/>
              </w:tabs>
              <w:spacing w:line="224"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公开查阅点</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政务服务中心</w:t>
            </w:r>
          </w:p>
          <w:p>
            <w:pPr>
              <w:pStyle w:val="21"/>
              <w:tabs>
                <w:tab w:val="left" w:pos="1486"/>
              </w:tabs>
              <w:spacing w:line="228" w:lineRule="exact"/>
              <w:ind w:left="65"/>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便民服务站</w:t>
            </w: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入户/现场</w:t>
            </w:r>
          </w:p>
          <w:p>
            <w:pPr>
              <w:pStyle w:val="21"/>
              <w:spacing w:before="4" w:line="252" w:lineRule="auto"/>
              <w:ind w:left="65" w:right="121"/>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社区</w:t>
            </w:r>
            <w:r>
              <w:rPr>
                <w:rFonts w:hint="eastAsia" w:ascii="仿宋_GB2312" w:hAnsi="仿宋_GB2312" w:eastAsia="仿宋_GB2312" w:cs="仿宋_GB2312"/>
                <w:i/>
                <w:color w:val="auto"/>
                <w:sz w:val="18"/>
                <w:szCs w:val="18"/>
                <w:highlight w:val="none"/>
              </w:rPr>
              <w:t>/</w:t>
            </w:r>
            <w:r>
              <w:rPr>
                <w:rFonts w:hint="eastAsia" w:ascii="仿宋_GB2312" w:hAnsi="仿宋_GB2312" w:eastAsia="仿宋_GB2312" w:cs="仿宋_GB2312"/>
                <w:color w:val="auto"/>
                <w:sz w:val="18"/>
                <w:szCs w:val="18"/>
                <w:highlight w:val="none"/>
              </w:rPr>
              <w:t>企事业单位/村公示栏（电</w:t>
            </w:r>
            <w:r>
              <w:rPr>
                <w:rFonts w:hint="eastAsia" w:ascii="仿宋_GB2312" w:hAnsi="仿宋_GB2312" w:eastAsia="仿宋_GB2312" w:cs="仿宋_GB2312"/>
                <w:color w:val="auto"/>
                <w:w w:val="105"/>
                <w:sz w:val="18"/>
                <w:szCs w:val="18"/>
                <w:highlight w:val="none"/>
              </w:rPr>
              <w:t>子屏）</w:t>
            </w:r>
          </w:p>
          <w:p>
            <w:pPr>
              <w:pStyle w:val="21"/>
              <w:spacing w:line="222" w:lineRule="exact"/>
              <w:ind w:left="6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w w:val="110"/>
                <w:sz w:val="18"/>
                <w:szCs w:val="18"/>
                <w:highlight w:val="none"/>
              </w:rPr>
              <w:t>精准推送</w:t>
            </w:r>
          </w:p>
          <w:p>
            <w:pPr>
              <w:pStyle w:val="21"/>
              <w:spacing w:before="1" w:line="235" w:lineRule="auto"/>
              <w:ind w:left="65" w:right="63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w w:val="110"/>
                <w:sz w:val="18"/>
                <w:szCs w:val="18"/>
                <w:highlight w:val="none"/>
                <w:lang w:eastAsia="zh-CN"/>
              </w:rPr>
              <w:t>□</w:t>
            </w:r>
            <w:r>
              <w:rPr>
                <w:rFonts w:hint="eastAsia" w:ascii="仿宋_GB2312" w:hAnsi="仿宋_GB2312" w:eastAsia="仿宋_GB2312" w:cs="仿宋_GB2312"/>
                <w:color w:val="auto"/>
                <w:sz w:val="18"/>
                <w:szCs w:val="18"/>
                <w:highlight w:val="none"/>
              </w:rPr>
              <w:t>产权交易机构网站</w:t>
            </w:r>
          </w:p>
          <w:p>
            <w:pPr>
              <w:pStyle w:val="21"/>
              <w:spacing w:before="3" w:line="232" w:lineRule="auto"/>
              <w:ind w:left="65" w:right="831" w:right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■公共资源交易平台</w:t>
            </w:r>
          </w:p>
        </w:tc>
        <w:tc>
          <w:tcPr>
            <w:tcW w:w="47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1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40" w:type="dxa"/>
          </w:tcPr>
          <w:p>
            <w:pPr>
              <w:pStyle w:val="21"/>
              <w:rPr>
                <w:rFonts w:hint="eastAsia" w:ascii="仿宋_GB2312" w:hAnsi="仿宋_GB2312" w:eastAsia="仿宋_GB2312" w:cs="仿宋_GB2312"/>
                <w:color w:val="auto"/>
                <w:sz w:val="18"/>
                <w:szCs w:val="18"/>
                <w:highlight w:val="none"/>
              </w:rPr>
            </w:pPr>
          </w:p>
        </w:tc>
        <w:tc>
          <w:tcPr>
            <w:tcW w:w="45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right="83"/>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tcPr>
          <w:p>
            <w:pPr>
              <w:pStyle w:val="21"/>
              <w:rPr>
                <w:rFonts w:hint="eastAsia" w:ascii="仿宋_GB2312" w:hAnsi="仿宋_GB2312" w:eastAsia="仿宋_GB2312" w:cs="仿宋_GB2312"/>
                <w:color w:val="auto"/>
                <w:sz w:val="18"/>
                <w:szCs w:val="18"/>
                <w:highlight w:val="none"/>
              </w:rPr>
            </w:pPr>
          </w:p>
        </w:tc>
      </w:tr>
    </w:tbl>
    <w:p>
      <w:pPr>
        <w:rPr>
          <w:rFonts w:hint="eastAsia" w:ascii="宋体" w:hAnsi="宋体"/>
          <w:b w:val="0"/>
          <w:bCs w:val="0"/>
          <w:color w:val="auto"/>
          <w:highlight w:val="none"/>
          <w:lang w:val="en-US" w:eastAsia="zh-CN"/>
        </w:rPr>
      </w:pPr>
    </w:p>
    <w:p>
      <w:pPr>
        <w:rPr>
          <w:rFonts w:hint="eastAsia" w:ascii="宋体" w:hAnsi="宋体"/>
          <w:b w:val="0"/>
          <w:bCs w:val="0"/>
          <w:color w:val="auto"/>
          <w:highlight w:val="none"/>
          <w:lang w:val="en-US" w:eastAsia="zh-CN"/>
        </w:rPr>
      </w:pPr>
    </w:p>
    <w:p>
      <w:pPr>
        <w:rPr>
          <w:rFonts w:hint="eastAsia" w:ascii="宋体" w:hAnsi="宋体"/>
          <w:b w:val="0"/>
          <w:bCs w:val="0"/>
          <w:color w:val="auto"/>
          <w:highlight w:val="none"/>
          <w:lang w:val="en-US" w:eastAsia="zh-CN"/>
        </w:rPr>
      </w:pPr>
    </w:p>
    <w:p>
      <w:pPr>
        <w:rPr>
          <w:rFonts w:hint="eastAsia" w:ascii="宋体" w:hAnsi="宋体"/>
          <w:b w:val="0"/>
          <w:bCs w:val="0"/>
          <w:color w:val="auto"/>
          <w:highlight w:val="none"/>
          <w:lang w:val="en-US" w:eastAsia="zh-CN"/>
        </w:rPr>
      </w:pPr>
      <w:r>
        <w:rPr>
          <w:rFonts w:hint="eastAsia" w:ascii="宋体" w:hAnsi="宋体"/>
          <w:b w:val="0"/>
          <w:bCs w:val="0"/>
          <w:color w:val="auto"/>
          <w:highlight w:val="none"/>
          <w:lang w:val="en-US" w:eastAsia="zh-CN"/>
        </w:rPr>
        <w:br w:type="page"/>
      </w:r>
    </w:p>
    <w:p>
      <w:pPr>
        <w:jc w:val="center"/>
        <w:rPr>
          <w:rFonts w:hint="eastAsia" w:ascii="黑体" w:hAnsi="黑体" w:eastAsia="黑体" w:cs="黑体"/>
          <w:color w:val="auto"/>
          <w:kern w:val="0"/>
          <w:sz w:val="36"/>
          <w:szCs w:val="36"/>
          <w:highlight w:val="none"/>
          <w:lang w:val="en-US" w:eastAsia="zh-CN"/>
        </w:rPr>
      </w:pPr>
      <w:r>
        <w:rPr>
          <w:rFonts w:hint="eastAsia" w:ascii="黑体" w:hAnsi="黑体" w:eastAsia="黑体" w:cs="黑体"/>
          <w:color w:val="auto"/>
          <w:kern w:val="0"/>
          <w:sz w:val="36"/>
          <w:szCs w:val="36"/>
          <w:highlight w:val="none"/>
          <w:lang w:val="en-US" w:eastAsia="zh-CN"/>
        </w:rPr>
        <w:t>双台子区义务教育领域基层政务公开标准目录</w:t>
      </w:r>
    </w:p>
    <w:tbl>
      <w:tblPr>
        <w:tblStyle w:val="7"/>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
        <w:gridCol w:w="709"/>
        <w:gridCol w:w="900"/>
        <w:gridCol w:w="2340"/>
        <w:gridCol w:w="2404"/>
        <w:gridCol w:w="1575"/>
        <w:gridCol w:w="870"/>
        <w:gridCol w:w="2835"/>
        <w:gridCol w:w="540"/>
        <w:gridCol w:w="405"/>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71" w:type="dxa"/>
            <w:vMerge w:val="restart"/>
            <w:noWrap w:val="0"/>
            <w:vAlign w:val="center"/>
          </w:tcPr>
          <w:p>
            <w:pPr>
              <w:widowControl/>
              <w:jc w:val="center"/>
              <w:rPr>
                <w:rFonts w:hint="eastAsia" w:ascii="仿宋_GB2312" w:hAnsi="仿宋_GB2312" w:eastAsia="仿宋_GB2312" w:cs="仿宋_GB2312"/>
                <w:color w:val="auto"/>
                <w:kern w:val="0"/>
                <w:sz w:val="18"/>
                <w:szCs w:val="18"/>
                <w:highlight w:val="none"/>
              </w:rPr>
            </w:pPr>
          </w:p>
        </w:tc>
        <w:tc>
          <w:tcPr>
            <w:tcW w:w="1609" w:type="dxa"/>
            <w:gridSpan w:val="2"/>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公开事项</w:t>
            </w:r>
          </w:p>
        </w:tc>
        <w:tc>
          <w:tcPr>
            <w:tcW w:w="2340" w:type="dxa"/>
            <w:vMerge w:val="restart"/>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公开内容（要素）</w:t>
            </w:r>
          </w:p>
        </w:tc>
        <w:tc>
          <w:tcPr>
            <w:tcW w:w="2404" w:type="dxa"/>
            <w:vMerge w:val="restart"/>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公开依据</w:t>
            </w:r>
          </w:p>
        </w:tc>
        <w:tc>
          <w:tcPr>
            <w:tcW w:w="1575" w:type="dxa"/>
            <w:vMerge w:val="restart"/>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公开时限</w:t>
            </w:r>
          </w:p>
        </w:tc>
        <w:tc>
          <w:tcPr>
            <w:tcW w:w="870" w:type="dxa"/>
            <w:vMerge w:val="restart"/>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公开主体</w:t>
            </w:r>
          </w:p>
        </w:tc>
        <w:tc>
          <w:tcPr>
            <w:tcW w:w="2835" w:type="dxa"/>
            <w:vMerge w:val="restart"/>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公开渠道和载体</w:t>
            </w:r>
          </w:p>
        </w:tc>
        <w:tc>
          <w:tcPr>
            <w:tcW w:w="945" w:type="dxa"/>
            <w:gridSpan w:val="2"/>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公开对象</w:t>
            </w:r>
          </w:p>
        </w:tc>
        <w:tc>
          <w:tcPr>
            <w:tcW w:w="1271" w:type="dxa"/>
            <w:gridSpan w:val="3"/>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公开方式</w:t>
            </w:r>
          </w:p>
        </w:tc>
        <w:tc>
          <w:tcPr>
            <w:tcW w:w="1440" w:type="dxa"/>
            <w:gridSpan w:val="2"/>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371" w:type="dxa"/>
            <w:vMerge w:val="continue"/>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709" w:type="dxa"/>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一级事项</w:t>
            </w:r>
          </w:p>
        </w:tc>
        <w:tc>
          <w:tcPr>
            <w:tcW w:w="900" w:type="dxa"/>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二级事项</w:t>
            </w:r>
          </w:p>
        </w:tc>
        <w:tc>
          <w:tcPr>
            <w:tcW w:w="2340" w:type="dxa"/>
            <w:vMerge w:val="continue"/>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2404" w:type="dxa"/>
            <w:vMerge w:val="continue"/>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1575" w:type="dxa"/>
            <w:vMerge w:val="continue"/>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870" w:type="dxa"/>
            <w:vMerge w:val="continue"/>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2835" w:type="dxa"/>
            <w:vMerge w:val="continue"/>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540" w:type="dxa"/>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全社会</w:t>
            </w:r>
          </w:p>
        </w:tc>
        <w:tc>
          <w:tcPr>
            <w:tcW w:w="405" w:type="dxa"/>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特定群众</w:t>
            </w:r>
          </w:p>
        </w:tc>
        <w:tc>
          <w:tcPr>
            <w:tcW w:w="551" w:type="dxa"/>
            <w:gridSpan w:val="2"/>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主动</w:t>
            </w:r>
          </w:p>
        </w:tc>
        <w:tc>
          <w:tcPr>
            <w:tcW w:w="720" w:type="dxa"/>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依申请公开</w:t>
            </w:r>
          </w:p>
        </w:tc>
        <w:tc>
          <w:tcPr>
            <w:tcW w:w="720" w:type="dxa"/>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县级</w:t>
            </w:r>
          </w:p>
        </w:tc>
        <w:tc>
          <w:tcPr>
            <w:tcW w:w="720" w:type="dxa"/>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文件</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教育</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法律</w:t>
            </w:r>
          </w:p>
        </w:tc>
        <w:tc>
          <w:tcPr>
            <w:tcW w:w="2340" w:type="dxa"/>
            <w:noWrap w:val="0"/>
            <w:vAlign w:val="center"/>
          </w:tcPr>
          <w:p>
            <w:pP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教育法》</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2015</w:t>
            </w:r>
            <w:r>
              <w:rPr>
                <w:rFonts w:hint="eastAsia" w:ascii="仿宋_GB2312" w:hAnsi="仿宋_GB2312" w:eastAsia="仿宋_GB2312" w:cs="仿宋_GB2312"/>
                <w:color w:val="auto"/>
                <w:sz w:val="18"/>
                <w:szCs w:val="18"/>
                <w:highlight w:val="none"/>
                <w:lang w:eastAsia="zh-CN"/>
              </w:rPr>
              <w:t>）</w:t>
            </w:r>
          </w:p>
          <w:p>
            <w:pP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义务教育法》</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2015</w:t>
            </w:r>
            <w:r>
              <w:rPr>
                <w:rFonts w:hint="eastAsia" w:ascii="仿宋_GB2312" w:hAnsi="仿宋_GB2312" w:eastAsia="仿宋_GB2312" w:cs="仿宋_GB2312"/>
                <w:color w:val="auto"/>
                <w:sz w:val="18"/>
                <w:szCs w:val="18"/>
                <w:highlight w:val="none"/>
                <w:lang w:eastAsia="zh-CN"/>
              </w:rPr>
              <w:t>）</w:t>
            </w:r>
          </w:p>
          <w:p>
            <w:pP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民办教育促进法》</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2016</w:t>
            </w:r>
            <w:r>
              <w:rPr>
                <w:rFonts w:hint="eastAsia" w:ascii="仿宋_GB2312" w:hAnsi="仿宋_GB2312" w:eastAsia="仿宋_GB2312" w:cs="仿宋_GB2312"/>
                <w:color w:val="auto"/>
                <w:sz w:val="18"/>
                <w:szCs w:val="18"/>
                <w:highlight w:val="none"/>
                <w:lang w:eastAsia="zh-CN"/>
              </w:rPr>
              <w:t>）</w:t>
            </w:r>
          </w:p>
          <w:p>
            <w:pP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教师法》</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2009</w:t>
            </w:r>
            <w:r>
              <w:rPr>
                <w:rFonts w:hint="eastAsia" w:ascii="仿宋_GB2312" w:hAnsi="仿宋_GB2312" w:eastAsia="仿宋_GB2312" w:cs="仿宋_GB2312"/>
                <w:color w:val="auto"/>
                <w:sz w:val="18"/>
                <w:szCs w:val="18"/>
                <w:highlight w:val="none"/>
                <w:lang w:eastAsia="zh-CN"/>
              </w:rPr>
              <w:t>）</w:t>
            </w:r>
          </w:p>
          <w:p>
            <w:pP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国家通用语言文字法》</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2000</w:t>
            </w:r>
            <w:r>
              <w:rPr>
                <w:rFonts w:hint="eastAsia" w:ascii="仿宋_GB2312" w:hAnsi="仿宋_GB2312" w:eastAsia="仿宋_GB2312" w:cs="仿宋_GB2312"/>
                <w:color w:val="auto"/>
                <w:sz w:val="18"/>
                <w:szCs w:val="18"/>
                <w:highlight w:val="none"/>
                <w:lang w:eastAsia="zh-CN"/>
              </w:rPr>
              <w:t>）</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规范性文件</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●部门和地方政府规章</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●各类教育政策文件</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教育概况</w:t>
            </w:r>
          </w:p>
        </w:tc>
        <w:tc>
          <w:tcPr>
            <w:tcW w:w="90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教育事业发展主要情况</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●教育事业发展主要情况</w:t>
            </w:r>
          </w:p>
        </w:tc>
        <w:tc>
          <w:tcPr>
            <w:tcW w:w="2404" w:type="dxa"/>
            <w:vMerge w:val="restart"/>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统计法》、《</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政府信息公开条例》、《教育统计管理规定》</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教育统计数据</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●学校数据</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●在校生数据</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●教师数据</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●办学条件数据</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●县级汇总数据</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义务教育学校名录</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●学校名称</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●学校地址</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●办学层次</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●办学类型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●办公电话</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民办学校信息</w:t>
            </w:r>
          </w:p>
        </w:tc>
        <w:tc>
          <w:tcPr>
            <w:tcW w:w="90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民办学校办学基本信息</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●学校名称</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●办学许可证</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●办学规模</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●联系方式</w:t>
            </w:r>
          </w:p>
        </w:tc>
        <w:tc>
          <w:tcPr>
            <w:tcW w:w="2404" w:type="dxa"/>
            <w:vMerge w:val="restart"/>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《民办教育促进法》、《</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政府信息公开条例》、《国务院关于鼓励社会力量兴办教育 促进民办教育健康发展的若干意见》</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民办学校设立、变更、终止等事项行政审批、备案信息</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●法律依据</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●办理流程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●审批结果</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区教育局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日常监管信息</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●年检指标</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●年检程序</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●年检结果</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●行政处罚信息</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371"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709"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财务信息</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财务</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信息</w:t>
            </w:r>
          </w:p>
        </w:tc>
        <w:tc>
          <w:tcPr>
            <w:tcW w:w="2340" w:type="dxa"/>
            <w:noWrap w:val="0"/>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●财务管理及监督办法</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●年度经费预决算信息</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●收费项目及收费标准</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招生管理</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介绍</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●办学性质</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●办学地点</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●办学规模</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●办学基本条件</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●联系方式等</w:t>
            </w:r>
          </w:p>
        </w:tc>
        <w:tc>
          <w:tcPr>
            <w:tcW w:w="2404" w:type="dxa"/>
            <w:vMerge w:val="restart"/>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政府信息公开条例》、《教育部关于进一步做好小学升入初中免试就近入学工作的实施意见》、《教育部关于推进中小学信息公开工作的意见》</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招生</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政策</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●各校招生工作实施方案●随迁子女入学办法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●部分适龄儿童或少年延缓入学</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●休学等特殊需求的政策解读等</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jc w:val="left"/>
              <w:rPr>
                <w:rFonts w:hint="eastAsia" w:ascii="仿宋_GB2312" w:hAnsi="仿宋_GB2312" w:eastAsia="仿宋_GB2312" w:cs="仿宋_GB2312"/>
                <w:color w:val="auto"/>
                <w:sz w:val="18"/>
                <w:szCs w:val="18"/>
                <w:highlight w:val="none"/>
              </w:rPr>
            </w:pP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招生管理</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招生</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计划</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●各校本年度招生计划</w:t>
            </w:r>
          </w:p>
        </w:tc>
        <w:tc>
          <w:tcPr>
            <w:tcW w:w="2404" w:type="dxa"/>
            <w:vMerge w:val="restart"/>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政府信息公开条例》、《教育部关于进一步做好小学升入初中免试就近入学工作的实施意见》《教育部关于推进中小学信息公开工作的意见》</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招生</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范围</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●招生范围</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●学区划分详细情况</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招生</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结果</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●各校本年度招生结果</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学生管理</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学籍</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管理</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●区域内义务教育阶段学生休学、复学、转学相关政策及所需材料和办理流程●适龄儿童延缓入学所需材料及办理流程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●学籍证明、毕（结）业证书遗失办理学历证明确认</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义务教育法》、《</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政府信息公开条例》、《中小学生学籍管理办法》</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义务教育学生资助政策</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●统一城乡义务教育“两免一补”政策</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政府信息公开条例》、《国务院关于进一步完善城乡义务教育经费保障机制的通知》</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7" w:hRule="atLeas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学生评优奖励</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●省市县“三好学生”“优秀学生干部”评选标准</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●评比方法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●表彰名单等</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政府信息公开条例》，当地省市县表彰文件</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4" w:hRule="atLeast"/>
          <w:jc w:val="center"/>
        </w:trPr>
        <w:tc>
          <w:tcPr>
            <w:tcW w:w="371"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709"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学生管理</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优待</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政策</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●军人子女参加中考优待确认办理的材料、流程和政策要求</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●少数民族考生中考加分确认办理的材料、流程和政策要求</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●归侨学生、归侨子女、华侨子女和港澳台籍考生中考加分确认</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●公安英烈和因公牺牲伤残公安民警子女教育优待细则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●综合性消防救援队伍人员及其子女教育优待细则</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政府信息公开条例》、《军人子女教育优待办法》、《国务院办公厅关于严格执行党和国家民族政策有关问题的通知》、《</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归侨侨眷权益保护法》、《教育部、国务院台湾事务办公室关于进一步做好台湾同胞子女在大陆中小学和幼儿园就读工作的若干意见》等</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709"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教师管理</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教师培训</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●教师培训政策文件</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●培训项目组织实施通知</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教育法》、《</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教师法》、《中小学教师继续教育规定》</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rPr>
                <w:rFonts w:hint="eastAsia" w:ascii="仿宋_GB2312" w:hAnsi="仿宋_GB2312" w:eastAsia="仿宋_GB2312" w:cs="仿宋_GB2312"/>
                <w:color w:val="auto"/>
                <w:sz w:val="18"/>
                <w:szCs w:val="18"/>
                <w:highlight w:val="none"/>
              </w:rPr>
            </w:pP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709"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教师管理</w:t>
            </w:r>
          </w:p>
        </w:tc>
        <w:tc>
          <w:tcPr>
            <w:tcW w:w="90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教师公开招聘</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●教师招聘计划和公告</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●拟聘用人员名单公示</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政府信息公开条例》、《事业单位公开招聘人员暂行规定》、《关于进一步规范事业单位公开招聘工作的通知》、《人力资源社会保障部关于事业单位公开招聘岗位条件设置有关问题的通知》</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教师管理</w:t>
            </w:r>
          </w:p>
        </w:tc>
        <w:tc>
          <w:tcPr>
            <w:tcW w:w="900"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行为</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规范</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●教师职业行为准则及违规处理办法</w:t>
            </w:r>
          </w:p>
        </w:tc>
        <w:tc>
          <w:tcPr>
            <w:tcW w:w="2404" w:type="dxa"/>
            <w:vMerge w:val="restart"/>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vMerge w:val="continue"/>
            <w:noWrap w:val="0"/>
            <w:vAlign w:val="center"/>
          </w:tcPr>
          <w:p>
            <w:pPr>
              <w:rPr>
                <w:rFonts w:hint="eastAsia" w:ascii="仿宋_GB2312" w:hAnsi="仿宋_GB2312" w:eastAsia="仿宋_GB2312" w:cs="仿宋_GB2312"/>
                <w:color w:val="auto"/>
                <w:sz w:val="18"/>
                <w:szCs w:val="18"/>
                <w:highlight w:val="none"/>
              </w:rPr>
            </w:pP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●对教师有严重违反教师职业行为准则的行政处罚信息</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p>
            <w:pPr>
              <w:rPr>
                <w:rFonts w:hint="eastAsia" w:ascii="仿宋_GB2312" w:hAnsi="仿宋_GB2312" w:eastAsia="仿宋_GB2312" w:cs="仿宋_GB2312"/>
                <w:color w:val="auto"/>
                <w:sz w:val="18"/>
                <w:szCs w:val="18"/>
                <w:highlight w:val="none"/>
              </w:rPr>
            </w:pP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教师管理</w:t>
            </w:r>
          </w:p>
        </w:tc>
        <w:tc>
          <w:tcPr>
            <w:tcW w:w="900"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教师评优评先</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●优秀教师的表彰、奖励等行政奖励信息公示</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教师法》、《中共中央 国务院关于全面深化新时代教师队伍建设改革的意见》</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vMerge w:val="continue"/>
            <w:noWrap w:val="0"/>
            <w:vAlign w:val="center"/>
          </w:tcPr>
          <w:p>
            <w:pPr>
              <w:rPr>
                <w:rFonts w:hint="eastAsia" w:ascii="仿宋_GB2312" w:hAnsi="仿宋_GB2312" w:eastAsia="仿宋_GB2312" w:cs="仿宋_GB2312"/>
                <w:color w:val="auto"/>
                <w:sz w:val="18"/>
                <w:szCs w:val="18"/>
                <w:highlight w:val="none"/>
              </w:rPr>
            </w:pP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●任教30年乡村教师以上教师申请荣誉证书相关政策</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政府信息公开条例》、《关于做好乡村学校从教30年教师荣誉证书颁发工作的通知》</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教师职称评审</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●评审政策</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●评审通知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●学校拟推荐人选名单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●评审结果</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●最终结果</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政府信息公开条例》、《人力资源社会保障部教育部关于印发深化中小学教师职称制度改革的指导意见的通知》</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信息形成（变更）3个工作日内，公示时间不少于7个工作日</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709"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教师管理</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特岗教师招聘</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●岗位设置管理政策、条件、程序等</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●特岗教师招聘文件及招聘公告</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●初审结果</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●笔试成绩</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●资格复审结果</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●参加面试人员、面试成绩●进入考察人员名单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●拟聘用人员名单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●最终聘用结果</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信息形成（变更）3个工作日内，公示时间不少于7个工作日</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应聘</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人员</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371"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709"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教师管理</w:t>
            </w:r>
          </w:p>
        </w:tc>
        <w:tc>
          <w:tcPr>
            <w:tcW w:w="90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乡村教师生活补助</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●管理制度</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●实施方案</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●实施时间</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●补助范围</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●发放对象</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●补助档次标准</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●发放情况</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政府信息公开条例》、《教育部 财政部关于落实2013年中央1号文件要求对在连片特困地区工作的乡村教师给予生活补助的通知》、《教育部关于加强乡村教师生活补助经费管理有关工作的通知》</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信息形成（变更）3个工作日内；教师申领情况进行常年公示</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3" w:hRule="atLeas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709"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重要政策执行情况</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控辍</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保学</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●“一县一策”控辍保学工作方案</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●年度工作进展情况（含义务教育学生失学、辍学的总体情况，建档立卡家庭贫困学生总体就学情况）</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●督导检查结果公告</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●典型经验和有效做法</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政府信息公开条例》、《国务院办公厅关于进一步加强控辍保学提高义务教育巩固水平的通知</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jc w:val="center"/>
              <w:rPr>
                <w:rFonts w:hint="eastAsia" w:ascii="仿宋_GB2312" w:hAnsi="仿宋_GB2312" w:eastAsia="仿宋_GB2312" w:cs="仿宋_GB2312"/>
                <w:color w:val="auto"/>
                <w:sz w:val="18"/>
                <w:szCs w:val="18"/>
                <w:highlight w:val="none"/>
              </w:rPr>
            </w:pP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重要政策执行情况</w:t>
            </w:r>
          </w:p>
        </w:tc>
        <w:tc>
          <w:tcPr>
            <w:tcW w:w="900" w:type="dxa"/>
            <w:vMerge w:val="restart"/>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农村义务教育学生营养改善计划</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●有关政策法规、规章、规范性文件</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●组织机构和职责，举报电话、信箱或电子邮箱</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●供餐企业、托餐家庭名单</w:t>
            </w:r>
          </w:p>
        </w:tc>
        <w:tc>
          <w:tcPr>
            <w:tcW w:w="2404"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《国务院办公厅关于实施农村义务教育学生营养改善计划的意见》《教育部等十五部门关于印发〈农村义务教育学生营养改善计划实施细则〉等五个配套文件的通知》</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vMerge w:val="continue"/>
            <w:noWrap w:val="0"/>
            <w:vAlign w:val="center"/>
          </w:tcPr>
          <w:p>
            <w:pPr>
              <w:rPr>
                <w:rFonts w:hint="eastAsia" w:ascii="仿宋_GB2312" w:hAnsi="仿宋_GB2312" w:eastAsia="仿宋_GB2312" w:cs="仿宋_GB2312"/>
                <w:color w:val="auto"/>
                <w:sz w:val="18"/>
                <w:szCs w:val="18"/>
                <w:highlight w:val="none"/>
              </w:rPr>
            </w:pP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●学校食堂饭菜价格、带量食谱</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●学校膳食委员会名单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●学校管理人员陪餐情况●食品安全突发事件应急预案</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实施营养改善计划的试点学校</w:t>
            </w:r>
          </w:p>
        </w:tc>
        <w:tc>
          <w:tcPr>
            <w:tcW w:w="2835" w:type="dxa"/>
            <w:noWrap w:val="0"/>
            <w:vAlign w:val="center"/>
          </w:tcPr>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vMerge w:val="continue"/>
            <w:noWrap w:val="0"/>
            <w:vAlign w:val="center"/>
          </w:tcPr>
          <w:p>
            <w:pPr>
              <w:rPr>
                <w:rFonts w:hint="eastAsia" w:ascii="仿宋_GB2312" w:hAnsi="仿宋_GB2312" w:eastAsia="仿宋_GB2312" w:cs="仿宋_GB2312"/>
                <w:color w:val="auto"/>
                <w:sz w:val="18"/>
                <w:szCs w:val="18"/>
                <w:highlight w:val="none"/>
              </w:rPr>
            </w:pP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●供餐企业（单位）配套管理制度，食品安全责任人、供餐方签约人</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●食品安全突发事件应急预案</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实施营养改善计划的供餐企业（单位）</w:t>
            </w:r>
          </w:p>
        </w:tc>
        <w:tc>
          <w:tcPr>
            <w:tcW w:w="2835" w:type="dxa"/>
            <w:noWrap w:val="0"/>
            <w:vAlign w:val="center"/>
          </w:tcPr>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重要政策执行情况</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学校体育评价</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●学校体育工作自评结果（体育课、体育训练、体育比赛、体育教师、体育场地、条件保障等）</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●学校体育发展年度报告（重点反映体育教学改革、体育教师配备、体育经费投入和体育场地设施、学生体质健康测试等方面的情况）</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政府信息公开条例》、教育部关于印发《学生体质健康监测评价办法》等三个文件的通知</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学校美育评价</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●学校艺术教育工作自评结果（艺术课程、艺术活动、艺术教师、条件保障、特色发展及学生艺术素质测评等）</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政府信息公开条例》、教育部关于印发《中小学生艺术素质测评办法》等三个文件的通知</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jc w:val="center"/>
        </w:trPr>
        <w:tc>
          <w:tcPr>
            <w:tcW w:w="371"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9</w:t>
            </w:r>
          </w:p>
        </w:tc>
        <w:tc>
          <w:tcPr>
            <w:tcW w:w="709" w:type="dxa"/>
            <w:vMerge w:val="restart"/>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教育督导</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机构</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队伍</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●督导部门组成</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●督学名单</w:t>
            </w:r>
          </w:p>
        </w:tc>
        <w:tc>
          <w:tcPr>
            <w:tcW w:w="2404" w:type="dxa"/>
            <w:vMerge w:val="restart"/>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中华人民共和国义务</w:t>
            </w:r>
            <w:r>
              <w:rPr>
                <w:rFonts w:hint="eastAsia" w:ascii="仿宋_GB2312" w:hAnsi="仿宋_GB2312" w:eastAsia="仿宋_GB2312" w:cs="仿宋_GB2312"/>
                <w:color w:val="auto"/>
                <w:sz w:val="18"/>
                <w:szCs w:val="18"/>
                <w:highlight w:val="none"/>
              </w:rPr>
              <w:t>教育法》</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中华人民共和国职业</w:t>
            </w:r>
            <w:r>
              <w:rPr>
                <w:rFonts w:hint="eastAsia" w:ascii="仿宋_GB2312" w:hAnsi="仿宋_GB2312" w:eastAsia="仿宋_GB2312" w:cs="仿宋_GB2312"/>
                <w:color w:val="auto"/>
                <w:sz w:val="18"/>
                <w:szCs w:val="18"/>
                <w:highlight w:val="none"/>
              </w:rPr>
              <w:t>教育法》</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中华人民共和国残疾人教育</w:t>
            </w:r>
            <w:r>
              <w:rPr>
                <w:rFonts w:hint="eastAsia" w:ascii="仿宋_GB2312" w:hAnsi="仿宋_GB2312" w:eastAsia="仿宋_GB2312" w:cs="仿宋_GB2312"/>
                <w:color w:val="auto"/>
                <w:sz w:val="18"/>
                <w:szCs w:val="18"/>
                <w:highlight w:val="none"/>
              </w:rPr>
              <w:t>条例》</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《教育督导条例》、《县域义务教育均衡发展督导评估暂行办法》、《县域义务教育优质均衡发展督导评估办法》</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学校督导评估</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●年度督导工作计划内容●责任区划分和责任督学名单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●责任督学日常督导事项●学校督导评估的办法、指标体系、督导评估报告</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vMerge w:val="continue"/>
            <w:noWrap w:val="0"/>
            <w:vAlign w:val="center"/>
          </w:tcPr>
          <w:p>
            <w:pPr>
              <w:rPr>
                <w:rFonts w:hint="eastAsia" w:ascii="仿宋_GB2312" w:hAnsi="仿宋_GB2312" w:eastAsia="仿宋_GB2312" w:cs="仿宋_GB2312"/>
                <w:color w:val="auto"/>
                <w:sz w:val="18"/>
                <w:szCs w:val="18"/>
                <w:highlight w:val="none"/>
              </w:rPr>
            </w:pPr>
          </w:p>
        </w:tc>
        <w:tc>
          <w:tcPr>
            <w:tcW w:w="709" w:type="dxa"/>
            <w:vMerge w:val="continue"/>
            <w:noWrap w:val="0"/>
            <w:vAlign w:val="center"/>
          </w:tcPr>
          <w:p>
            <w:pPr>
              <w:rPr>
                <w:rFonts w:hint="eastAsia" w:ascii="仿宋_GB2312" w:hAnsi="仿宋_GB2312" w:eastAsia="仿宋_GB2312" w:cs="仿宋_GB2312"/>
                <w:color w:val="auto"/>
                <w:sz w:val="18"/>
                <w:szCs w:val="18"/>
                <w:highlight w:val="none"/>
              </w:rPr>
            </w:pP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义务教育均衡发展督导评估</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●义务教育均衡发展有关政策文件、职责权限、管理流程、监督方式、年度工作计划等</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●义务教育均衡发展状况自评方案及结果</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●省级教育督导机构对县进行督导评估的工作安排、评估结果</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●国务院教育督导委员会对义务教育发展均衡县进行认定的结果、报告</w:t>
            </w:r>
          </w:p>
        </w:tc>
        <w:tc>
          <w:tcPr>
            <w:tcW w:w="2404" w:type="dxa"/>
            <w:vMerge w:val="continue"/>
            <w:noWrap w:val="0"/>
            <w:vAlign w:val="center"/>
          </w:tcPr>
          <w:p>
            <w:pPr>
              <w:rPr>
                <w:rFonts w:hint="eastAsia" w:ascii="仿宋_GB2312" w:hAnsi="仿宋_GB2312" w:eastAsia="仿宋_GB2312" w:cs="仿宋_GB2312"/>
                <w:color w:val="auto"/>
                <w:sz w:val="18"/>
                <w:szCs w:val="18"/>
                <w:highlight w:val="none"/>
              </w:rPr>
            </w:pP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71"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10</w:t>
            </w:r>
          </w:p>
        </w:tc>
        <w:tc>
          <w:tcPr>
            <w:tcW w:w="709"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校园安全</w:t>
            </w:r>
          </w:p>
        </w:tc>
        <w:tc>
          <w:tcPr>
            <w:tcW w:w="90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校园安全管理</w:t>
            </w:r>
          </w:p>
        </w:tc>
        <w:tc>
          <w:tcPr>
            <w:tcW w:w="234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●校园安全管理法律法规、配套管理制度</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●学生住宿、用餐、组织活动等安全管理情况</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●校园安全突发事件应急预案、预警信息、应对情况、调查处理情况</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●校车使用许可申请政策规定及申请流程</w:t>
            </w:r>
          </w:p>
        </w:tc>
        <w:tc>
          <w:tcPr>
            <w:tcW w:w="2404"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eastAsia="zh-CN"/>
              </w:rPr>
              <w:t>中华人民共和国</w:t>
            </w:r>
            <w:r>
              <w:rPr>
                <w:rFonts w:hint="eastAsia" w:ascii="仿宋_GB2312" w:hAnsi="仿宋_GB2312" w:eastAsia="仿宋_GB2312" w:cs="仿宋_GB2312"/>
                <w:color w:val="auto"/>
                <w:sz w:val="18"/>
                <w:szCs w:val="18"/>
                <w:highlight w:val="none"/>
              </w:rPr>
              <w:t>政府信息公开条例》、《国务院办公厅关于加强中小学幼儿园安全风险防控体系建设的意见》、《教育部关于推进中小学信息公开工作的意见》、《校车安全管理条例》</w:t>
            </w:r>
          </w:p>
        </w:tc>
        <w:tc>
          <w:tcPr>
            <w:tcW w:w="1575"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w:t>
            </w:r>
          </w:p>
        </w:tc>
        <w:tc>
          <w:tcPr>
            <w:tcW w:w="87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区教</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育</w:t>
            </w:r>
            <w:r>
              <w:rPr>
                <w:rFonts w:hint="eastAsia" w:ascii="仿宋_GB2312" w:hAnsi="仿宋_GB2312" w:eastAsia="仿宋_GB2312" w:cs="仿宋_GB2312"/>
                <w:color w:val="auto"/>
                <w:sz w:val="18"/>
                <w:szCs w:val="18"/>
                <w:highlight w:val="none"/>
                <w:lang w:eastAsia="zh-CN"/>
              </w:rPr>
              <w:t>局</w:t>
            </w:r>
          </w:p>
        </w:tc>
        <w:tc>
          <w:tcPr>
            <w:tcW w:w="2835" w:type="dxa"/>
            <w:noWrap w:val="0"/>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16" w:type="dxa"/>
            <w:gridSpan w:val="2"/>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bl>
    <w:p>
      <w:pPr>
        <w:rPr>
          <w:rFonts w:hint="eastAsia" w:ascii="仿宋_GB2312" w:hAnsi="仿宋_GB2312" w:eastAsia="仿宋_GB2312" w:cs="仿宋_GB2312"/>
          <w:color w:val="auto"/>
          <w:sz w:val="21"/>
          <w:szCs w:val="21"/>
          <w:highlight w:val="none"/>
          <w:lang w:val="en-US" w:eastAsia="zh-CN"/>
        </w:rPr>
      </w:pPr>
    </w:p>
    <w:p>
      <w:pPr>
        <w:rPr>
          <w:rFonts w:hint="default" w:eastAsia="宋体"/>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备</w:t>
      </w:r>
      <w:r>
        <w:rPr>
          <w:rFonts w:hint="eastAsia" w:ascii="仿宋_GB2312" w:hAnsi="仿宋_GB2312" w:eastAsia="仿宋_GB2312" w:cs="仿宋_GB2312"/>
          <w:color w:val="auto"/>
          <w:sz w:val="21"/>
          <w:szCs w:val="21"/>
          <w:highlight w:val="none"/>
          <w:lang w:eastAsia="zh-CN"/>
        </w:rPr>
        <w:t>注：</w:t>
      </w:r>
      <w:r>
        <w:rPr>
          <w:rFonts w:hint="eastAsia" w:ascii="仿宋_GB2312" w:hAnsi="仿宋_GB2312" w:eastAsia="仿宋_GB2312" w:cs="仿宋_GB2312"/>
          <w:color w:val="auto"/>
          <w:sz w:val="21"/>
          <w:szCs w:val="21"/>
          <w:highlight w:val="none"/>
          <w:lang w:val="en-US" w:eastAsia="zh-CN"/>
        </w:rPr>
        <w:t>国家目录中第7项</w:t>
      </w:r>
      <w:r>
        <w:rPr>
          <w:rFonts w:hint="eastAsia" w:ascii="仿宋_GB2312" w:hAnsi="仿宋_GB2312" w:eastAsia="仿宋_GB2312" w:cs="仿宋_GB2312"/>
          <w:color w:val="auto"/>
          <w:sz w:val="21"/>
          <w:szCs w:val="21"/>
          <w:highlight w:val="none"/>
          <w:lang w:eastAsia="zh-CN"/>
        </w:rPr>
        <w:t>教师资格认定、</w:t>
      </w:r>
      <w:r>
        <w:rPr>
          <w:rFonts w:hint="eastAsia" w:ascii="仿宋_GB2312" w:hAnsi="仿宋_GB2312" w:eastAsia="仿宋_GB2312" w:cs="仿宋_GB2312"/>
          <w:color w:val="auto"/>
          <w:sz w:val="21"/>
          <w:szCs w:val="21"/>
          <w:highlight w:val="none"/>
          <w:lang w:val="en-US" w:eastAsia="zh-CN"/>
        </w:rPr>
        <w:t>普通话培训及测试均属</w:t>
      </w:r>
      <w:r>
        <w:rPr>
          <w:rFonts w:hint="eastAsia" w:ascii="仿宋_GB2312" w:hAnsi="仿宋_GB2312" w:eastAsia="仿宋_GB2312" w:cs="仿宋_GB2312"/>
          <w:color w:val="auto"/>
          <w:sz w:val="21"/>
          <w:szCs w:val="21"/>
          <w:highlight w:val="none"/>
          <w:lang w:eastAsia="zh-CN"/>
        </w:rPr>
        <w:t>市教育局</w:t>
      </w:r>
      <w:r>
        <w:rPr>
          <w:rFonts w:hint="eastAsia" w:ascii="仿宋_GB2312" w:hAnsi="仿宋_GB2312" w:eastAsia="仿宋_GB2312" w:cs="仿宋_GB2312"/>
          <w:color w:val="auto"/>
          <w:sz w:val="21"/>
          <w:szCs w:val="21"/>
          <w:highlight w:val="none"/>
          <w:lang w:val="en-US" w:eastAsia="zh-CN"/>
        </w:rPr>
        <w:t>职权范围</w:t>
      </w:r>
      <w:r>
        <w:rPr>
          <w:rFonts w:hint="eastAsia" w:ascii="仿宋_GB2312" w:hAnsi="仿宋_GB2312" w:eastAsia="仿宋_GB2312" w:cs="仿宋_GB2312"/>
          <w:color w:val="auto"/>
          <w:sz w:val="21"/>
          <w:szCs w:val="21"/>
          <w:highlight w:val="none"/>
          <w:lang w:eastAsia="zh-CN"/>
        </w:rPr>
        <w:t>。</w:t>
      </w:r>
    </w:p>
    <w:p>
      <w:pPr>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br w:type="page"/>
      </w:r>
    </w:p>
    <w:p>
      <w:pPr>
        <w:pStyle w:val="2"/>
        <w:spacing w:line="240" w:lineRule="auto"/>
        <w:jc w:val="center"/>
        <w:rPr>
          <w:rFonts w:ascii="宋体" w:hAnsi="宋体"/>
          <w:b w:val="0"/>
          <w:bCs w:val="0"/>
          <w:color w:val="auto"/>
          <w:highlight w:val="none"/>
        </w:rPr>
      </w:pPr>
      <w:r>
        <w:rPr>
          <w:rFonts w:hint="eastAsia" w:ascii="黑体" w:hAnsi="黑体" w:eastAsia="黑体" w:cs="黑体"/>
          <w:b w:val="0"/>
          <w:bCs w:val="0"/>
          <w:color w:val="auto"/>
          <w:sz w:val="36"/>
          <w:szCs w:val="36"/>
          <w:highlight w:val="none"/>
          <w:lang w:val="en-US" w:eastAsia="zh-CN"/>
        </w:rPr>
        <w:t>双台子区</w:t>
      </w:r>
      <w:r>
        <w:rPr>
          <w:rFonts w:hint="eastAsia" w:ascii="黑体" w:hAnsi="黑体" w:eastAsia="黑体" w:cs="黑体"/>
          <w:b w:val="0"/>
          <w:bCs w:val="0"/>
          <w:color w:val="auto"/>
          <w:sz w:val="36"/>
          <w:szCs w:val="36"/>
          <w:highlight w:val="none"/>
        </w:rPr>
        <w:t>户籍管理领域基层政务公开标准目录</w:t>
      </w:r>
      <w:bookmarkEnd w:id="0"/>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bookmarkStart w:id="1" w:name="_Toc24724708"/>
            <w:r>
              <w:rPr>
                <w:rFonts w:hint="eastAsia" w:ascii="仿宋_GB2312" w:hAnsi="仿宋_GB2312" w:eastAsia="仿宋_GB2312" w:cs="仿宋_GB2312"/>
                <w:color w:val="auto"/>
                <w:kern w:val="0"/>
                <w:sz w:val="18"/>
                <w:szCs w:val="18"/>
                <w:highlight w:val="none"/>
              </w:rPr>
              <w:t>序号</w:t>
            </w:r>
          </w:p>
        </w:tc>
        <w:tc>
          <w:tcPr>
            <w:tcW w:w="1800" w:type="dxa"/>
            <w:gridSpan w:val="2"/>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公开事项</w:t>
            </w:r>
          </w:p>
        </w:tc>
        <w:tc>
          <w:tcPr>
            <w:tcW w:w="2160" w:type="dxa"/>
            <w:vMerge w:val="restart"/>
            <w:noWrap w:val="0"/>
            <w:vAlign w:val="center"/>
          </w:tcPr>
          <w:p>
            <w:pPr>
              <w:widowControl/>
              <w:spacing w:line="240" w:lineRule="atLeas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公开内容（要素）</w:t>
            </w:r>
          </w:p>
        </w:tc>
        <w:tc>
          <w:tcPr>
            <w:tcW w:w="2520" w:type="dxa"/>
            <w:vMerge w:val="restart"/>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公开依据</w:t>
            </w:r>
          </w:p>
        </w:tc>
        <w:tc>
          <w:tcPr>
            <w:tcW w:w="1620" w:type="dxa"/>
            <w:vMerge w:val="restart"/>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公开时限</w:t>
            </w:r>
          </w:p>
        </w:tc>
        <w:tc>
          <w:tcPr>
            <w:tcW w:w="1080" w:type="dxa"/>
            <w:vMerge w:val="restart"/>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公开主体</w:t>
            </w:r>
          </w:p>
        </w:tc>
        <w:tc>
          <w:tcPr>
            <w:tcW w:w="1800" w:type="dxa"/>
            <w:vMerge w:val="restart"/>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公开渠道和载体</w:t>
            </w:r>
          </w:p>
        </w:tc>
        <w:tc>
          <w:tcPr>
            <w:tcW w:w="1249" w:type="dxa"/>
            <w:gridSpan w:val="2"/>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公开对象</w:t>
            </w:r>
          </w:p>
        </w:tc>
        <w:tc>
          <w:tcPr>
            <w:tcW w:w="1271" w:type="dxa"/>
            <w:gridSpan w:val="2"/>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公开方式</w:t>
            </w:r>
          </w:p>
        </w:tc>
        <w:tc>
          <w:tcPr>
            <w:tcW w:w="1440" w:type="dxa"/>
            <w:gridSpan w:val="2"/>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noWrap w:val="0"/>
            <w:vAlign w:val="center"/>
          </w:tcPr>
          <w:p>
            <w:pPr>
              <w:widowControl/>
              <w:spacing w:line="240" w:lineRule="atLeast"/>
              <w:jc w:val="left"/>
              <w:rPr>
                <w:rFonts w:hint="eastAsia" w:ascii="仿宋_GB2312" w:hAnsi="仿宋_GB2312" w:eastAsia="仿宋_GB2312" w:cs="仿宋_GB2312"/>
                <w:color w:val="auto"/>
                <w:kern w:val="0"/>
                <w:sz w:val="18"/>
                <w:szCs w:val="18"/>
                <w:highlight w:val="none"/>
              </w:rPr>
            </w:pPr>
          </w:p>
        </w:tc>
        <w:tc>
          <w:tcPr>
            <w:tcW w:w="900" w:type="dxa"/>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一级事项</w:t>
            </w:r>
          </w:p>
        </w:tc>
        <w:tc>
          <w:tcPr>
            <w:tcW w:w="900" w:type="dxa"/>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二级事项</w:t>
            </w:r>
          </w:p>
        </w:tc>
        <w:tc>
          <w:tcPr>
            <w:tcW w:w="2160" w:type="dxa"/>
            <w:vMerge w:val="continue"/>
            <w:noWrap w:val="0"/>
            <w:vAlign w:val="center"/>
          </w:tcPr>
          <w:p>
            <w:pPr>
              <w:widowControl/>
              <w:spacing w:line="240" w:lineRule="atLeast"/>
              <w:rPr>
                <w:rFonts w:hint="eastAsia" w:ascii="仿宋_GB2312" w:hAnsi="仿宋_GB2312" w:eastAsia="仿宋_GB2312" w:cs="仿宋_GB2312"/>
                <w:color w:val="auto"/>
                <w:kern w:val="0"/>
                <w:sz w:val="18"/>
                <w:szCs w:val="18"/>
                <w:highlight w:val="none"/>
              </w:rPr>
            </w:pPr>
          </w:p>
        </w:tc>
        <w:tc>
          <w:tcPr>
            <w:tcW w:w="2520" w:type="dxa"/>
            <w:vMerge w:val="continue"/>
            <w:noWrap w:val="0"/>
            <w:vAlign w:val="center"/>
          </w:tcPr>
          <w:p>
            <w:pPr>
              <w:widowControl/>
              <w:spacing w:line="240" w:lineRule="atLeast"/>
              <w:jc w:val="left"/>
              <w:rPr>
                <w:rFonts w:hint="eastAsia" w:ascii="仿宋_GB2312" w:hAnsi="仿宋_GB2312" w:eastAsia="仿宋_GB2312" w:cs="仿宋_GB2312"/>
                <w:color w:val="auto"/>
                <w:kern w:val="0"/>
                <w:sz w:val="18"/>
                <w:szCs w:val="18"/>
                <w:highlight w:val="none"/>
              </w:rPr>
            </w:pPr>
          </w:p>
        </w:tc>
        <w:tc>
          <w:tcPr>
            <w:tcW w:w="1620" w:type="dxa"/>
            <w:vMerge w:val="continue"/>
            <w:noWrap w:val="0"/>
            <w:vAlign w:val="center"/>
          </w:tcPr>
          <w:p>
            <w:pPr>
              <w:widowControl/>
              <w:spacing w:line="240" w:lineRule="atLeast"/>
              <w:jc w:val="left"/>
              <w:rPr>
                <w:rFonts w:hint="eastAsia" w:ascii="仿宋_GB2312" w:hAnsi="仿宋_GB2312" w:eastAsia="仿宋_GB2312" w:cs="仿宋_GB2312"/>
                <w:color w:val="auto"/>
                <w:kern w:val="0"/>
                <w:sz w:val="18"/>
                <w:szCs w:val="18"/>
                <w:highlight w:val="none"/>
              </w:rPr>
            </w:pPr>
          </w:p>
        </w:tc>
        <w:tc>
          <w:tcPr>
            <w:tcW w:w="1080" w:type="dxa"/>
            <w:vMerge w:val="continue"/>
            <w:noWrap w:val="0"/>
            <w:vAlign w:val="center"/>
          </w:tcPr>
          <w:p>
            <w:pPr>
              <w:widowControl/>
              <w:spacing w:line="240" w:lineRule="atLeast"/>
              <w:jc w:val="left"/>
              <w:rPr>
                <w:rFonts w:hint="eastAsia" w:ascii="仿宋_GB2312" w:hAnsi="仿宋_GB2312" w:eastAsia="仿宋_GB2312" w:cs="仿宋_GB2312"/>
                <w:color w:val="auto"/>
                <w:kern w:val="0"/>
                <w:sz w:val="18"/>
                <w:szCs w:val="18"/>
                <w:highlight w:val="none"/>
              </w:rPr>
            </w:pPr>
          </w:p>
        </w:tc>
        <w:tc>
          <w:tcPr>
            <w:tcW w:w="1800" w:type="dxa"/>
            <w:vMerge w:val="continue"/>
            <w:noWrap w:val="0"/>
            <w:vAlign w:val="center"/>
          </w:tcPr>
          <w:p>
            <w:pPr>
              <w:widowControl/>
              <w:spacing w:line="240" w:lineRule="atLeast"/>
              <w:jc w:val="left"/>
              <w:rPr>
                <w:rFonts w:hint="eastAsia" w:ascii="仿宋_GB2312" w:hAnsi="仿宋_GB2312" w:eastAsia="仿宋_GB2312" w:cs="仿宋_GB2312"/>
                <w:color w:val="auto"/>
                <w:kern w:val="0"/>
                <w:sz w:val="18"/>
                <w:szCs w:val="18"/>
                <w:highlight w:val="none"/>
              </w:rPr>
            </w:pPr>
          </w:p>
        </w:tc>
        <w:tc>
          <w:tcPr>
            <w:tcW w:w="540" w:type="dxa"/>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全社会</w:t>
            </w:r>
          </w:p>
        </w:tc>
        <w:tc>
          <w:tcPr>
            <w:tcW w:w="709" w:type="dxa"/>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特定群众</w:t>
            </w:r>
          </w:p>
        </w:tc>
        <w:tc>
          <w:tcPr>
            <w:tcW w:w="551" w:type="dxa"/>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主动</w:t>
            </w:r>
          </w:p>
        </w:tc>
        <w:tc>
          <w:tcPr>
            <w:tcW w:w="720" w:type="dxa"/>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依申请公开</w:t>
            </w:r>
          </w:p>
        </w:tc>
        <w:tc>
          <w:tcPr>
            <w:tcW w:w="720" w:type="dxa"/>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县级</w:t>
            </w:r>
          </w:p>
        </w:tc>
        <w:tc>
          <w:tcPr>
            <w:tcW w:w="720" w:type="dxa"/>
            <w:noWrap w:val="0"/>
            <w:vAlign w:val="center"/>
          </w:tcPr>
          <w:p>
            <w:pPr>
              <w:widowControl/>
              <w:spacing w:line="240" w:lineRule="atLeast"/>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90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出生</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登记</w:t>
            </w:r>
          </w:p>
        </w:tc>
        <w:tc>
          <w:tcPr>
            <w:tcW w:w="90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出生</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登记</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《户口登记条例》、《政府信息公开条例》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r>
              <w:rPr>
                <w:rFonts w:hint="eastAsia" w:ascii="仿宋_GB2312" w:hAnsi="仿宋_GB2312" w:eastAsia="仿宋_GB2312" w:cs="仿宋_GB2312"/>
                <w:color w:val="auto"/>
                <w:sz w:val="18"/>
                <w:szCs w:val="18"/>
                <w:highlight w:val="none"/>
              </w:rPr>
              <w:br w:type="textWrapping"/>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收养、入籍等登记</w:t>
            </w:r>
          </w:p>
        </w:tc>
        <w:tc>
          <w:tcPr>
            <w:tcW w:w="90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收养</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登记</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《户口登记条例》、《收养法》、《中国公民收养子女登记办法》、《国籍法》、《政府信息公开条例》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900" w:type="dxa"/>
            <w:vMerge w:val="restart"/>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注销登记</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死亡注销</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《户口登记条例》、《政府信息公开条例》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900" w:type="dxa"/>
            <w:vMerge w:val="continue"/>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服现役注销</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《户口登记条例》、《政府信息公开条例》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迁移登记</w:t>
            </w:r>
          </w:p>
        </w:tc>
        <w:tc>
          <w:tcPr>
            <w:tcW w:w="9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迁出、迁入登记</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《户口登记条例》、《中华人民共和国政府信息公开条例》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户口登记项目变更更正</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姓名变更、更正</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《户口登记条例》、《政府信息公开条例》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900" w:type="dxa"/>
            <w:vMerge w:val="restart"/>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户口登记项目变更更正</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性别变更、更正</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《公安部关于公民手术变性后变更户口登记性别项目有关问题的批复》、《政府信息公开条例》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900" w:type="dxa"/>
            <w:vMerge w:val="continue"/>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民族成份变更、更正</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《中国公民民族成份登记管理办法》、《政府信息公开条例》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9</w:t>
            </w:r>
          </w:p>
        </w:tc>
        <w:tc>
          <w:tcPr>
            <w:tcW w:w="900" w:type="dxa"/>
            <w:vMerge w:val="restart"/>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暂住登记及居住证管理</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暂住登记</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《户口登记条例》、《政府信息公开条例》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10</w:t>
            </w:r>
          </w:p>
        </w:tc>
        <w:tc>
          <w:tcPr>
            <w:tcW w:w="900" w:type="dxa"/>
            <w:vMerge w:val="continue"/>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居住证申领</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《居住证暂行条例》、《政府信息公开条例》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11</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暂住登记及居住证管理</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居住证换、补领</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《居住证暂行条例》、《政府信息公开条例》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12</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暂住登记及居住证管理</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居住证签注</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《居住证暂行条例》、《政府信息公开条例》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13</w:t>
            </w:r>
          </w:p>
        </w:tc>
        <w:tc>
          <w:tcPr>
            <w:tcW w:w="900" w:type="dxa"/>
            <w:vMerge w:val="restart"/>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港澳台居民居住证管理</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港澳台居民居住证申领</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《港澳台居民居住证申领发放办法》、《政府信息公开条例》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14</w:t>
            </w:r>
          </w:p>
        </w:tc>
        <w:tc>
          <w:tcPr>
            <w:tcW w:w="900" w:type="dxa"/>
            <w:vMerge w:val="continue"/>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港澳台居民居住证换、补领</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《港澳台居民居住证申领发放办法》、《政府信息公开条例》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15</w:t>
            </w:r>
          </w:p>
        </w:tc>
        <w:tc>
          <w:tcPr>
            <w:tcW w:w="900" w:type="dxa"/>
            <w:vMerge w:val="restart"/>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居民身份证管理</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居民身份证申领</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《居民身份证法》、《政府信息公开条例》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16</w:t>
            </w:r>
          </w:p>
        </w:tc>
        <w:tc>
          <w:tcPr>
            <w:tcW w:w="900" w:type="dxa"/>
            <w:vMerge w:val="continue"/>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居民身份证换、补领</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《居民身份证法》、《政府信息公开条例》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17</w:t>
            </w:r>
          </w:p>
        </w:tc>
        <w:tc>
          <w:tcPr>
            <w:tcW w:w="900" w:type="dxa"/>
            <w:vMerge w:val="continue"/>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临时居民身份证申领、换领、补领</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《临时居民身份证管理办法》、《政府信息公开条例》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r>
              <w:rPr>
                <w:rFonts w:hint="eastAsia" w:ascii="仿宋_GB2312" w:hAnsi="仿宋_GB2312" w:eastAsia="仿宋_GB2312" w:cs="仿宋_GB2312"/>
                <w:color w:val="auto"/>
                <w:sz w:val="18"/>
                <w:szCs w:val="18"/>
                <w:highlight w:val="none"/>
              </w:rPr>
              <w:br w:type="textWrapping"/>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18</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居民身份证管理</w:t>
            </w:r>
          </w:p>
        </w:tc>
        <w:tc>
          <w:tcPr>
            <w:tcW w:w="90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异地申请换、补领居民身份证</w:t>
            </w:r>
          </w:p>
        </w:tc>
        <w:tc>
          <w:tcPr>
            <w:tcW w:w="216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受理部门、办理条件、办理流程、所需材料、办理时限、收费依据及标准      </w:t>
            </w:r>
          </w:p>
        </w:tc>
        <w:tc>
          <w:tcPr>
            <w:tcW w:w="25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《居民身份证法》、《公安部关于印发&lt;关于建立居民身份证异地受理挂失申报和丢失招领制度的意见&gt;的通知》、《政府信息公开条例》</w:t>
            </w:r>
          </w:p>
        </w:tc>
        <w:tc>
          <w:tcPr>
            <w:tcW w:w="1620" w:type="dxa"/>
            <w:noWrap w:val="0"/>
            <w:vAlign w:val="center"/>
          </w:tcPr>
          <w:p>
            <w:pPr>
              <w:widowControl/>
              <w:spacing w:line="240" w:lineRule="atLeas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形成或者变更之日起20个工作日内予以公开</w:t>
            </w:r>
          </w:p>
        </w:tc>
        <w:tc>
          <w:tcPr>
            <w:tcW w:w="108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区公安局</w:t>
            </w:r>
          </w:p>
        </w:tc>
        <w:tc>
          <w:tcPr>
            <w:tcW w:w="1800" w:type="dxa"/>
            <w:noWrap w:val="0"/>
            <w:vAlign w:val="center"/>
          </w:tcPr>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widowControl/>
              <w:spacing w:line="240" w:lineRule="atLeast"/>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tc>
        <w:tc>
          <w:tcPr>
            <w:tcW w:w="54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551"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rPr>
                <w:rFonts w:hint="eastAsia" w:ascii="仿宋_GB2312" w:hAnsi="仿宋_GB2312" w:eastAsia="仿宋_GB2312" w:cs="仿宋_GB2312"/>
                <w:color w:val="auto"/>
                <w:sz w:val="18"/>
                <w:szCs w:val="18"/>
                <w:highlight w:val="none"/>
              </w:rPr>
            </w:pP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widowControl/>
              <w:spacing w:line="240" w:lineRule="atLeast"/>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bl>
    <w:p>
      <w:pPr>
        <w:rPr>
          <w:rFonts w:hint="eastAsia"/>
          <w:color w:val="auto"/>
          <w:highlight w:val="none"/>
          <w:lang w:val="en-US" w:eastAsia="zh-CN"/>
        </w:rPr>
      </w:pPr>
      <w:r>
        <w:rPr>
          <w:rFonts w:hint="eastAsia"/>
          <w:color w:val="auto"/>
          <w:highlight w:val="none"/>
          <w:lang w:val="en-US" w:eastAsia="zh-CN"/>
        </w:rPr>
        <w:br w:type="page"/>
      </w:r>
    </w:p>
    <w:p>
      <w:pPr>
        <w:pStyle w:val="2"/>
        <w:spacing w:line="240" w:lineRule="auto"/>
        <w:jc w:val="center"/>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lang w:val="en-US" w:eastAsia="zh-CN"/>
        </w:rPr>
        <w:t>双台子区</w:t>
      </w:r>
      <w:r>
        <w:rPr>
          <w:rFonts w:hint="eastAsia" w:ascii="黑体" w:hAnsi="黑体" w:eastAsia="黑体" w:cs="黑体"/>
          <w:b w:val="0"/>
          <w:bCs w:val="0"/>
          <w:color w:val="auto"/>
          <w:sz w:val="36"/>
          <w:szCs w:val="36"/>
          <w:highlight w:val="none"/>
        </w:rPr>
        <w:t>社会救助领域基层政务公开标准目录</w:t>
      </w:r>
      <w:bookmarkEnd w:id="1"/>
      <w:bookmarkStart w:id="2" w:name="_Toc24724709"/>
    </w:p>
    <w:tbl>
      <w:tblPr>
        <w:tblStyle w:val="7"/>
        <w:tblW w:w="14831"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660"/>
        <w:gridCol w:w="795"/>
        <w:gridCol w:w="2670"/>
        <w:gridCol w:w="2670"/>
        <w:gridCol w:w="1005"/>
        <w:gridCol w:w="1035"/>
        <w:gridCol w:w="1601"/>
        <w:gridCol w:w="649"/>
        <w:gridCol w:w="600"/>
        <w:gridCol w:w="551"/>
        <w:gridCol w:w="799"/>
        <w:gridCol w:w="64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35"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序号</w:t>
            </w:r>
          </w:p>
        </w:tc>
        <w:tc>
          <w:tcPr>
            <w:tcW w:w="1455" w:type="dxa"/>
            <w:gridSpan w:val="2"/>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公开事项</w:t>
            </w:r>
          </w:p>
        </w:tc>
        <w:tc>
          <w:tcPr>
            <w:tcW w:w="2670"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公开内容（要素）</w:t>
            </w:r>
          </w:p>
        </w:tc>
        <w:tc>
          <w:tcPr>
            <w:tcW w:w="2670"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公开依据</w:t>
            </w:r>
          </w:p>
        </w:tc>
        <w:tc>
          <w:tcPr>
            <w:tcW w:w="1005"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公开时限</w:t>
            </w:r>
          </w:p>
        </w:tc>
        <w:tc>
          <w:tcPr>
            <w:tcW w:w="1035"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公开主体</w:t>
            </w:r>
          </w:p>
        </w:tc>
        <w:tc>
          <w:tcPr>
            <w:tcW w:w="1601"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公开渠道和载体</w:t>
            </w:r>
          </w:p>
        </w:tc>
        <w:tc>
          <w:tcPr>
            <w:tcW w:w="1249" w:type="dxa"/>
            <w:gridSpan w:val="2"/>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公开对象</w:t>
            </w:r>
          </w:p>
        </w:tc>
        <w:tc>
          <w:tcPr>
            <w:tcW w:w="1350" w:type="dxa"/>
            <w:gridSpan w:val="2"/>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公开方式</w:t>
            </w:r>
          </w:p>
        </w:tc>
        <w:tc>
          <w:tcPr>
            <w:tcW w:w="1361" w:type="dxa"/>
            <w:gridSpan w:val="2"/>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435"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660"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一级事项</w:t>
            </w:r>
          </w:p>
        </w:tc>
        <w:tc>
          <w:tcPr>
            <w:tcW w:w="795"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二级事项</w:t>
            </w:r>
          </w:p>
        </w:tc>
        <w:tc>
          <w:tcPr>
            <w:tcW w:w="2670"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2670"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1005"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1035"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1601"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649"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全社会</w:t>
            </w:r>
          </w:p>
        </w:tc>
        <w:tc>
          <w:tcPr>
            <w:tcW w:w="600"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特定群众</w:t>
            </w:r>
          </w:p>
        </w:tc>
        <w:tc>
          <w:tcPr>
            <w:tcW w:w="551"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主动</w:t>
            </w:r>
          </w:p>
        </w:tc>
        <w:tc>
          <w:tcPr>
            <w:tcW w:w="799"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依申请公开</w:t>
            </w:r>
          </w:p>
        </w:tc>
        <w:tc>
          <w:tcPr>
            <w:tcW w:w="641"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县级</w:t>
            </w:r>
          </w:p>
        </w:tc>
        <w:tc>
          <w:tcPr>
            <w:tcW w:w="720"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1</w:t>
            </w:r>
          </w:p>
        </w:tc>
        <w:tc>
          <w:tcPr>
            <w:tcW w:w="66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综合业务</w:t>
            </w: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法规</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文件</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《社会救助暂行办法》</w:t>
            </w:r>
            <w:r>
              <w:rPr>
                <w:rFonts w:ascii="仿宋_GB2312" w:hAnsi="仿宋_GB2312" w:eastAsia="仿宋_GB2312" w:cs="仿宋_GB2312"/>
                <w:color w:val="auto"/>
                <w:sz w:val="18"/>
                <w:szCs w:val="18"/>
                <w:highlight w:val="none"/>
              </w:rPr>
              <w:t xml:space="preserve">                 </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各地配套政策法规文件</w:t>
            </w:r>
          </w:p>
        </w:tc>
        <w:tc>
          <w:tcPr>
            <w:tcW w:w="267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2</w:t>
            </w:r>
          </w:p>
        </w:tc>
        <w:tc>
          <w:tcPr>
            <w:tcW w:w="660" w:type="dxa"/>
            <w:vMerge w:val="continue"/>
            <w:noWrap w:val="0"/>
            <w:vAlign w:val="center"/>
          </w:tcPr>
          <w:p>
            <w:pPr>
              <w:rPr>
                <w:rFonts w:ascii="仿宋_GB2312" w:hAnsi="仿宋_GB2312" w:eastAsia="仿宋_GB2312" w:cs="仿宋_GB2312"/>
                <w:color w:val="auto"/>
                <w:sz w:val="18"/>
                <w:szCs w:val="18"/>
                <w:highlight w:val="none"/>
              </w:rPr>
            </w:pP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监督</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检查</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社会救助信访通讯地址</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社会救助投诉举报电话</w:t>
            </w:r>
          </w:p>
        </w:tc>
        <w:tc>
          <w:tcPr>
            <w:tcW w:w="267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企事业单位</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村公示栏（电子屏）</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3</w:t>
            </w:r>
          </w:p>
        </w:tc>
        <w:tc>
          <w:tcPr>
            <w:tcW w:w="66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最低生活保障</w:t>
            </w: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法规</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文件</w:t>
            </w:r>
          </w:p>
        </w:tc>
        <w:tc>
          <w:tcPr>
            <w:tcW w:w="2670" w:type="dxa"/>
            <w:noWrap w:val="0"/>
            <w:vAlign w:val="center"/>
          </w:tcPr>
          <w:p>
            <w:pPr>
              <w:jc w:val="lef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《国务院关于进一步加强和改进最低生活保障工作的意见》、《辽宁省社会救助实施办法》、《盘锦市</w:t>
            </w:r>
            <w:r>
              <w:rPr>
                <w:rFonts w:hint="eastAsia" w:ascii="仿宋_GB2312" w:hAnsi="仿宋_GB2312" w:eastAsia="仿宋_GB2312" w:cs="仿宋_GB2312"/>
                <w:color w:val="auto"/>
                <w:sz w:val="18"/>
                <w:szCs w:val="18"/>
                <w:highlight w:val="none"/>
                <w:lang w:eastAsia="zh-CN"/>
              </w:rPr>
              <w:t>双台子区</w:t>
            </w:r>
            <w:r>
              <w:rPr>
                <w:rFonts w:hint="eastAsia" w:ascii="仿宋_GB2312" w:hAnsi="仿宋_GB2312" w:eastAsia="仿宋_GB2312" w:cs="仿宋_GB2312"/>
                <w:color w:val="auto"/>
                <w:sz w:val="18"/>
                <w:szCs w:val="18"/>
                <w:highlight w:val="none"/>
              </w:rPr>
              <w:t>最低生活保障对象、低收入家庭认定实施细则》、各地配套政策法规文件</w:t>
            </w:r>
          </w:p>
        </w:tc>
        <w:tc>
          <w:tcPr>
            <w:tcW w:w="267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4</w:t>
            </w:r>
          </w:p>
        </w:tc>
        <w:tc>
          <w:tcPr>
            <w:tcW w:w="660" w:type="dxa"/>
            <w:vMerge w:val="continue"/>
            <w:noWrap w:val="0"/>
            <w:vAlign w:val="center"/>
          </w:tcPr>
          <w:p>
            <w:pPr>
              <w:rPr>
                <w:rFonts w:ascii="仿宋_GB2312" w:hAnsi="仿宋_GB2312" w:eastAsia="仿宋_GB2312" w:cs="仿宋_GB2312"/>
                <w:color w:val="auto"/>
                <w:sz w:val="18"/>
                <w:szCs w:val="18"/>
                <w:highlight w:val="none"/>
              </w:rPr>
            </w:pP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办事</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指南</w:t>
            </w:r>
          </w:p>
        </w:tc>
        <w:tc>
          <w:tcPr>
            <w:tcW w:w="2670" w:type="dxa"/>
            <w:noWrap w:val="0"/>
            <w:vAlign w:val="center"/>
          </w:tcPr>
          <w:p>
            <w:pPr>
              <w:jc w:val="lef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办理事项、办理条件、最低生活保障标准、申请材料、办理流程、办理时间、地点、联系方式</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《国务院关于进一步加强和改进最低生活保障工作的意见》、《辽宁省社会救助实施办法》、《盘锦市</w:t>
            </w:r>
            <w:r>
              <w:rPr>
                <w:rFonts w:hint="eastAsia" w:ascii="仿宋_GB2312" w:hAnsi="仿宋_GB2312" w:eastAsia="仿宋_GB2312" w:cs="仿宋_GB2312"/>
                <w:color w:val="auto"/>
                <w:sz w:val="18"/>
                <w:szCs w:val="18"/>
                <w:highlight w:val="none"/>
                <w:lang w:eastAsia="zh-CN"/>
              </w:rPr>
              <w:t>双台子区</w:t>
            </w:r>
            <w:r>
              <w:rPr>
                <w:rFonts w:hint="eastAsia" w:ascii="仿宋_GB2312" w:hAnsi="仿宋_GB2312" w:eastAsia="仿宋_GB2312" w:cs="仿宋_GB2312"/>
                <w:color w:val="auto"/>
                <w:sz w:val="18"/>
                <w:szCs w:val="18"/>
                <w:highlight w:val="none"/>
              </w:rPr>
              <w:t>最低生活保障对象、低收入家庭认定实施细则》</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5</w:t>
            </w:r>
          </w:p>
        </w:tc>
        <w:tc>
          <w:tcPr>
            <w:tcW w:w="66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最低生活保障</w:t>
            </w: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审核</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信息</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初审对象名单及相关信息</w:t>
            </w:r>
            <w:r>
              <w:rPr>
                <w:rFonts w:ascii="仿宋_GB2312" w:hAnsi="仿宋_GB2312" w:eastAsia="仿宋_GB2312" w:cs="仿宋_GB2312"/>
                <w:color w:val="auto"/>
                <w:sz w:val="18"/>
                <w:szCs w:val="18"/>
                <w:highlight w:val="none"/>
              </w:rPr>
              <w:t xml:space="preserve">  </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《国务院关于进一步加强和改进最低生活保障工作的意见》、《辽宁省社会救助实施办法》、《盘锦市</w:t>
            </w:r>
            <w:r>
              <w:rPr>
                <w:rFonts w:hint="eastAsia" w:ascii="仿宋_GB2312" w:hAnsi="仿宋_GB2312" w:eastAsia="仿宋_GB2312" w:cs="仿宋_GB2312"/>
                <w:color w:val="auto"/>
                <w:sz w:val="18"/>
                <w:szCs w:val="18"/>
                <w:highlight w:val="none"/>
                <w:lang w:eastAsia="zh-CN"/>
              </w:rPr>
              <w:t>双台子区</w:t>
            </w:r>
            <w:r>
              <w:rPr>
                <w:rFonts w:hint="eastAsia" w:ascii="仿宋_GB2312" w:hAnsi="仿宋_GB2312" w:eastAsia="仿宋_GB2312" w:cs="仿宋_GB2312"/>
                <w:color w:val="auto"/>
                <w:sz w:val="18"/>
                <w:szCs w:val="18"/>
                <w:highlight w:val="none"/>
              </w:rPr>
              <w:t>最低生活保障对象、低收入家庭认定实施细则》</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个工作日内，公示</w:t>
            </w:r>
            <w:r>
              <w:rPr>
                <w:rFonts w:ascii="仿宋_GB2312" w:hAnsi="仿宋_GB2312" w:eastAsia="仿宋_GB2312" w:cs="仿宋_GB2312"/>
                <w:color w:val="auto"/>
                <w:sz w:val="18"/>
                <w:szCs w:val="18"/>
                <w:highlight w:val="none"/>
              </w:rPr>
              <w:t>7</w:t>
            </w:r>
            <w:r>
              <w:rPr>
                <w:rFonts w:hint="eastAsia" w:ascii="仿宋_GB2312" w:hAnsi="仿宋_GB2312" w:eastAsia="仿宋_GB2312" w:cs="仿宋_GB2312"/>
                <w:color w:val="auto"/>
                <w:sz w:val="18"/>
                <w:szCs w:val="18"/>
                <w:highlight w:val="none"/>
              </w:rPr>
              <w:t>个工作日</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■社区</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企事业单位</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村公示栏（电子屏）</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6</w:t>
            </w:r>
          </w:p>
        </w:tc>
        <w:tc>
          <w:tcPr>
            <w:tcW w:w="660" w:type="dxa"/>
            <w:vMerge w:val="continue"/>
            <w:noWrap w:val="0"/>
            <w:vAlign w:val="center"/>
          </w:tcPr>
          <w:p>
            <w:pPr>
              <w:rPr>
                <w:rFonts w:ascii="仿宋_GB2312" w:hAnsi="仿宋_GB2312" w:eastAsia="仿宋_GB2312" w:cs="仿宋_GB2312"/>
                <w:color w:val="auto"/>
                <w:sz w:val="18"/>
                <w:szCs w:val="18"/>
                <w:highlight w:val="none"/>
              </w:rPr>
            </w:pP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审批</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信息</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低保对象名单及相关信息</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《国务院关于进一步加强和改进最低生活保障工作的意见》、《辽宁省社会救助实施办法》、《盘锦市</w:t>
            </w:r>
            <w:r>
              <w:rPr>
                <w:rFonts w:hint="eastAsia" w:ascii="仿宋_GB2312" w:hAnsi="仿宋_GB2312" w:eastAsia="仿宋_GB2312" w:cs="仿宋_GB2312"/>
                <w:color w:val="auto"/>
                <w:sz w:val="18"/>
                <w:szCs w:val="18"/>
                <w:highlight w:val="none"/>
                <w:lang w:eastAsia="zh-CN"/>
              </w:rPr>
              <w:t>双台子区</w:t>
            </w:r>
            <w:r>
              <w:rPr>
                <w:rFonts w:hint="eastAsia" w:ascii="仿宋_GB2312" w:hAnsi="仿宋_GB2312" w:eastAsia="仿宋_GB2312" w:cs="仿宋_GB2312"/>
                <w:color w:val="auto"/>
                <w:sz w:val="18"/>
                <w:szCs w:val="18"/>
                <w:highlight w:val="none"/>
              </w:rPr>
              <w:t>最低生活保障对象、低收入家庭认定实施细则》</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企事业单位</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村公示栏（电子屏）</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7</w:t>
            </w:r>
          </w:p>
        </w:tc>
        <w:tc>
          <w:tcPr>
            <w:tcW w:w="66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特困人员救助供养</w:t>
            </w: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法规</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文件</w:t>
            </w:r>
          </w:p>
        </w:tc>
        <w:tc>
          <w:tcPr>
            <w:tcW w:w="2670" w:type="dxa"/>
            <w:noWrap w:val="0"/>
            <w:vAlign w:val="center"/>
          </w:tcPr>
          <w:p>
            <w:pPr>
              <w:jc w:val="left"/>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67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8</w:t>
            </w:r>
          </w:p>
        </w:tc>
        <w:tc>
          <w:tcPr>
            <w:tcW w:w="660" w:type="dxa"/>
            <w:vMerge w:val="continue"/>
            <w:noWrap w:val="0"/>
            <w:vAlign w:val="center"/>
          </w:tcPr>
          <w:p>
            <w:pPr>
              <w:rPr>
                <w:rFonts w:ascii="仿宋_GB2312" w:hAnsi="仿宋_GB2312" w:eastAsia="仿宋_GB2312" w:cs="仿宋_GB2312"/>
                <w:color w:val="auto"/>
                <w:sz w:val="18"/>
                <w:szCs w:val="18"/>
                <w:highlight w:val="none"/>
              </w:rPr>
            </w:pP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办事</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指南</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办理事项、办理条件、救助供养标准、申请材料、办理流程、办理时间、地点、联系方式</w:t>
            </w:r>
            <w:r>
              <w:rPr>
                <w:rFonts w:ascii="仿宋_GB2312" w:hAnsi="仿宋_GB2312" w:eastAsia="仿宋_GB2312" w:cs="仿宋_GB2312"/>
                <w:color w:val="auto"/>
                <w:sz w:val="18"/>
                <w:szCs w:val="18"/>
                <w:highlight w:val="none"/>
              </w:rPr>
              <w:t xml:space="preserve"> </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《国务院关于进一步健全特困人员救助供养制度的意见》、盘锦市民政局</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盘锦市财政局《关于进一步推进特困人员救助供养工作的通知》</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9</w:t>
            </w:r>
          </w:p>
        </w:tc>
        <w:tc>
          <w:tcPr>
            <w:tcW w:w="66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特困人员救助供养</w:t>
            </w: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审核</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信息</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初审对象名单及相关信息、终止供养名单</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《国务院关于进一步健全特困人员救助供养制度的意见》、盘锦市民政局</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盘锦市财政局《关于进一步推进特困人员救助供养工作的通知》</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个工作日内，公示</w:t>
            </w:r>
            <w:r>
              <w:rPr>
                <w:rFonts w:ascii="仿宋_GB2312" w:hAnsi="仿宋_GB2312" w:eastAsia="仿宋_GB2312" w:cs="仿宋_GB2312"/>
                <w:color w:val="auto"/>
                <w:sz w:val="18"/>
                <w:szCs w:val="18"/>
                <w:highlight w:val="none"/>
              </w:rPr>
              <w:t>7</w:t>
            </w:r>
            <w:r>
              <w:rPr>
                <w:rFonts w:hint="eastAsia" w:ascii="仿宋_GB2312" w:hAnsi="仿宋_GB2312" w:eastAsia="仿宋_GB2312" w:cs="仿宋_GB2312"/>
                <w:color w:val="auto"/>
                <w:sz w:val="18"/>
                <w:szCs w:val="18"/>
                <w:highlight w:val="none"/>
              </w:rPr>
              <w:t>个工作日</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■社区</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企事业单位</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村公示栏（电子屏）</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10</w:t>
            </w:r>
          </w:p>
        </w:tc>
        <w:tc>
          <w:tcPr>
            <w:tcW w:w="660" w:type="dxa"/>
            <w:vMerge w:val="continue"/>
            <w:noWrap w:val="0"/>
            <w:vAlign w:val="center"/>
          </w:tcPr>
          <w:p>
            <w:pPr>
              <w:rPr>
                <w:rFonts w:ascii="仿宋_GB2312" w:hAnsi="仿宋_GB2312" w:eastAsia="仿宋_GB2312" w:cs="仿宋_GB2312"/>
                <w:color w:val="auto"/>
                <w:sz w:val="18"/>
                <w:szCs w:val="18"/>
                <w:highlight w:val="none"/>
              </w:rPr>
            </w:pP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审批</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信息</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特困人员名单及相关信息</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《国务院关于进一步健全特困人员救助供养制度的意见》、盘锦市民政局</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盘锦市财政局《关于进一步推进特困人员救助供养工作的通知》</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企事业单位</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村公示栏（电子屏）</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11</w:t>
            </w:r>
          </w:p>
        </w:tc>
        <w:tc>
          <w:tcPr>
            <w:tcW w:w="66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临时救助</w:t>
            </w: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法规</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文件</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《国务院关于全面建立临时救助制度的通知》、《民政部</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财政部关于进一步加强和改进临时救助工作的意见》、各地配套政策法规文件</w:t>
            </w:r>
          </w:p>
        </w:tc>
        <w:tc>
          <w:tcPr>
            <w:tcW w:w="267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12</w:t>
            </w:r>
          </w:p>
        </w:tc>
        <w:tc>
          <w:tcPr>
            <w:tcW w:w="66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临时救助</w:t>
            </w: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办事</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指南</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办理事项、办理条件、救助标准、申请材料、办理流程、办理时间、地点、联系方式</w:t>
            </w:r>
            <w:r>
              <w:rPr>
                <w:rFonts w:ascii="仿宋_GB2312" w:hAnsi="仿宋_GB2312" w:eastAsia="仿宋_GB2312" w:cs="仿宋_GB2312"/>
                <w:color w:val="auto"/>
                <w:sz w:val="18"/>
                <w:szCs w:val="18"/>
                <w:highlight w:val="none"/>
              </w:rPr>
              <w:t xml:space="preserve"> </w:t>
            </w:r>
          </w:p>
        </w:tc>
        <w:tc>
          <w:tcPr>
            <w:tcW w:w="2670" w:type="dxa"/>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《国务院关于全面建立临时救助制度的通知》、《盘锦市关于进一步加强和改进临时救助工作的指导按意见》《盘锦市</w:t>
            </w:r>
            <w:r>
              <w:rPr>
                <w:rFonts w:hint="eastAsia" w:ascii="仿宋_GB2312" w:hAnsi="仿宋_GB2312" w:eastAsia="仿宋_GB2312" w:cs="仿宋_GB2312"/>
                <w:color w:val="auto"/>
                <w:sz w:val="18"/>
                <w:szCs w:val="18"/>
                <w:highlight w:val="none"/>
                <w:lang w:eastAsia="zh-CN"/>
              </w:rPr>
              <w:t>双台子区</w:t>
            </w:r>
            <w:r>
              <w:rPr>
                <w:rFonts w:hint="eastAsia" w:ascii="仿宋_GB2312" w:hAnsi="仿宋_GB2312" w:eastAsia="仿宋_GB2312" w:cs="仿宋_GB2312"/>
                <w:color w:val="auto"/>
                <w:sz w:val="18"/>
                <w:szCs w:val="18"/>
                <w:highlight w:val="none"/>
              </w:rPr>
              <w:t>临时救助工作实施办法》</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企事业单位</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村公示栏（电子屏）</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5"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13</w:t>
            </w:r>
          </w:p>
        </w:tc>
        <w:tc>
          <w:tcPr>
            <w:tcW w:w="660" w:type="dxa"/>
            <w:vMerge w:val="continue"/>
            <w:noWrap w:val="0"/>
            <w:vAlign w:val="center"/>
          </w:tcPr>
          <w:p>
            <w:pPr>
              <w:rPr>
                <w:rFonts w:ascii="仿宋_GB2312" w:hAnsi="仿宋_GB2312" w:eastAsia="仿宋_GB2312" w:cs="仿宋_GB2312"/>
                <w:color w:val="auto"/>
                <w:sz w:val="18"/>
                <w:szCs w:val="18"/>
                <w:highlight w:val="none"/>
              </w:rPr>
            </w:pPr>
          </w:p>
        </w:tc>
        <w:tc>
          <w:tcPr>
            <w:tcW w:w="795"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审核</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审批</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信息</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支出型临时救助对象名单、救助金额、救助事由</w:t>
            </w:r>
            <w:r>
              <w:rPr>
                <w:rFonts w:ascii="仿宋_GB2312" w:hAnsi="仿宋_GB2312" w:eastAsia="仿宋_GB2312" w:cs="仿宋_GB2312"/>
                <w:color w:val="auto"/>
                <w:sz w:val="18"/>
                <w:szCs w:val="18"/>
                <w:highlight w:val="none"/>
              </w:rPr>
              <w:t xml:space="preserve"> </w:t>
            </w:r>
          </w:p>
        </w:tc>
        <w:tc>
          <w:tcPr>
            <w:tcW w:w="267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《国务院关于全面建立临时救助制度的通知》、《盘锦市关于进一步加强和改进临时救助工作的指导按意见》《盘锦市</w:t>
            </w:r>
            <w:r>
              <w:rPr>
                <w:rFonts w:hint="eastAsia" w:ascii="仿宋_GB2312" w:hAnsi="仿宋_GB2312" w:eastAsia="仿宋_GB2312" w:cs="仿宋_GB2312"/>
                <w:color w:val="auto"/>
                <w:sz w:val="18"/>
                <w:szCs w:val="18"/>
                <w:highlight w:val="none"/>
                <w:lang w:eastAsia="zh-CN"/>
              </w:rPr>
              <w:t>双台子区</w:t>
            </w:r>
            <w:r>
              <w:rPr>
                <w:rFonts w:hint="eastAsia" w:ascii="仿宋_GB2312" w:hAnsi="仿宋_GB2312" w:eastAsia="仿宋_GB2312" w:cs="仿宋_GB2312"/>
                <w:color w:val="auto"/>
                <w:sz w:val="18"/>
                <w:szCs w:val="18"/>
                <w:highlight w:val="none"/>
              </w:rPr>
              <w:t>临时救助工作实施办法》</w:t>
            </w:r>
          </w:p>
        </w:tc>
        <w:tc>
          <w:tcPr>
            <w:tcW w:w="100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制定或获取信息之日起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1035"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乡镇政府（街道办事处）</w:t>
            </w:r>
          </w:p>
        </w:tc>
        <w:tc>
          <w:tcPr>
            <w:tcW w:w="160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企事业单位</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村公示栏（电子屏）</w:t>
            </w:r>
            <w:r>
              <w:rPr>
                <w:rFonts w:ascii="仿宋_GB2312" w:hAnsi="仿宋_GB2312" w:eastAsia="仿宋_GB2312" w:cs="仿宋_GB2312"/>
                <w:color w:val="auto"/>
                <w:sz w:val="18"/>
                <w:szCs w:val="18"/>
                <w:highlight w:val="none"/>
              </w:rPr>
              <w:t xml:space="preserve">                                                                                                                                                                                          </w:t>
            </w:r>
          </w:p>
        </w:tc>
        <w:tc>
          <w:tcPr>
            <w:tcW w:w="64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0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99"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64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bl>
    <w:p>
      <w:pPr>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rPr>
        <w:br w:type="page"/>
      </w:r>
    </w:p>
    <w:p>
      <w:pPr>
        <w:pStyle w:val="2"/>
        <w:spacing w:line="240" w:lineRule="auto"/>
        <w:jc w:val="center"/>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lang w:val="en-US" w:eastAsia="zh-CN"/>
        </w:rPr>
        <w:t>双台子区</w:t>
      </w:r>
      <w:r>
        <w:rPr>
          <w:rFonts w:hint="eastAsia" w:ascii="黑体" w:hAnsi="黑体" w:eastAsia="黑体" w:cs="黑体"/>
          <w:b w:val="0"/>
          <w:bCs w:val="0"/>
          <w:color w:val="auto"/>
          <w:sz w:val="36"/>
          <w:szCs w:val="36"/>
          <w:highlight w:val="none"/>
        </w:rPr>
        <w:t>养老服务领域基层政务公开标准目录</w:t>
      </w:r>
      <w:bookmarkEnd w:id="2"/>
      <w:bookmarkStart w:id="3" w:name="_Toc24724710"/>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3053"/>
        <w:gridCol w:w="1807"/>
        <w:gridCol w:w="1343"/>
        <w:gridCol w:w="997"/>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序号</w:t>
            </w:r>
          </w:p>
        </w:tc>
        <w:tc>
          <w:tcPr>
            <w:tcW w:w="2160" w:type="dxa"/>
            <w:gridSpan w:val="2"/>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公开事项</w:t>
            </w:r>
          </w:p>
        </w:tc>
        <w:tc>
          <w:tcPr>
            <w:tcW w:w="3053"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公开内容（要素）</w:t>
            </w:r>
          </w:p>
        </w:tc>
        <w:tc>
          <w:tcPr>
            <w:tcW w:w="1807"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公开依据</w:t>
            </w:r>
          </w:p>
        </w:tc>
        <w:tc>
          <w:tcPr>
            <w:tcW w:w="1343"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公开时限</w:t>
            </w:r>
          </w:p>
        </w:tc>
        <w:tc>
          <w:tcPr>
            <w:tcW w:w="997"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公开主体</w:t>
            </w:r>
          </w:p>
        </w:tc>
        <w:tc>
          <w:tcPr>
            <w:tcW w:w="1620" w:type="dxa"/>
            <w:vMerge w:val="restart"/>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公开渠道和载体</w:t>
            </w:r>
          </w:p>
        </w:tc>
        <w:tc>
          <w:tcPr>
            <w:tcW w:w="1249" w:type="dxa"/>
            <w:gridSpan w:val="2"/>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公开对象</w:t>
            </w:r>
          </w:p>
        </w:tc>
        <w:tc>
          <w:tcPr>
            <w:tcW w:w="1271" w:type="dxa"/>
            <w:gridSpan w:val="2"/>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公开方式</w:t>
            </w:r>
          </w:p>
        </w:tc>
        <w:tc>
          <w:tcPr>
            <w:tcW w:w="1440" w:type="dxa"/>
            <w:gridSpan w:val="2"/>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720"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一级事项</w:t>
            </w:r>
          </w:p>
        </w:tc>
        <w:tc>
          <w:tcPr>
            <w:tcW w:w="1440"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二级事项</w:t>
            </w:r>
          </w:p>
        </w:tc>
        <w:tc>
          <w:tcPr>
            <w:tcW w:w="3053"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1807"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1343"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997"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1620" w:type="dxa"/>
            <w:vMerge w:val="continue"/>
            <w:noWrap w:val="0"/>
            <w:vAlign w:val="center"/>
          </w:tcPr>
          <w:p>
            <w:pPr>
              <w:widowControl/>
              <w:jc w:val="left"/>
              <w:rPr>
                <w:rFonts w:ascii="仿宋_GB2312" w:hAnsi="仿宋_GB2312" w:eastAsia="仿宋_GB2312" w:cs="仿宋_GB2312"/>
                <w:color w:val="auto"/>
                <w:kern w:val="0"/>
                <w:sz w:val="18"/>
                <w:szCs w:val="18"/>
                <w:highlight w:val="none"/>
              </w:rPr>
            </w:pPr>
          </w:p>
        </w:tc>
        <w:tc>
          <w:tcPr>
            <w:tcW w:w="540"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全社会</w:t>
            </w:r>
          </w:p>
        </w:tc>
        <w:tc>
          <w:tcPr>
            <w:tcW w:w="709"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特定群众</w:t>
            </w:r>
          </w:p>
        </w:tc>
        <w:tc>
          <w:tcPr>
            <w:tcW w:w="551"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主动</w:t>
            </w:r>
          </w:p>
        </w:tc>
        <w:tc>
          <w:tcPr>
            <w:tcW w:w="720"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依申请公开</w:t>
            </w:r>
          </w:p>
        </w:tc>
        <w:tc>
          <w:tcPr>
            <w:tcW w:w="720"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县级</w:t>
            </w:r>
          </w:p>
        </w:tc>
        <w:tc>
          <w:tcPr>
            <w:tcW w:w="720" w:type="dxa"/>
            <w:noWrap w:val="0"/>
            <w:vAlign w:val="center"/>
          </w:tcPr>
          <w:p>
            <w:pPr>
              <w:widowControl/>
              <w:jc w:val="center"/>
              <w:rPr>
                <w:rFonts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1</w:t>
            </w:r>
          </w:p>
        </w:tc>
        <w:tc>
          <w:tcPr>
            <w:tcW w:w="72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养老服务通用政策</w:t>
            </w:r>
          </w:p>
        </w:tc>
        <w:tc>
          <w:tcPr>
            <w:tcW w:w="14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国家和地方层面养老服务相关法律、法规、政策文件</w:t>
            </w:r>
          </w:p>
        </w:tc>
        <w:tc>
          <w:tcPr>
            <w:tcW w:w="305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文件名称、文号、发文部门</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制定或获取文件之日起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99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2</w:t>
            </w:r>
          </w:p>
        </w:tc>
        <w:tc>
          <w:tcPr>
            <w:tcW w:w="720" w:type="dxa"/>
            <w:vMerge w:val="continue"/>
            <w:noWrap w:val="0"/>
            <w:vAlign w:val="center"/>
          </w:tcPr>
          <w:p>
            <w:pPr>
              <w:rPr>
                <w:rFonts w:ascii="仿宋_GB2312" w:hAnsi="仿宋_GB2312" w:eastAsia="仿宋_GB2312" w:cs="仿宋_GB2312"/>
                <w:color w:val="auto"/>
                <w:sz w:val="18"/>
                <w:szCs w:val="18"/>
                <w:highlight w:val="none"/>
              </w:rPr>
            </w:pPr>
          </w:p>
        </w:tc>
        <w:tc>
          <w:tcPr>
            <w:tcW w:w="14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养老服务扶持政策措施清单</w:t>
            </w:r>
          </w:p>
        </w:tc>
        <w:tc>
          <w:tcPr>
            <w:tcW w:w="305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扶持政策措施名称、扶持对象、实施部门、扶持政策措施内容和标准</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制定或获取扶持政策措施之日起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99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72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养老服务业务办理</w:t>
            </w:r>
          </w:p>
        </w:tc>
        <w:tc>
          <w:tcPr>
            <w:tcW w:w="14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养老机构备案</w:t>
            </w:r>
          </w:p>
        </w:tc>
        <w:tc>
          <w:tcPr>
            <w:tcW w:w="3053" w:type="dxa"/>
            <w:noWrap w:val="0"/>
            <w:vAlign w:val="center"/>
          </w:tcPr>
          <w:p>
            <w:pPr>
              <w:spacing w:after="240"/>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备案申请材料清单及样式、备案流程、办理部门、办理时限，办理时间、地点，咨询电话</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制定或获取备案政策之日起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99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ascii="仿宋_GB2312" w:hAnsi="仿宋_GB2312" w:eastAsia="仿宋_GB2312" w:cs="仿宋_GB2312"/>
                <w:color w:val="auto"/>
                <w:sz w:val="18"/>
                <w:szCs w:val="18"/>
                <w:highlight w:val="none"/>
              </w:rPr>
              <w:t>4</w:t>
            </w:r>
          </w:p>
        </w:tc>
        <w:tc>
          <w:tcPr>
            <w:tcW w:w="720" w:type="dxa"/>
            <w:vMerge w:val="continue"/>
            <w:noWrap w:val="0"/>
            <w:vAlign w:val="center"/>
          </w:tcPr>
          <w:p>
            <w:pPr>
              <w:rPr>
                <w:rFonts w:ascii="仿宋_GB2312" w:hAnsi="仿宋_GB2312" w:eastAsia="仿宋_GB2312" w:cs="仿宋_GB2312"/>
                <w:color w:val="auto"/>
                <w:sz w:val="18"/>
                <w:szCs w:val="18"/>
                <w:highlight w:val="none"/>
              </w:rPr>
            </w:pPr>
          </w:p>
        </w:tc>
        <w:tc>
          <w:tcPr>
            <w:tcW w:w="14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养老服务扶持补贴</w:t>
            </w:r>
          </w:p>
        </w:tc>
        <w:tc>
          <w:tcPr>
            <w:tcW w:w="305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养老服务扶持补贴名称（建设补贴、运营补贴等）、补贴依据、补贴对象、补贴申请条件、补贴内容和标准</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补贴方式，补贴申请材料清单及样式，办理流程、办理部门、办理时限、办理时间、地点、咨询电话</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制定或获取扶持补贴政策之日起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99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tc>
        <w:tc>
          <w:tcPr>
            <w:tcW w:w="5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养老服务业务办理</w:t>
            </w:r>
          </w:p>
        </w:tc>
        <w:tc>
          <w:tcPr>
            <w:tcW w:w="144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老年人补贴</w:t>
            </w:r>
          </w:p>
        </w:tc>
        <w:tc>
          <w:tcPr>
            <w:tcW w:w="305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《信息公开条例》及相关规定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制定或获取补贴政策之日起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99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区民政局、乡镇政府（街道办事处）</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企事业单位</w:t>
            </w:r>
            <w:r>
              <w:rPr>
                <w:rFonts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rPr>
              <w:t>村公示栏（电子屏）</w:t>
            </w:r>
            <w:r>
              <w:rPr>
                <w:rFonts w:ascii="仿宋_GB2312" w:hAnsi="仿宋_GB2312" w:eastAsia="仿宋_GB2312" w:cs="仿宋_GB2312"/>
                <w:color w:val="auto"/>
                <w:sz w:val="18"/>
                <w:szCs w:val="18"/>
                <w:highlight w:val="none"/>
              </w:rPr>
              <w:t xml:space="preserve">                                                                                                                                                                                          </w:t>
            </w:r>
          </w:p>
        </w:tc>
        <w:tc>
          <w:tcPr>
            <w:tcW w:w="5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72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养老服务行业管理信息</w:t>
            </w:r>
          </w:p>
        </w:tc>
        <w:tc>
          <w:tcPr>
            <w:tcW w:w="14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养老机构备案信息</w:t>
            </w:r>
          </w:p>
        </w:tc>
        <w:tc>
          <w:tcPr>
            <w:tcW w:w="305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本行政区域已备案养老机构案数量；本行政区域已备案养老机构名称、机构地址、床位数量等基本信息</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《老年人权益保障法》、《养老机构管理办法》、《信息公开条例》及相关规定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每</w:t>
            </w:r>
            <w:r>
              <w:rPr>
                <w:rFonts w:ascii="仿宋_GB2312" w:hAnsi="仿宋_GB2312" w:eastAsia="仿宋_GB2312" w:cs="仿宋_GB2312"/>
                <w:color w:val="auto"/>
                <w:sz w:val="18"/>
                <w:szCs w:val="18"/>
                <w:highlight w:val="none"/>
              </w:rPr>
              <w:t>20</w:t>
            </w:r>
            <w:r>
              <w:rPr>
                <w:rFonts w:hint="eastAsia" w:ascii="仿宋_GB2312" w:hAnsi="仿宋_GB2312" w:eastAsia="仿宋_GB2312" w:cs="仿宋_GB2312"/>
                <w:color w:val="auto"/>
                <w:sz w:val="18"/>
                <w:szCs w:val="18"/>
                <w:highlight w:val="none"/>
              </w:rPr>
              <w:t>个工作日更新</w:t>
            </w:r>
          </w:p>
        </w:tc>
        <w:tc>
          <w:tcPr>
            <w:tcW w:w="99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720" w:type="dxa"/>
            <w:vMerge w:val="continue"/>
            <w:noWrap w:val="0"/>
            <w:vAlign w:val="center"/>
          </w:tcPr>
          <w:p>
            <w:pPr>
              <w:rPr>
                <w:rFonts w:ascii="仿宋_GB2312" w:hAnsi="仿宋_GB2312" w:eastAsia="仿宋_GB2312" w:cs="仿宋_GB2312"/>
                <w:color w:val="auto"/>
                <w:sz w:val="18"/>
                <w:szCs w:val="18"/>
                <w:highlight w:val="none"/>
              </w:rPr>
            </w:pPr>
          </w:p>
        </w:tc>
        <w:tc>
          <w:tcPr>
            <w:tcW w:w="14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养老服务扶持补贴信息</w:t>
            </w:r>
          </w:p>
        </w:tc>
        <w:tc>
          <w:tcPr>
            <w:tcW w:w="305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养老服务扶持补贴政策、《信息公开条例》及相关规定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每</w:t>
            </w:r>
            <w:r>
              <w:rPr>
                <w:rFonts w:ascii="仿宋_GB2312" w:hAnsi="仿宋_GB2312" w:eastAsia="仿宋_GB2312" w:cs="仿宋_GB2312"/>
                <w:color w:val="auto"/>
                <w:sz w:val="18"/>
                <w:szCs w:val="18"/>
                <w:highlight w:val="none"/>
              </w:rPr>
              <w:t>20</w:t>
            </w:r>
            <w:r>
              <w:rPr>
                <w:rFonts w:hint="eastAsia" w:ascii="仿宋_GB2312" w:hAnsi="仿宋_GB2312" w:eastAsia="仿宋_GB2312" w:cs="仿宋_GB2312"/>
                <w:color w:val="auto"/>
                <w:sz w:val="18"/>
                <w:szCs w:val="18"/>
                <w:highlight w:val="none"/>
              </w:rPr>
              <w:t>个工作日更新</w:t>
            </w:r>
          </w:p>
        </w:tc>
        <w:tc>
          <w:tcPr>
            <w:tcW w:w="99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tc>
        <w:tc>
          <w:tcPr>
            <w:tcW w:w="5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720" w:type="dxa"/>
            <w:vMerge w:val="restart"/>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养老服务行业管理信息</w:t>
            </w:r>
          </w:p>
        </w:tc>
        <w:tc>
          <w:tcPr>
            <w:tcW w:w="14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老年人补贴申领和发放信息</w:t>
            </w:r>
          </w:p>
        </w:tc>
        <w:tc>
          <w:tcPr>
            <w:tcW w:w="305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本行政区域各项老年人补贴申领数量、本行政区域各项老年人补贴申领审核通过数量、本行政区域各项老年人补贴申领审核通过名单、本行政区域各项老年人补贴发放总金额</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《财政部</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民政部</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全国老龄办关于建立健全经济困难的高龄</w:t>
            </w:r>
            <w:r>
              <w:rPr>
                <w:rFonts w:ascii="仿宋_GB2312" w:hAnsi="仿宋_GB2312" w:eastAsia="仿宋_GB2312" w:cs="仿宋_GB2312"/>
                <w:color w:val="auto"/>
                <w:sz w:val="18"/>
                <w:szCs w:val="18"/>
                <w:highlight w:val="none"/>
              </w:rPr>
              <w:t xml:space="preserve"> </w:t>
            </w:r>
            <w:r>
              <w:rPr>
                <w:rFonts w:hint="eastAsia" w:ascii="仿宋_GB2312" w:hAnsi="仿宋_GB2312" w:eastAsia="仿宋_GB2312" w:cs="仿宋_GB2312"/>
                <w:color w:val="auto"/>
                <w:sz w:val="18"/>
                <w:szCs w:val="18"/>
                <w:highlight w:val="none"/>
              </w:rPr>
              <w:t>失能等老年人补贴制度的通知》、《信息公开条例》及相关规定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每30个工作日更新</w:t>
            </w:r>
          </w:p>
        </w:tc>
        <w:tc>
          <w:tcPr>
            <w:tcW w:w="997"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2" w:hRule="atLeast"/>
          <w:jc w:val="center"/>
        </w:trPr>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9</w:t>
            </w:r>
          </w:p>
        </w:tc>
        <w:tc>
          <w:tcPr>
            <w:tcW w:w="720" w:type="dxa"/>
            <w:vMerge w:val="continue"/>
            <w:noWrap w:val="0"/>
            <w:vAlign w:val="center"/>
          </w:tcPr>
          <w:p>
            <w:pPr>
              <w:rPr>
                <w:rFonts w:ascii="仿宋_GB2312" w:hAnsi="仿宋_GB2312" w:eastAsia="仿宋_GB2312" w:cs="仿宋_GB2312"/>
                <w:color w:val="auto"/>
                <w:sz w:val="18"/>
                <w:szCs w:val="18"/>
                <w:highlight w:val="none"/>
              </w:rPr>
            </w:pPr>
          </w:p>
        </w:tc>
        <w:tc>
          <w:tcPr>
            <w:tcW w:w="14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养老机构评估信息</w:t>
            </w:r>
          </w:p>
        </w:tc>
        <w:tc>
          <w:tcPr>
            <w:tcW w:w="305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本行政区域养老机构评估事项（综合评估、标准评定等）申请数量，</w:t>
            </w:r>
            <w:r>
              <w:rPr>
                <w:rFonts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本行政区域养老机构评估总体结果（综合评估、标准评估等），本行政区域养老机构评估机构清单（综合评估、标准评估等）</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《养老机构管理办法》、《养老机构等级划分与评定》、《信息公开条例》及相关规定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制定或获取评估结果之日起</w:t>
            </w:r>
            <w:r>
              <w:rPr>
                <w:rFonts w:ascii="仿宋_GB2312" w:hAnsi="仿宋_GB2312" w:eastAsia="仿宋_GB2312" w:cs="仿宋_GB2312"/>
                <w:color w:val="auto"/>
                <w:sz w:val="18"/>
                <w:szCs w:val="18"/>
                <w:highlight w:val="none"/>
              </w:rPr>
              <w:t>10</w:t>
            </w:r>
            <w:r>
              <w:rPr>
                <w:rFonts w:hint="eastAsia" w:ascii="仿宋_GB2312" w:hAnsi="仿宋_GB2312" w:eastAsia="仿宋_GB2312" w:cs="仿宋_GB2312"/>
                <w:color w:val="auto"/>
                <w:sz w:val="18"/>
                <w:szCs w:val="18"/>
                <w:highlight w:val="none"/>
              </w:rPr>
              <w:t>个工作日内</w:t>
            </w:r>
          </w:p>
        </w:tc>
        <w:tc>
          <w:tcPr>
            <w:tcW w:w="997"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10</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养老服务行业管理信息</w:t>
            </w:r>
          </w:p>
        </w:tc>
        <w:tc>
          <w:tcPr>
            <w:tcW w:w="144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民政部门负责的养老机构行政处罚信息</w:t>
            </w:r>
          </w:p>
        </w:tc>
        <w:tc>
          <w:tcPr>
            <w:tcW w:w="305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行政处罚事项及标准、行政处罚结果，行政复议、行政诉讼、监督方式及电话</w:t>
            </w:r>
          </w:p>
        </w:tc>
        <w:tc>
          <w:tcPr>
            <w:tcW w:w="180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《老年人权益保障法》、《养老机构管理办法》、信息公开规定</w:t>
            </w:r>
          </w:p>
        </w:tc>
        <w:tc>
          <w:tcPr>
            <w:tcW w:w="1343"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行政处罚决定做出之日起</w:t>
            </w:r>
            <w:r>
              <w:rPr>
                <w:rFonts w:ascii="仿宋_GB2312" w:hAnsi="仿宋_GB2312" w:eastAsia="仿宋_GB2312" w:cs="仿宋_GB2312"/>
                <w:color w:val="auto"/>
                <w:sz w:val="18"/>
                <w:szCs w:val="18"/>
                <w:highlight w:val="none"/>
              </w:rPr>
              <w:t>5</w:t>
            </w:r>
            <w:r>
              <w:rPr>
                <w:rFonts w:hint="eastAsia" w:ascii="仿宋_GB2312" w:hAnsi="仿宋_GB2312" w:eastAsia="仿宋_GB2312" w:cs="仿宋_GB2312"/>
                <w:color w:val="auto"/>
                <w:sz w:val="18"/>
                <w:szCs w:val="18"/>
                <w:highlight w:val="none"/>
              </w:rPr>
              <w:t>个工作日内</w:t>
            </w:r>
          </w:p>
        </w:tc>
        <w:tc>
          <w:tcPr>
            <w:tcW w:w="997"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区民政局</w:t>
            </w:r>
          </w:p>
        </w:tc>
        <w:tc>
          <w:tcPr>
            <w:tcW w:w="1620" w:type="dxa"/>
            <w:noWrap w:val="0"/>
            <w:vAlign w:val="center"/>
          </w:tcPr>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ascii="仿宋_GB2312" w:hAnsi="仿宋_GB2312" w:eastAsia="仿宋_GB2312" w:cs="仿宋_GB2312"/>
                <w:color w:val="auto"/>
                <w:sz w:val="18"/>
                <w:szCs w:val="18"/>
                <w:highlight w:val="none"/>
              </w:rPr>
              <w:t xml:space="preserve">                                                                                                                                                                                                                   </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□政府服务中心</w:t>
            </w:r>
            <w:r>
              <w:rPr>
                <w:rFonts w:ascii="仿宋_GB2312" w:hAnsi="仿宋_GB2312" w:eastAsia="仿宋_GB2312" w:cs="仿宋_GB2312"/>
                <w:color w:val="auto"/>
                <w:sz w:val="18"/>
                <w:szCs w:val="18"/>
                <w:highlight w:val="none"/>
              </w:rPr>
              <w:t xml:space="preserve">  </w:t>
            </w:r>
          </w:p>
        </w:tc>
        <w:tc>
          <w:tcPr>
            <w:tcW w:w="54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51"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noWrap w:val="0"/>
            <w:vAlign w:val="center"/>
          </w:tcPr>
          <w:p>
            <w:pPr>
              <w:jc w:val="center"/>
              <w:rPr>
                <w:rFonts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bl>
    <w:p>
      <w:pPr>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val="0"/>
          <w:color w:val="auto"/>
          <w:sz w:val="36"/>
          <w:szCs w:val="36"/>
          <w:highlight w:val="none"/>
          <w:lang w:val="en-US" w:eastAsia="zh-CN"/>
        </w:rPr>
      </w:pPr>
      <w:r>
        <w:rPr>
          <w:rFonts w:hint="eastAsia" w:ascii="黑体" w:hAnsi="黑体" w:eastAsia="黑体" w:cs="黑体"/>
          <w:b w:val="0"/>
          <w:bCs w:val="0"/>
          <w:color w:val="auto"/>
          <w:sz w:val="36"/>
          <w:szCs w:val="36"/>
          <w:highlight w:val="none"/>
          <w:lang w:val="en-US" w:eastAsia="zh-CN"/>
        </w:rPr>
        <w:t>双台子区公共法律服务领域基层政务公开标准目录</w:t>
      </w:r>
      <w:bookmarkEnd w:id="3"/>
    </w:p>
    <w:tbl>
      <w:tblPr>
        <w:tblStyle w:val="7"/>
        <w:tblW w:w="15015" w:type="dxa"/>
        <w:tblInd w:w="0" w:type="dxa"/>
        <w:tblLayout w:type="fixed"/>
        <w:tblCellMar>
          <w:top w:w="15" w:type="dxa"/>
          <w:left w:w="15" w:type="dxa"/>
          <w:bottom w:w="15" w:type="dxa"/>
          <w:right w:w="15" w:type="dxa"/>
        </w:tblCellMar>
      </w:tblPr>
      <w:tblGrid>
        <w:gridCol w:w="441"/>
        <w:gridCol w:w="566"/>
        <w:gridCol w:w="1374"/>
        <w:gridCol w:w="2154"/>
        <w:gridCol w:w="2211"/>
        <w:gridCol w:w="964"/>
        <w:gridCol w:w="1020"/>
        <w:gridCol w:w="2370"/>
        <w:gridCol w:w="568"/>
        <w:gridCol w:w="669"/>
        <w:gridCol w:w="669"/>
        <w:gridCol w:w="669"/>
        <w:gridCol w:w="669"/>
        <w:gridCol w:w="671"/>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序号</w:t>
            </w:r>
          </w:p>
        </w:tc>
        <w:tc>
          <w:tcPr>
            <w:tcW w:w="19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公开事项</w:t>
            </w:r>
          </w:p>
        </w:tc>
        <w:tc>
          <w:tcPr>
            <w:tcW w:w="21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公开内容（要素）</w:t>
            </w:r>
          </w:p>
        </w:tc>
        <w:tc>
          <w:tcPr>
            <w:tcW w:w="22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公开依据</w:t>
            </w:r>
          </w:p>
        </w:tc>
        <w:tc>
          <w:tcPr>
            <w:tcW w:w="9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公开主体</w:t>
            </w:r>
          </w:p>
        </w:tc>
        <w:tc>
          <w:tcPr>
            <w:tcW w:w="23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公开渠道和载体</w:t>
            </w:r>
          </w:p>
        </w:tc>
        <w:tc>
          <w:tcPr>
            <w:tcW w:w="12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公开对象</w:t>
            </w:r>
          </w:p>
        </w:tc>
        <w:tc>
          <w:tcPr>
            <w:tcW w:w="133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公开方式</w:t>
            </w:r>
          </w:p>
        </w:tc>
        <w:tc>
          <w:tcPr>
            <w:tcW w:w="13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公开层级</w:t>
            </w:r>
          </w:p>
        </w:tc>
      </w:tr>
      <w:tr>
        <w:tblPrEx>
          <w:tblCellMar>
            <w:top w:w="15" w:type="dxa"/>
            <w:left w:w="15" w:type="dxa"/>
            <w:bottom w:w="15" w:type="dxa"/>
            <w:right w:w="15" w:type="dxa"/>
          </w:tblCellMar>
        </w:tblPrEx>
        <w:trPr>
          <w:trHeight w:val="485"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56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一级事项</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二级事项</w:t>
            </w:r>
          </w:p>
        </w:tc>
        <w:tc>
          <w:tcPr>
            <w:tcW w:w="2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22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23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全社会</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特定</w:t>
            </w:r>
          </w:p>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群体</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主动</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依申请</w:t>
            </w:r>
          </w:p>
        </w:tc>
        <w:tc>
          <w:tcPr>
            <w:tcW w:w="6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县级</w:t>
            </w:r>
          </w:p>
        </w:tc>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乡级</w:t>
            </w:r>
          </w:p>
        </w:tc>
      </w:tr>
      <w:tr>
        <w:tblPrEx>
          <w:tblCellMar>
            <w:top w:w="15" w:type="dxa"/>
            <w:left w:w="15" w:type="dxa"/>
            <w:bottom w:w="15" w:type="dxa"/>
            <w:right w:w="15" w:type="dxa"/>
          </w:tblCellMar>
        </w:tblPrEx>
        <w:trPr>
          <w:trHeight w:val="57"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eastAsia="zh-CN" w:bidi="ar"/>
              </w:rPr>
            </w:pPr>
            <w:r>
              <w:rPr>
                <w:rFonts w:hint="eastAsia" w:ascii="仿宋_GB2312" w:hAnsi="仿宋_GB2312" w:eastAsia="仿宋_GB2312" w:cs="仿宋_GB2312"/>
                <w:color w:val="auto"/>
                <w:kern w:val="0"/>
                <w:sz w:val="18"/>
                <w:szCs w:val="18"/>
                <w:highlight w:val="none"/>
                <w:lang w:val="en-US" w:eastAsia="zh-CN" w:bidi="ar"/>
              </w:rPr>
              <w:t>1</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律师</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对没有取得律师执业证书以律师名义从事法律业务行为的处罚</w:t>
            </w:r>
          </w:p>
        </w:tc>
        <w:tc>
          <w:tcPr>
            <w:tcW w:w="2154"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行政处罚决定或行政处罚决定书</w:t>
            </w:r>
          </w:p>
        </w:tc>
        <w:tc>
          <w:tcPr>
            <w:tcW w:w="22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《中华人民共和国律师法》</w:t>
            </w:r>
          </w:p>
        </w:tc>
        <w:tc>
          <w:tcPr>
            <w:tcW w:w="9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自制作或获取该信息之日起</w:t>
            </w:r>
            <w:r>
              <w:rPr>
                <w:rFonts w:hint="eastAsia" w:ascii="仿宋_GB2312" w:hAnsi="仿宋_GB2312" w:eastAsia="仿宋_GB2312" w:cs="仿宋_GB2312"/>
                <w:color w:val="auto"/>
                <w:kern w:val="0"/>
                <w:sz w:val="18"/>
                <w:szCs w:val="18"/>
                <w:highlight w:val="none"/>
                <w:lang w:val="en-US" w:eastAsia="zh-CN" w:bidi="ar"/>
              </w:rPr>
              <w:t>7</w:t>
            </w:r>
            <w:r>
              <w:rPr>
                <w:rFonts w:hint="eastAsia" w:ascii="仿宋_GB2312" w:hAnsi="仿宋_GB2312" w:eastAsia="仿宋_GB2312" w:cs="仿宋_GB2312"/>
                <w:color w:val="auto"/>
                <w:kern w:val="0"/>
                <w:sz w:val="18"/>
                <w:szCs w:val="18"/>
                <w:highlight w:val="none"/>
                <w:lang w:bidi="ar"/>
              </w:rPr>
              <w:t>个工作日内公开</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司法行政部门</w:t>
            </w:r>
          </w:p>
        </w:tc>
        <w:tc>
          <w:tcPr>
            <w:tcW w:w="237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■政府网站</w:t>
            </w:r>
            <w:r>
              <w:rPr>
                <w:rFonts w:hint="eastAsia" w:ascii="仿宋_GB2312" w:hAnsi="仿宋_GB2312" w:eastAsia="仿宋_GB2312" w:cs="仿宋_GB2312"/>
                <w:color w:val="auto"/>
                <w:sz w:val="18"/>
                <w:szCs w:val="18"/>
                <w:highlight w:val="none"/>
                <w:lang w:val="en-US" w:eastAsia="zh-CN" w:bidi="ar"/>
              </w:rPr>
              <w:t xml:space="preserve"> </w:t>
            </w:r>
            <w:r>
              <w:rPr>
                <w:rFonts w:hint="eastAsia" w:ascii="仿宋_GB2312" w:hAnsi="仿宋_GB2312" w:eastAsia="仿宋_GB2312" w:cs="仿宋_GB2312"/>
                <w:color w:val="auto"/>
                <w:sz w:val="18"/>
                <w:szCs w:val="18"/>
                <w:highlight w:val="none"/>
                <w:lang w:bidi="ar"/>
              </w:rPr>
              <w:t>■两微一端</w:t>
            </w:r>
          </w:p>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■纸质媒体</w:t>
            </w:r>
          </w:p>
          <w:p>
            <w:pPr>
              <w:widowControl/>
              <w:jc w:val="left"/>
              <w:textAlignment w:val="center"/>
              <w:rPr>
                <w:rFonts w:hint="eastAsia" w:ascii="仿宋_GB2312" w:hAnsi="仿宋_GB2312" w:eastAsia="仿宋_GB2312" w:cs="仿宋_GB2312"/>
                <w:color w:val="auto"/>
                <w:sz w:val="18"/>
                <w:szCs w:val="18"/>
                <w:highlight w:val="none"/>
                <w:u w:val="single"/>
                <w:lang w:bidi="ar"/>
              </w:rPr>
            </w:pPr>
            <w:r>
              <w:rPr>
                <w:rFonts w:hint="eastAsia" w:ascii="仿宋_GB2312" w:hAnsi="仿宋_GB2312" w:eastAsia="仿宋_GB2312" w:cs="仿宋_GB2312"/>
                <w:color w:val="auto"/>
                <w:sz w:val="18"/>
                <w:szCs w:val="18"/>
                <w:highlight w:val="none"/>
                <w:lang w:bidi="ar"/>
              </w:rPr>
              <w:t>■其他</w:t>
            </w:r>
            <w:r>
              <w:rPr>
                <w:rFonts w:hint="eastAsia" w:ascii="仿宋_GB2312" w:hAnsi="仿宋_GB2312" w:eastAsia="仿宋_GB2312" w:cs="仿宋_GB2312"/>
                <w:color w:val="auto"/>
                <w:sz w:val="18"/>
                <w:szCs w:val="18"/>
                <w:highlight w:val="none"/>
                <w:u w:val="single"/>
                <w:lang w:bidi="ar"/>
              </w:rPr>
              <w:t>法律服务网</w:t>
            </w:r>
          </w:p>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注：有关公开信息可推送或归集至本省级法律服务网。</w:t>
            </w:r>
          </w:p>
        </w:tc>
        <w:tc>
          <w:tcPr>
            <w:tcW w:w="5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p>
        </w:tc>
      </w:tr>
      <w:tr>
        <w:tblPrEx>
          <w:tblCellMar>
            <w:top w:w="15" w:type="dxa"/>
            <w:left w:w="15" w:type="dxa"/>
            <w:bottom w:w="15" w:type="dxa"/>
            <w:right w:w="15" w:type="dxa"/>
          </w:tblCellMar>
        </w:tblPrEx>
        <w:trPr>
          <w:trHeight w:val="737"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val="en-US" w:eastAsia="zh-CN" w:bidi="ar"/>
              </w:rPr>
            </w:pPr>
            <w:r>
              <w:rPr>
                <w:rFonts w:hint="eastAsia" w:ascii="仿宋_GB2312" w:hAnsi="仿宋_GB2312" w:eastAsia="仿宋_GB2312" w:cs="仿宋_GB2312"/>
                <w:color w:val="auto"/>
                <w:kern w:val="0"/>
                <w:sz w:val="18"/>
                <w:szCs w:val="18"/>
                <w:highlight w:val="none"/>
                <w:lang w:val="en-US" w:eastAsia="zh-CN" w:bidi="ar"/>
              </w:rPr>
              <w:t>2</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基层法律</w:t>
            </w:r>
          </w:p>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服务</w:t>
            </w: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both"/>
              <w:rPr>
                <w:rFonts w:hint="eastAsia" w:ascii="仿宋_GB2312" w:hAnsi="仿宋_GB2312" w:eastAsia="仿宋_GB2312" w:cs="仿宋_GB2312"/>
                <w:color w:val="auto"/>
                <w:sz w:val="18"/>
                <w:szCs w:val="18"/>
                <w:highlight w:val="none"/>
                <w:lang w:eastAsia="zh-CN"/>
              </w:rPr>
            </w:pPr>
          </w:p>
          <w:p>
            <w:pPr>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基层法律服务</w:t>
            </w:r>
          </w:p>
        </w:tc>
        <w:tc>
          <w:tcPr>
            <w:tcW w:w="137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基层法律服务工作者执业核准许可</w:t>
            </w:r>
          </w:p>
        </w:tc>
        <w:tc>
          <w:tcPr>
            <w:tcW w:w="215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不予受理通知书</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《基层法律服务工作者管理办法》</w:t>
            </w: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自制作或获取该信息之日起</w:t>
            </w:r>
            <w:r>
              <w:rPr>
                <w:rFonts w:hint="eastAsia" w:ascii="仿宋_GB2312" w:hAnsi="仿宋_GB2312" w:eastAsia="仿宋_GB2312" w:cs="仿宋_GB2312"/>
                <w:color w:val="auto"/>
                <w:kern w:val="0"/>
                <w:sz w:val="18"/>
                <w:szCs w:val="18"/>
                <w:highlight w:val="none"/>
                <w:lang w:val="en-US" w:eastAsia="zh-CN" w:bidi="ar"/>
              </w:rPr>
              <w:t>7</w:t>
            </w:r>
            <w:r>
              <w:rPr>
                <w:rFonts w:hint="eastAsia" w:ascii="仿宋_GB2312" w:hAnsi="仿宋_GB2312" w:eastAsia="仿宋_GB2312" w:cs="仿宋_GB2312"/>
                <w:color w:val="auto"/>
                <w:kern w:val="0"/>
                <w:sz w:val="18"/>
                <w:szCs w:val="18"/>
                <w:highlight w:val="none"/>
                <w:lang w:bidi="ar"/>
              </w:rPr>
              <w:t>个工作日内公开</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司法行政部门</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 xml:space="preserve">■精准推送    </w:t>
            </w:r>
          </w:p>
        </w:tc>
        <w:tc>
          <w:tcPr>
            <w:tcW w:w="5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申请人</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r>
      <w:tr>
        <w:tblPrEx>
          <w:tblCellMar>
            <w:top w:w="15" w:type="dxa"/>
            <w:left w:w="15" w:type="dxa"/>
            <w:bottom w:w="15" w:type="dxa"/>
            <w:right w:w="15" w:type="dxa"/>
          </w:tblCellMar>
        </w:tblPrEx>
        <w:trPr>
          <w:trHeight w:val="1077"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仿宋_GB2312" w:hAnsi="仿宋_GB2312" w:eastAsia="仿宋_GB2312" w:cs="仿宋_GB2312"/>
                <w:color w:val="auto"/>
                <w:kern w:val="0"/>
                <w:sz w:val="18"/>
                <w:szCs w:val="18"/>
                <w:highlight w:val="none"/>
                <w:lang w:val="en-US" w:eastAsia="zh-CN" w:bidi="ar"/>
              </w:rPr>
            </w:pPr>
            <w:r>
              <w:rPr>
                <w:rFonts w:hint="eastAsia" w:ascii="仿宋_GB2312" w:hAnsi="仿宋_GB2312" w:eastAsia="仿宋_GB2312" w:cs="仿宋_GB2312"/>
                <w:color w:val="auto"/>
                <w:kern w:val="0"/>
                <w:sz w:val="18"/>
                <w:szCs w:val="18"/>
                <w:highlight w:val="none"/>
                <w:lang w:val="en-US" w:eastAsia="zh-CN" w:bidi="ar"/>
              </w:rPr>
              <w:t>3</w:t>
            </w: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p>
        </w:tc>
        <w:tc>
          <w:tcPr>
            <w:tcW w:w="137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对基层法律服务所、基层法律服务工作者违法违规行为的处罚</w:t>
            </w:r>
          </w:p>
        </w:tc>
        <w:tc>
          <w:tcPr>
            <w:tcW w:w="215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行政处罚决定或行政处罚决定书</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《基层法律服务所管理办法》《基层法律服务工作者管理办法》</w:t>
            </w: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自制作或获取该信息之日起</w:t>
            </w:r>
            <w:r>
              <w:rPr>
                <w:rFonts w:hint="eastAsia" w:ascii="仿宋_GB2312" w:hAnsi="仿宋_GB2312" w:eastAsia="仿宋_GB2312" w:cs="仿宋_GB2312"/>
                <w:color w:val="auto"/>
                <w:kern w:val="0"/>
                <w:sz w:val="18"/>
                <w:szCs w:val="18"/>
                <w:highlight w:val="none"/>
                <w:lang w:val="en-US" w:eastAsia="zh-CN" w:bidi="ar"/>
              </w:rPr>
              <w:t>7</w:t>
            </w:r>
            <w:r>
              <w:rPr>
                <w:rFonts w:hint="eastAsia" w:ascii="仿宋_GB2312" w:hAnsi="仿宋_GB2312" w:eastAsia="仿宋_GB2312" w:cs="仿宋_GB2312"/>
                <w:color w:val="auto"/>
                <w:kern w:val="0"/>
                <w:sz w:val="18"/>
                <w:szCs w:val="18"/>
                <w:highlight w:val="none"/>
                <w:lang w:bidi="ar"/>
              </w:rPr>
              <w:t>个工作日内公开</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司法行政部门</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■政府网站</w:t>
            </w:r>
            <w:r>
              <w:rPr>
                <w:rFonts w:hint="eastAsia" w:ascii="仿宋_GB2312" w:hAnsi="仿宋_GB2312" w:eastAsia="仿宋_GB2312" w:cs="仿宋_GB2312"/>
                <w:color w:val="auto"/>
                <w:sz w:val="18"/>
                <w:szCs w:val="18"/>
                <w:highlight w:val="none"/>
                <w:lang w:val="en-US" w:eastAsia="zh-CN" w:bidi="ar"/>
              </w:rPr>
              <w:t xml:space="preserve"> </w:t>
            </w:r>
            <w:r>
              <w:rPr>
                <w:rFonts w:hint="eastAsia" w:ascii="仿宋_GB2312" w:hAnsi="仿宋_GB2312" w:eastAsia="仿宋_GB2312" w:cs="仿宋_GB2312"/>
                <w:color w:val="auto"/>
                <w:sz w:val="18"/>
                <w:szCs w:val="18"/>
                <w:highlight w:val="none"/>
                <w:lang w:bidi="ar"/>
              </w:rPr>
              <w:t xml:space="preserve">■两微一端 </w:t>
            </w:r>
          </w:p>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 xml:space="preserve">■纸质媒体         </w:t>
            </w:r>
          </w:p>
          <w:p>
            <w:pPr>
              <w:widowControl/>
              <w:jc w:val="left"/>
              <w:textAlignment w:val="center"/>
              <w:rPr>
                <w:rFonts w:hint="eastAsia" w:ascii="仿宋_GB2312" w:hAnsi="仿宋_GB2312" w:eastAsia="仿宋_GB2312" w:cs="仿宋_GB2312"/>
                <w:color w:val="auto"/>
                <w:sz w:val="18"/>
                <w:szCs w:val="18"/>
                <w:highlight w:val="none"/>
                <w:u w:val="single"/>
                <w:lang w:bidi="ar"/>
              </w:rPr>
            </w:pPr>
            <w:r>
              <w:rPr>
                <w:rFonts w:hint="eastAsia" w:ascii="仿宋_GB2312" w:hAnsi="仿宋_GB2312" w:eastAsia="仿宋_GB2312" w:cs="仿宋_GB2312"/>
                <w:color w:val="auto"/>
                <w:sz w:val="18"/>
                <w:szCs w:val="18"/>
                <w:highlight w:val="none"/>
                <w:lang w:bidi="ar"/>
              </w:rPr>
              <w:t>■其他</w:t>
            </w:r>
            <w:r>
              <w:rPr>
                <w:rFonts w:hint="eastAsia" w:ascii="仿宋_GB2312" w:hAnsi="仿宋_GB2312" w:eastAsia="仿宋_GB2312" w:cs="仿宋_GB2312"/>
                <w:color w:val="auto"/>
                <w:sz w:val="18"/>
                <w:szCs w:val="18"/>
                <w:highlight w:val="none"/>
                <w:u w:val="single"/>
                <w:lang w:bidi="ar"/>
              </w:rPr>
              <w:t>法律服务网</w:t>
            </w:r>
          </w:p>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注：有关公开信息可推送或归集至本省级法律服务网。</w:t>
            </w:r>
          </w:p>
        </w:tc>
        <w:tc>
          <w:tcPr>
            <w:tcW w:w="5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r>
      <w:tr>
        <w:tblPrEx>
          <w:tblCellMar>
            <w:top w:w="15" w:type="dxa"/>
            <w:left w:w="15" w:type="dxa"/>
            <w:bottom w:w="15" w:type="dxa"/>
            <w:right w:w="15" w:type="dxa"/>
          </w:tblCellMar>
        </w:tblPrEx>
        <w:trPr>
          <w:trHeight w:val="96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val="en-US" w:eastAsia="zh-CN" w:bidi="ar"/>
              </w:rPr>
            </w:pPr>
            <w:r>
              <w:rPr>
                <w:rFonts w:hint="eastAsia" w:ascii="仿宋_GB2312" w:hAnsi="仿宋_GB2312" w:eastAsia="仿宋_GB2312" w:cs="仿宋_GB2312"/>
                <w:color w:val="auto"/>
                <w:kern w:val="0"/>
                <w:sz w:val="18"/>
                <w:szCs w:val="18"/>
                <w:highlight w:val="none"/>
                <w:lang w:val="en-US" w:eastAsia="zh-CN" w:bidi="ar"/>
              </w:rPr>
              <w:t>4</w:t>
            </w: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p>
        </w:tc>
        <w:tc>
          <w:tcPr>
            <w:tcW w:w="137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对基层法律服务所、基层法律服务工作者进行表彰奖励</w:t>
            </w:r>
          </w:p>
        </w:tc>
        <w:tc>
          <w:tcPr>
            <w:tcW w:w="215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4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1.评选表彰通知；</w:t>
            </w:r>
          </w:p>
          <w:p>
            <w:pPr>
              <w:tabs>
                <w:tab w:val="center" w:pos="4153"/>
                <w:tab w:val="right" w:pos="8306"/>
              </w:tabs>
              <w:snapToGrid w:val="0"/>
              <w:spacing w:line="240" w:lineRule="auto"/>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2.先进集体和个人申报表</w:t>
            </w:r>
            <w:r>
              <w:rPr>
                <w:rFonts w:hint="eastAsia" w:ascii="仿宋_GB2312" w:hAnsi="仿宋_GB2312" w:eastAsia="仿宋_GB2312" w:cs="仿宋_GB2312"/>
                <w:color w:val="auto"/>
                <w:sz w:val="18"/>
                <w:szCs w:val="18"/>
                <w:highlight w:val="none"/>
                <w:lang w:eastAsia="zh-CN"/>
              </w:rPr>
              <w:t>；</w:t>
            </w:r>
          </w:p>
          <w:p>
            <w:pPr>
              <w:tabs>
                <w:tab w:val="center" w:pos="4153"/>
                <w:tab w:val="right" w:pos="8306"/>
              </w:tabs>
              <w:snapToGrid w:val="0"/>
              <w:spacing w:line="24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3.拟表彰的先进集体先进个人名单；</w:t>
            </w:r>
          </w:p>
          <w:p>
            <w:pPr>
              <w:tabs>
                <w:tab w:val="center" w:pos="4153"/>
                <w:tab w:val="right" w:pos="8306"/>
              </w:tabs>
              <w:snapToGrid w:val="0"/>
              <w:spacing w:line="24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4.表彰决定</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《基层法律服务所管理办法》《基层法律服务工作者管理办法》</w:t>
            </w: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自制作或获取该信息之日起20个工作日内公开</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司法行政部门</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■政府网站</w:t>
            </w:r>
            <w:r>
              <w:rPr>
                <w:rFonts w:hint="eastAsia" w:ascii="仿宋_GB2312" w:hAnsi="仿宋_GB2312" w:eastAsia="仿宋_GB2312" w:cs="仿宋_GB2312"/>
                <w:color w:val="auto"/>
                <w:sz w:val="18"/>
                <w:szCs w:val="18"/>
                <w:highlight w:val="none"/>
                <w:lang w:val="en-US" w:eastAsia="zh-CN" w:bidi="ar"/>
              </w:rPr>
              <w:t xml:space="preserve"> </w:t>
            </w:r>
            <w:r>
              <w:rPr>
                <w:rFonts w:hint="eastAsia" w:ascii="仿宋_GB2312" w:hAnsi="仿宋_GB2312" w:eastAsia="仿宋_GB2312" w:cs="仿宋_GB2312"/>
                <w:color w:val="auto"/>
                <w:sz w:val="18"/>
                <w:szCs w:val="18"/>
                <w:highlight w:val="none"/>
                <w:lang w:bidi="ar"/>
              </w:rPr>
              <w:t>■两微一端</w:t>
            </w:r>
          </w:p>
          <w:p>
            <w:pPr>
              <w:widowControl/>
              <w:jc w:val="left"/>
              <w:textAlignment w:val="center"/>
              <w:rPr>
                <w:rFonts w:hint="eastAsia" w:ascii="仿宋_GB2312" w:hAnsi="仿宋_GB2312" w:eastAsia="仿宋_GB2312" w:cs="仿宋_GB2312"/>
                <w:color w:val="auto"/>
                <w:sz w:val="18"/>
                <w:szCs w:val="18"/>
                <w:highlight w:val="none"/>
                <w:u w:val="single"/>
                <w:lang w:bidi="ar"/>
              </w:rPr>
            </w:pPr>
            <w:r>
              <w:rPr>
                <w:rFonts w:hint="eastAsia" w:ascii="仿宋_GB2312" w:hAnsi="仿宋_GB2312" w:eastAsia="仿宋_GB2312" w:cs="仿宋_GB2312"/>
                <w:color w:val="auto"/>
                <w:sz w:val="18"/>
                <w:szCs w:val="18"/>
                <w:highlight w:val="none"/>
                <w:lang w:bidi="ar"/>
              </w:rPr>
              <w:t>■广播电视 ■纸质媒体          ■社区/企事业单位/村公示栏（电子屏）                            ■其他</w:t>
            </w:r>
            <w:r>
              <w:rPr>
                <w:rFonts w:hint="eastAsia" w:ascii="仿宋_GB2312" w:hAnsi="仿宋_GB2312" w:eastAsia="仿宋_GB2312" w:cs="仿宋_GB2312"/>
                <w:color w:val="auto"/>
                <w:sz w:val="18"/>
                <w:szCs w:val="18"/>
                <w:highlight w:val="none"/>
                <w:u w:val="single"/>
                <w:lang w:bidi="ar"/>
              </w:rPr>
              <w:t>法律服务网</w:t>
            </w:r>
          </w:p>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注：有关公开信息可推送或归集至本省级法律服务网。</w:t>
            </w:r>
          </w:p>
        </w:tc>
        <w:tc>
          <w:tcPr>
            <w:tcW w:w="5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1</w:t>
            </w:r>
            <w:r>
              <w:rPr>
                <w:rFonts w:hint="eastAsia" w:ascii="仿宋_GB2312" w:hAnsi="仿宋_GB2312" w:eastAsia="仿宋_GB2312" w:cs="仿宋_GB2312"/>
                <w:color w:val="auto"/>
                <w:kern w:val="0"/>
                <w:sz w:val="18"/>
                <w:szCs w:val="18"/>
                <w:highlight w:val="none"/>
                <w:lang w:val="en-US" w:eastAsia="zh-CN" w:bidi="ar"/>
              </w:rPr>
              <w:t>4</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人民调解</w:t>
            </w:r>
          </w:p>
        </w:tc>
        <w:tc>
          <w:tcPr>
            <w:tcW w:w="137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对有突出贡献的人民调解委员会和人民调解员按照国家规定给予表彰奖励</w:t>
            </w:r>
          </w:p>
        </w:tc>
        <w:tc>
          <w:tcPr>
            <w:tcW w:w="215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24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1.评选表彰通知；</w:t>
            </w:r>
          </w:p>
          <w:p>
            <w:pPr>
              <w:tabs>
                <w:tab w:val="center" w:pos="4153"/>
                <w:tab w:val="right" w:pos="8306"/>
              </w:tabs>
              <w:snapToGrid w:val="0"/>
              <w:spacing w:line="240" w:lineRule="auto"/>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2.先进集体和个人申报表</w:t>
            </w:r>
            <w:r>
              <w:rPr>
                <w:rFonts w:hint="eastAsia" w:ascii="仿宋_GB2312" w:hAnsi="仿宋_GB2312" w:eastAsia="仿宋_GB2312" w:cs="仿宋_GB2312"/>
                <w:color w:val="auto"/>
                <w:sz w:val="18"/>
                <w:szCs w:val="18"/>
                <w:highlight w:val="none"/>
                <w:lang w:eastAsia="zh-CN"/>
              </w:rPr>
              <w:t>；</w:t>
            </w:r>
          </w:p>
          <w:p>
            <w:pPr>
              <w:tabs>
                <w:tab w:val="center" w:pos="4153"/>
                <w:tab w:val="right" w:pos="8306"/>
              </w:tabs>
              <w:snapToGrid w:val="0"/>
              <w:spacing w:line="24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3.拟表彰的先进集体先进个人名单；</w:t>
            </w:r>
          </w:p>
          <w:p>
            <w:pPr>
              <w:tabs>
                <w:tab w:val="center" w:pos="4153"/>
                <w:tab w:val="right" w:pos="8306"/>
              </w:tabs>
              <w:snapToGrid w:val="0"/>
              <w:spacing w:line="24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4.表彰决定</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《中华人民共和国人民调解法》</w:t>
            </w: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自制作或获取该信息之日起20个工作日内公开</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司法行政部门</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auto"/>
                <w:sz w:val="18"/>
                <w:szCs w:val="18"/>
                <w:highlight w:val="none"/>
                <w:u w:val="single"/>
                <w:lang w:bidi="ar"/>
              </w:rPr>
            </w:pPr>
            <w:r>
              <w:rPr>
                <w:rFonts w:hint="eastAsia" w:ascii="仿宋_GB2312" w:hAnsi="仿宋_GB2312" w:eastAsia="仿宋_GB2312" w:cs="仿宋_GB2312"/>
                <w:color w:val="auto"/>
                <w:sz w:val="18"/>
                <w:szCs w:val="18"/>
                <w:highlight w:val="none"/>
                <w:lang w:bidi="ar"/>
              </w:rPr>
              <w:t>■政府网站  ■两微一端     ■广播电视  ■纸质媒体         ■社区/企事业单位/村公示栏（电子屏）                            ■其他</w:t>
            </w:r>
            <w:r>
              <w:rPr>
                <w:rFonts w:hint="eastAsia" w:ascii="仿宋_GB2312" w:hAnsi="仿宋_GB2312" w:eastAsia="仿宋_GB2312" w:cs="仿宋_GB2312"/>
                <w:color w:val="auto"/>
                <w:sz w:val="18"/>
                <w:szCs w:val="18"/>
                <w:highlight w:val="none"/>
                <w:u w:val="single"/>
                <w:lang w:bidi="ar"/>
              </w:rPr>
              <w:t>法律服务网</w:t>
            </w:r>
          </w:p>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注：有关公开信息可推送或归集至本省级法律服务网。</w:t>
            </w:r>
          </w:p>
        </w:tc>
        <w:tc>
          <w:tcPr>
            <w:tcW w:w="5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法律查询</w:t>
            </w:r>
          </w:p>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服务</w:t>
            </w: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both"/>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rPr>
            </w:pPr>
          </w:p>
          <w:p>
            <w:pPr>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法律咨询服务</w:t>
            </w:r>
          </w:p>
        </w:tc>
        <w:tc>
          <w:tcPr>
            <w:tcW w:w="137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法律法规和案例检索服务</w:t>
            </w:r>
          </w:p>
        </w:tc>
        <w:tc>
          <w:tcPr>
            <w:tcW w:w="215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1.法律法规库网址或链接；</w:t>
            </w:r>
          </w:p>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2.典型案例库网址或链接</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kern w:val="0"/>
                <w:sz w:val="18"/>
                <w:szCs w:val="18"/>
                <w:highlight w:val="none"/>
                <w:lang w:bidi="ar"/>
              </w:rPr>
              <w:t>《中共中央、国务院转发&lt;中央宣传部、司法部关于在公民中开展法治宣传教育的第七个五年规划（2016－2020年）&gt;》</w:t>
            </w:r>
            <w:r>
              <w:rPr>
                <w:rFonts w:hint="eastAsia" w:ascii="仿宋_GB2312" w:hAnsi="仿宋_GB2312" w:eastAsia="仿宋_GB2312" w:cs="仿宋_GB2312"/>
                <w:color w:val="auto"/>
                <w:kern w:val="0"/>
                <w:sz w:val="18"/>
                <w:szCs w:val="18"/>
                <w:highlight w:val="none"/>
                <w:lang w:eastAsia="zh-CN" w:bidi="ar"/>
              </w:rPr>
              <w:t>《中共辽宁省委宣传部辽宁省司法厅关于开展法治宣传教育的第七个五年规划（</w:t>
            </w:r>
            <w:r>
              <w:rPr>
                <w:rFonts w:hint="eastAsia" w:ascii="仿宋_GB2312" w:hAnsi="仿宋_GB2312" w:eastAsia="仿宋_GB2312" w:cs="仿宋_GB2312"/>
                <w:color w:val="auto"/>
                <w:kern w:val="0"/>
                <w:sz w:val="18"/>
                <w:szCs w:val="18"/>
                <w:highlight w:val="none"/>
                <w:lang w:val="en-US" w:eastAsia="zh-CN" w:bidi="ar"/>
              </w:rPr>
              <w:t>2016-2020</w:t>
            </w:r>
            <w:r>
              <w:rPr>
                <w:rFonts w:hint="eastAsia" w:ascii="仿宋_GB2312" w:hAnsi="仿宋_GB2312" w:eastAsia="仿宋_GB2312" w:cs="仿宋_GB2312"/>
                <w:color w:val="auto"/>
                <w:kern w:val="0"/>
                <w:sz w:val="18"/>
                <w:szCs w:val="18"/>
                <w:highlight w:val="none"/>
                <w:lang w:eastAsia="zh-CN" w:bidi="ar"/>
              </w:rPr>
              <w:t>）》</w:t>
            </w: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自制作或获取该信息之日起20个工作日内公开</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司法行政部门</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auto"/>
                <w:sz w:val="18"/>
                <w:szCs w:val="18"/>
                <w:highlight w:val="none"/>
                <w:u w:val="single"/>
                <w:lang w:bidi="ar"/>
              </w:rPr>
            </w:pPr>
            <w:r>
              <w:rPr>
                <w:rFonts w:hint="eastAsia" w:ascii="仿宋_GB2312" w:hAnsi="仿宋_GB2312" w:eastAsia="仿宋_GB2312" w:cs="仿宋_GB2312"/>
                <w:color w:val="auto"/>
                <w:sz w:val="18"/>
                <w:szCs w:val="18"/>
                <w:highlight w:val="none"/>
                <w:lang w:bidi="ar"/>
              </w:rPr>
              <w:t xml:space="preserve">■政府网站  ■两微一端    </w:t>
            </w:r>
          </w:p>
        </w:tc>
        <w:tc>
          <w:tcPr>
            <w:tcW w:w="5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r>
      <w:tr>
        <w:tblPrEx>
          <w:tblCellMar>
            <w:top w:w="15" w:type="dxa"/>
            <w:left w:w="15" w:type="dxa"/>
            <w:bottom w:w="15" w:type="dxa"/>
            <w:right w:w="15" w:type="dxa"/>
          </w:tblCellMar>
        </w:tblPrEx>
        <w:trPr>
          <w:trHeight w:val="975"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val="en-US" w:eastAsia="zh-CN" w:bidi="ar"/>
              </w:rPr>
            </w:pPr>
            <w:r>
              <w:rPr>
                <w:rFonts w:hint="eastAsia" w:ascii="仿宋_GB2312" w:hAnsi="仿宋_GB2312" w:eastAsia="仿宋_GB2312" w:cs="仿宋_GB2312"/>
                <w:color w:val="auto"/>
                <w:kern w:val="0"/>
                <w:sz w:val="18"/>
                <w:szCs w:val="18"/>
                <w:highlight w:val="none"/>
                <w:lang w:val="en-US" w:eastAsia="zh-CN" w:bidi="ar"/>
              </w:rPr>
              <w:t>6</w:t>
            </w: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p>
        </w:tc>
        <w:tc>
          <w:tcPr>
            <w:tcW w:w="137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法律服务机构、人员信息查询服务</w:t>
            </w:r>
          </w:p>
        </w:tc>
        <w:tc>
          <w:tcPr>
            <w:tcW w:w="215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基层法律服务、司法鉴定、仲裁、人民调解等法律服务机构和人员有关基本信息、从业信息和信用信息等</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《政府信息公开条例》</w:t>
            </w:r>
          </w:p>
        </w:tc>
        <w:tc>
          <w:tcPr>
            <w:tcW w:w="964" w:type="dxa"/>
            <w:tcBorders>
              <w:top w:val="single" w:color="000000" w:sz="4" w:space="0"/>
              <w:left w:val="single" w:color="000000" w:sz="4" w:space="0"/>
              <w:bottom w:val="single" w:color="000000" w:sz="4" w:space="0"/>
              <w:right w:val="single" w:color="000000" w:sz="4" w:space="0"/>
            </w:tcBorders>
            <w:vAlign w:val="center"/>
          </w:tcPr>
          <w:p>
            <w:pPr>
              <w:ind w:right="-878" w:rightChars="-418"/>
              <w:jc w:val="left"/>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自制作或获取该信息之日起20个工作日内公开</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司法行政部门</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■政府网站  ■两微一端         ■公开查阅点■政务服务中心</w:t>
            </w:r>
          </w:p>
          <w:p>
            <w:pPr>
              <w:widowControl/>
              <w:jc w:val="left"/>
              <w:textAlignment w:val="center"/>
              <w:rPr>
                <w:rFonts w:hint="eastAsia" w:ascii="仿宋_GB2312" w:hAnsi="仿宋_GB2312" w:eastAsia="仿宋_GB2312" w:cs="仿宋_GB2312"/>
                <w:color w:val="auto"/>
                <w:sz w:val="18"/>
                <w:szCs w:val="18"/>
                <w:highlight w:val="none"/>
                <w:u w:val="single"/>
                <w:lang w:bidi="ar"/>
              </w:rPr>
            </w:pPr>
            <w:r>
              <w:rPr>
                <w:rFonts w:hint="eastAsia" w:ascii="仿宋_GB2312" w:hAnsi="仿宋_GB2312" w:eastAsia="仿宋_GB2312" w:cs="仿宋_GB2312"/>
                <w:color w:val="auto"/>
                <w:sz w:val="18"/>
                <w:szCs w:val="18"/>
                <w:highlight w:val="none"/>
                <w:lang w:bidi="ar"/>
              </w:rPr>
              <w:t>■便民服务站                                  ■其他</w:t>
            </w:r>
            <w:r>
              <w:rPr>
                <w:rFonts w:hint="eastAsia" w:ascii="仿宋_GB2312" w:hAnsi="仿宋_GB2312" w:eastAsia="仿宋_GB2312" w:cs="仿宋_GB2312"/>
                <w:color w:val="auto"/>
                <w:sz w:val="18"/>
                <w:szCs w:val="18"/>
                <w:highlight w:val="none"/>
                <w:u w:val="single"/>
                <w:lang w:bidi="ar"/>
              </w:rPr>
              <w:t>法律服务网</w:t>
            </w:r>
          </w:p>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注：有关公开信息可推送或归集至本省级法律服务网。</w:t>
            </w:r>
          </w:p>
        </w:tc>
        <w:tc>
          <w:tcPr>
            <w:tcW w:w="5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r>
      <w:tr>
        <w:tblPrEx>
          <w:tblCellMar>
            <w:top w:w="15" w:type="dxa"/>
            <w:left w:w="15" w:type="dxa"/>
            <w:bottom w:w="15" w:type="dxa"/>
            <w:right w:w="15" w:type="dxa"/>
          </w:tblCellMar>
        </w:tblPrEx>
        <w:trPr>
          <w:trHeight w:val="1587"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eastAsia="zh-CN" w:bidi="ar"/>
              </w:rPr>
            </w:pPr>
            <w:r>
              <w:rPr>
                <w:rFonts w:hint="eastAsia" w:ascii="仿宋_GB2312" w:hAnsi="仿宋_GB2312" w:eastAsia="仿宋_GB2312" w:cs="仿宋_GB2312"/>
                <w:color w:val="auto"/>
                <w:kern w:val="0"/>
                <w:sz w:val="18"/>
                <w:szCs w:val="18"/>
                <w:highlight w:val="none"/>
                <w:lang w:val="en-US" w:eastAsia="zh-CN" w:bidi="ar"/>
              </w:rPr>
              <w:t>7</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法律咨询</w:t>
            </w:r>
          </w:p>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服务</w:t>
            </w:r>
          </w:p>
        </w:tc>
        <w:tc>
          <w:tcPr>
            <w:tcW w:w="137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公共法律服务实体平台、热线平台、网络平台咨询服务</w:t>
            </w:r>
          </w:p>
        </w:tc>
        <w:tc>
          <w:tcPr>
            <w:tcW w:w="215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公共法律服务实体、热线、网络平台法律咨询服务指南</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《政府信息公开条例》</w:t>
            </w: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自制作或获取该信息之日起20个工作日内公开</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司法行政部门、</w:t>
            </w:r>
          </w:p>
          <w:p>
            <w:pPr>
              <w:jc w:val="left"/>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公共法律服务中心、公共法律服务工作站</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auto"/>
                <w:sz w:val="18"/>
                <w:szCs w:val="18"/>
                <w:highlight w:val="none"/>
                <w:u w:val="single"/>
                <w:lang w:bidi="ar"/>
              </w:rPr>
            </w:pPr>
            <w:r>
              <w:rPr>
                <w:rFonts w:hint="eastAsia" w:ascii="仿宋_GB2312" w:hAnsi="仿宋_GB2312" w:eastAsia="仿宋_GB2312" w:cs="仿宋_GB2312"/>
                <w:color w:val="auto"/>
                <w:sz w:val="18"/>
                <w:szCs w:val="18"/>
                <w:highlight w:val="none"/>
                <w:lang w:bidi="ar"/>
              </w:rPr>
              <w:t xml:space="preserve">■政府网站  </w:t>
            </w:r>
            <w:r>
              <w:rPr>
                <w:rFonts w:hint="eastAsia" w:ascii="仿宋_GB2312" w:hAnsi="仿宋_GB2312" w:eastAsia="仿宋_GB2312" w:cs="仿宋_GB2312"/>
                <w:color w:val="auto"/>
                <w:sz w:val="18"/>
                <w:szCs w:val="18"/>
                <w:highlight w:val="none"/>
                <w:lang w:val="en-US" w:eastAsia="zh-CN" w:bidi="ar"/>
              </w:rPr>
              <w:t xml:space="preserve">  </w:t>
            </w:r>
            <w:r>
              <w:rPr>
                <w:rFonts w:hint="eastAsia" w:ascii="仿宋_GB2312" w:hAnsi="仿宋_GB2312" w:eastAsia="仿宋_GB2312" w:cs="仿宋_GB2312"/>
                <w:color w:val="auto"/>
                <w:sz w:val="18"/>
                <w:szCs w:val="18"/>
                <w:highlight w:val="none"/>
                <w:lang w:bidi="ar"/>
              </w:rPr>
              <w:t>■公开查阅点  ■政务服务中心■便民服务站     ■其他</w:t>
            </w:r>
            <w:r>
              <w:rPr>
                <w:rFonts w:hint="eastAsia" w:ascii="仿宋_GB2312" w:hAnsi="仿宋_GB2312" w:eastAsia="仿宋_GB2312" w:cs="仿宋_GB2312"/>
                <w:color w:val="auto"/>
                <w:sz w:val="18"/>
                <w:szCs w:val="18"/>
                <w:highlight w:val="none"/>
                <w:u w:val="single"/>
                <w:lang w:bidi="ar"/>
              </w:rPr>
              <w:t>法律服务网</w:t>
            </w:r>
          </w:p>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注：有关公开信息可推送或归集至本省级法律服务网。</w:t>
            </w:r>
          </w:p>
        </w:tc>
        <w:tc>
          <w:tcPr>
            <w:tcW w:w="5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r>
      <w:tr>
        <w:tblPrEx>
          <w:tblCellMar>
            <w:top w:w="15" w:type="dxa"/>
            <w:left w:w="15" w:type="dxa"/>
            <w:bottom w:w="15" w:type="dxa"/>
            <w:right w:w="15" w:type="dxa"/>
          </w:tblCellMar>
        </w:tblPrEx>
        <w:trPr>
          <w:trHeight w:val="417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仿宋_GB2312" w:hAnsi="仿宋_GB2312" w:eastAsia="仿宋_GB2312" w:cs="仿宋_GB2312"/>
                <w:color w:val="auto"/>
                <w:kern w:val="0"/>
                <w:sz w:val="18"/>
                <w:szCs w:val="18"/>
                <w:highlight w:val="none"/>
                <w:lang w:eastAsia="zh-CN" w:bidi="ar"/>
              </w:rPr>
            </w:pPr>
            <w:r>
              <w:rPr>
                <w:rFonts w:hint="eastAsia" w:ascii="仿宋_GB2312" w:hAnsi="仿宋_GB2312" w:eastAsia="仿宋_GB2312" w:cs="仿宋_GB2312"/>
                <w:color w:val="auto"/>
                <w:kern w:val="0"/>
                <w:sz w:val="18"/>
                <w:szCs w:val="18"/>
                <w:highlight w:val="none"/>
                <w:lang w:val="en-US" w:eastAsia="zh-CN" w:bidi="ar"/>
              </w:rPr>
              <w:t>8</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公共法律服务平台</w:t>
            </w:r>
          </w:p>
        </w:tc>
        <w:tc>
          <w:tcPr>
            <w:tcW w:w="137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公共法律服务实体、热线、网络平台信息</w:t>
            </w:r>
          </w:p>
        </w:tc>
        <w:tc>
          <w:tcPr>
            <w:tcW w:w="215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1.公共法律服务平台建设相关规划；</w:t>
            </w:r>
          </w:p>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2.公共法律服务中心、工作站具体地址；</w:t>
            </w:r>
          </w:p>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3.12348公共法律服务热线号码；</w:t>
            </w:r>
            <w:r>
              <w:rPr>
                <w:rFonts w:hint="eastAsia" w:ascii="仿宋_GB2312" w:hAnsi="仿宋_GB2312" w:eastAsia="仿宋_GB2312" w:cs="仿宋_GB2312"/>
                <w:color w:val="auto"/>
                <w:sz w:val="18"/>
                <w:szCs w:val="18"/>
                <w:highlight w:val="none"/>
                <w:lang w:val="en-US" w:eastAsia="zh-CN"/>
              </w:rPr>
              <w:t>3452148双台子区公共法律服务中心咨询电话；</w:t>
            </w:r>
          </w:p>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4.中国法律服务网和各省级法律服务网网址；</w:t>
            </w:r>
          </w:p>
          <w:p>
            <w:pPr>
              <w:tabs>
                <w:tab w:val="center" w:pos="4153"/>
                <w:tab w:val="right" w:pos="8306"/>
              </w:tabs>
              <w:snapToGrid w:val="0"/>
              <w:spacing w:line="36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5.三大平台提供的公共法律服务事项清单及服务指南</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《政府信息公开条例》</w:t>
            </w: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自制作或获取该信息之日起20个工作日内公开</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司法行政部门、</w:t>
            </w:r>
          </w:p>
          <w:p>
            <w:pPr>
              <w:jc w:val="left"/>
              <w:rPr>
                <w:rFonts w:hint="eastAsia" w:ascii="仿宋_GB2312" w:hAnsi="仿宋_GB2312" w:eastAsia="仿宋_GB2312" w:cs="仿宋_GB2312"/>
                <w:color w:val="auto"/>
                <w:kern w:val="0"/>
                <w:sz w:val="18"/>
                <w:szCs w:val="18"/>
                <w:highlight w:val="none"/>
                <w:lang w:bidi="ar"/>
              </w:rPr>
            </w:pPr>
            <w:r>
              <w:rPr>
                <w:rFonts w:hint="eastAsia" w:ascii="仿宋_GB2312" w:hAnsi="仿宋_GB2312" w:eastAsia="仿宋_GB2312" w:cs="仿宋_GB2312"/>
                <w:color w:val="auto"/>
                <w:kern w:val="0"/>
                <w:sz w:val="18"/>
                <w:szCs w:val="18"/>
                <w:highlight w:val="none"/>
                <w:lang w:bidi="ar"/>
              </w:rPr>
              <w:t>公共法律服务中心、公共法律服务工作站</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 xml:space="preserve">■政府网站 ■政府公报    ■两微一端 ■发布会/听证会 ■广播电视 ■公开查阅点    ■便民服务站       </w:t>
            </w:r>
          </w:p>
          <w:p>
            <w:pPr>
              <w:widowControl/>
              <w:jc w:val="left"/>
              <w:textAlignment w:val="center"/>
              <w:rPr>
                <w:rFonts w:hint="eastAsia" w:ascii="仿宋_GB2312" w:hAnsi="仿宋_GB2312" w:eastAsia="仿宋_GB2312" w:cs="仿宋_GB2312"/>
                <w:color w:val="auto"/>
                <w:sz w:val="18"/>
                <w:szCs w:val="18"/>
                <w:highlight w:val="none"/>
                <w:u w:val="single"/>
                <w:lang w:bidi="ar"/>
              </w:rPr>
            </w:pPr>
            <w:r>
              <w:rPr>
                <w:rFonts w:hint="eastAsia" w:ascii="仿宋_GB2312" w:hAnsi="仿宋_GB2312" w:eastAsia="仿宋_GB2312" w:cs="仿宋_GB2312"/>
                <w:color w:val="auto"/>
                <w:sz w:val="18"/>
                <w:szCs w:val="18"/>
                <w:highlight w:val="none"/>
                <w:lang w:bidi="ar"/>
              </w:rPr>
              <w:t>■社区/企事业单位/村公示栏（电子屏）                        ■其他</w:t>
            </w:r>
            <w:r>
              <w:rPr>
                <w:rFonts w:hint="eastAsia" w:ascii="仿宋_GB2312" w:hAnsi="仿宋_GB2312" w:eastAsia="仿宋_GB2312" w:cs="仿宋_GB2312"/>
                <w:color w:val="auto"/>
                <w:sz w:val="18"/>
                <w:szCs w:val="18"/>
                <w:highlight w:val="none"/>
                <w:u w:val="single"/>
                <w:lang w:bidi="ar"/>
              </w:rPr>
              <w:t>法律服务网</w:t>
            </w:r>
          </w:p>
          <w:p>
            <w:pPr>
              <w:widowControl/>
              <w:jc w:val="left"/>
              <w:textAlignment w:val="center"/>
              <w:rPr>
                <w:rFonts w:hint="eastAsia" w:ascii="仿宋_GB2312" w:hAnsi="仿宋_GB2312" w:eastAsia="仿宋_GB2312" w:cs="仿宋_GB2312"/>
                <w:color w:val="auto"/>
                <w:sz w:val="18"/>
                <w:szCs w:val="18"/>
                <w:highlight w:val="none"/>
                <w:lang w:bidi="ar"/>
              </w:rPr>
            </w:pPr>
            <w:r>
              <w:rPr>
                <w:rFonts w:hint="eastAsia" w:ascii="仿宋_GB2312" w:hAnsi="仿宋_GB2312" w:eastAsia="仿宋_GB2312" w:cs="仿宋_GB2312"/>
                <w:color w:val="auto"/>
                <w:sz w:val="18"/>
                <w:szCs w:val="18"/>
                <w:highlight w:val="none"/>
                <w:lang w:bidi="ar"/>
              </w:rPr>
              <w:t>注：有关公开信息可推送或归集至本省级法律服务网。</w:t>
            </w:r>
          </w:p>
        </w:tc>
        <w:tc>
          <w:tcPr>
            <w:tcW w:w="56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c>
          <w:tcPr>
            <w:tcW w:w="67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bidi="ar"/>
              </w:rPr>
              <w:t>√</w:t>
            </w:r>
          </w:p>
        </w:tc>
      </w:tr>
    </w:tbl>
    <w:p>
      <w:pPr>
        <w:rPr>
          <w:rFonts w:hint="default" w:ascii="黑体" w:hAnsi="方正小标宋_GBK" w:eastAsia="黑体"/>
          <w:color w:val="auto"/>
          <w:sz w:val="30"/>
          <w:szCs w:val="30"/>
          <w:highlight w:val="none"/>
          <w:lang w:val="en-US" w:eastAsia="zh-CN"/>
        </w:rPr>
      </w:pPr>
      <w:r>
        <w:rPr>
          <w:rFonts w:hint="default" w:ascii="黑体" w:hAnsi="方正小标宋_GBK" w:eastAsia="黑体"/>
          <w:color w:val="auto"/>
          <w:sz w:val="30"/>
          <w:szCs w:val="30"/>
          <w:highlight w:val="none"/>
          <w:lang w:val="en-US" w:eastAsia="zh-CN"/>
        </w:rPr>
        <w:br w:type="page"/>
      </w:r>
    </w:p>
    <w:p>
      <w:pPr>
        <w:keepNext/>
        <w:keepLines/>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s="黑体"/>
          <w:color w:val="auto"/>
          <w:kern w:val="44"/>
          <w:sz w:val="36"/>
          <w:szCs w:val="52"/>
          <w:highlight w:val="none"/>
        </w:rPr>
      </w:pPr>
      <w:bookmarkStart w:id="4" w:name="_Toc24724711"/>
      <w:r>
        <w:rPr>
          <w:rFonts w:hint="eastAsia" w:ascii="黑体" w:hAnsi="黑体" w:eastAsia="黑体" w:cs="黑体"/>
          <w:color w:val="auto"/>
          <w:kern w:val="44"/>
          <w:sz w:val="36"/>
          <w:szCs w:val="52"/>
          <w:highlight w:val="none"/>
          <w:lang w:val="en-US" w:eastAsia="zh-CN"/>
        </w:rPr>
        <w:t>双台子区</w:t>
      </w:r>
      <w:r>
        <w:rPr>
          <w:rFonts w:hint="eastAsia" w:ascii="黑体" w:hAnsi="黑体" w:eastAsia="黑体" w:cs="黑体"/>
          <w:color w:val="auto"/>
          <w:kern w:val="44"/>
          <w:sz w:val="36"/>
          <w:szCs w:val="52"/>
          <w:highlight w:val="none"/>
        </w:rPr>
        <w:t>财政预决算领域基层政务公开标准目录</w:t>
      </w:r>
      <w:bookmarkEnd w:id="4"/>
    </w:p>
    <w:tbl>
      <w:tblPr>
        <w:tblStyle w:val="7"/>
        <w:tblW w:w="15480" w:type="dxa"/>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4156"/>
        <w:gridCol w:w="2141"/>
        <w:gridCol w:w="1050"/>
        <w:gridCol w:w="682"/>
        <w:gridCol w:w="1331"/>
        <w:gridCol w:w="720"/>
        <w:gridCol w:w="709"/>
        <w:gridCol w:w="453"/>
        <w:gridCol w:w="818"/>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序号</w:t>
            </w:r>
          </w:p>
        </w:tc>
        <w:tc>
          <w:tcPr>
            <w:tcW w:w="1440" w:type="dxa"/>
            <w:gridSpan w:val="2"/>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公开事项</w:t>
            </w:r>
          </w:p>
        </w:tc>
        <w:tc>
          <w:tcPr>
            <w:tcW w:w="4156" w:type="dxa"/>
            <w:vMerge w:val="restart"/>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公开内容（要素）</w:t>
            </w:r>
          </w:p>
        </w:tc>
        <w:tc>
          <w:tcPr>
            <w:tcW w:w="2141" w:type="dxa"/>
            <w:vMerge w:val="restart"/>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公开依据</w:t>
            </w:r>
          </w:p>
        </w:tc>
        <w:tc>
          <w:tcPr>
            <w:tcW w:w="1050" w:type="dxa"/>
            <w:vMerge w:val="restart"/>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公开时限</w:t>
            </w:r>
          </w:p>
        </w:tc>
        <w:tc>
          <w:tcPr>
            <w:tcW w:w="682" w:type="dxa"/>
            <w:vMerge w:val="restart"/>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公开主体</w:t>
            </w:r>
          </w:p>
        </w:tc>
        <w:tc>
          <w:tcPr>
            <w:tcW w:w="1331" w:type="dxa"/>
            <w:vMerge w:val="restart"/>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公开渠道和载体</w:t>
            </w:r>
          </w:p>
        </w:tc>
        <w:tc>
          <w:tcPr>
            <w:tcW w:w="1429" w:type="dxa"/>
            <w:gridSpan w:val="2"/>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公开对象</w:t>
            </w:r>
          </w:p>
        </w:tc>
        <w:tc>
          <w:tcPr>
            <w:tcW w:w="1271" w:type="dxa"/>
            <w:gridSpan w:val="2"/>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公开方式</w:t>
            </w:r>
          </w:p>
        </w:tc>
        <w:tc>
          <w:tcPr>
            <w:tcW w:w="1440" w:type="dxa"/>
            <w:gridSpan w:val="2"/>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rFonts w:hint="eastAsia" w:ascii="仿宋_GB2312" w:hAnsi="仿宋_GB2312" w:eastAsia="仿宋_GB2312" w:cs="仿宋_GB2312"/>
                <w:color w:val="auto"/>
                <w:kern w:val="0"/>
                <w:sz w:val="18"/>
                <w:szCs w:val="18"/>
                <w:highlight w:val="none"/>
              </w:rPr>
            </w:pPr>
          </w:p>
        </w:tc>
        <w:tc>
          <w:tcPr>
            <w:tcW w:w="720" w:type="dxa"/>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一级事项</w:t>
            </w:r>
          </w:p>
        </w:tc>
        <w:tc>
          <w:tcPr>
            <w:tcW w:w="720" w:type="dxa"/>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二级事项</w:t>
            </w:r>
          </w:p>
        </w:tc>
        <w:tc>
          <w:tcPr>
            <w:tcW w:w="4156" w:type="dxa"/>
            <w:vMerge w:val="continue"/>
            <w:vAlign w:val="center"/>
          </w:tcPr>
          <w:p>
            <w:pPr>
              <w:widowControl/>
              <w:jc w:val="left"/>
              <w:rPr>
                <w:rFonts w:hint="eastAsia" w:ascii="仿宋_GB2312" w:hAnsi="仿宋_GB2312" w:eastAsia="仿宋_GB2312" w:cs="仿宋_GB2312"/>
                <w:color w:val="auto"/>
                <w:kern w:val="0"/>
                <w:sz w:val="18"/>
                <w:szCs w:val="18"/>
                <w:highlight w:val="none"/>
              </w:rPr>
            </w:pPr>
          </w:p>
        </w:tc>
        <w:tc>
          <w:tcPr>
            <w:tcW w:w="2141" w:type="dxa"/>
            <w:vMerge w:val="continue"/>
            <w:vAlign w:val="center"/>
          </w:tcPr>
          <w:p>
            <w:pPr>
              <w:widowControl/>
              <w:jc w:val="left"/>
              <w:rPr>
                <w:rFonts w:hint="eastAsia" w:ascii="仿宋_GB2312" w:hAnsi="仿宋_GB2312" w:eastAsia="仿宋_GB2312" w:cs="仿宋_GB2312"/>
                <w:color w:val="auto"/>
                <w:kern w:val="0"/>
                <w:sz w:val="18"/>
                <w:szCs w:val="18"/>
                <w:highlight w:val="none"/>
              </w:rPr>
            </w:pPr>
          </w:p>
        </w:tc>
        <w:tc>
          <w:tcPr>
            <w:tcW w:w="1050" w:type="dxa"/>
            <w:vMerge w:val="continue"/>
            <w:vAlign w:val="center"/>
          </w:tcPr>
          <w:p>
            <w:pPr>
              <w:widowControl/>
              <w:jc w:val="left"/>
              <w:rPr>
                <w:rFonts w:hint="eastAsia" w:ascii="仿宋_GB2312" w:hAnsi="仿宋_GB2312" w:eastAsia="仿宋_GB2312" w:cs="仿宋_GB2312"/>
                <w:color w:val="auto"/>
                <w:kern w:val="0"/>
                <w:sz w:val="18"/>
                <w:szCs w:val="18"/>
                <w:highlight w:val="none"/>
              </w:rPr>
            </w:pPr>
          </w:p>
        </w:tc>
        <w:tc>
          <w:tcPr>
            <w:tcW w:w="682" w:type="dxa"/>
            <w:vMerge w:val="continue"/>
            <w:vAlign w:val="center"/>
          </w:tcPr>
          <w:p>
            <w:pPr>
              <w:widowControl/>
              <w:jc w:val="left"/>
              <w:rPr>
                <w:rFonts w:hint="eastAsia" w:ascii="仿宋_GB2312" w:hAnsi="仿宋_GB2312" w:eastAsia="仿宋_GB2312" w:cs="仿宋_GB2312"/>
                <w:color w:val="auto"/>
                <w:kern w:val="0"/>
                <w:sz w:val="18"/>
                <w:szCs w:val="18"/>
                <w:highlight w:val="none"/>
              </w:rPr>
            </w:pPr>
          </w:p>
        </w:tc>
        <w:tc>
          <w:tcPr>
            <w:tcW w:w="1331" w:type="dxa"/>
            <w:vMerge w:val="continue"/>
            <w:vAlign w:val="center"/>
          </w:tcPr>
          <w:p>
            <w:pPr>
              <w:widowControl/>
              <w:jc w:val="left"/>
              <w:rPr>
                <w:rFonts w:hint="eastAsia" w:ascii="仿宋_GB2312" w:hAnsi="仿宋_GB2312" w:eastAsia="仿宋_GB2312" w:cs="仿宋_GB2312"/>
                <w:color w:val="auto"/>
                <w:kern w:val="0"/>
                <w:sz w:val="18"/>
                <w:szCs w:val="18"/>
                <w:highlight w:val="none"/>
              </w:rPr>
            </w:pPr>
          </w:p>
        </w:tc>
        <w:tc>
          <w:tcPr>
            <w:tcW w:w="720" w:type="dxa"/>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全社会</w:t>
            </w:r>
          </w:p>
        </w:tc>
        <w:tc>
          <w:tcPr>
            <w:tcW w:w="709" w:type="dxa"/>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特定群众</w:t>
            </w:r>
          </w:p>
        </w:tc>
        <w:tc>
          <w:tcPr>
            <w:tcW w:w="453" w:type="dxa"/>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主动</w:t>
            </w:r>
          </w:p>
        </w:tc>
        <w:tc>
          <w:tcPr>
            <w:tcW w:w="818" w:type="dxa"/>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依申请公开</w:t>
            </w:r>
          </w:p>
        </w:tc>
        <w:tc>
          <w:tcPr>
            <w:tcW w:w="720" w:type="dxa"/>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县级</w:t>
            </w:r>
          </w:p>
        </w:tc>
        <w:tc>
          <w:tcPr>
            <w:tcW w:w="720" w:type="dxa"/>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政府预算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2141"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《预算法》、《政府信息公开条例》、《财政部关于印发&lt;地方预决算公开操作规程的通知&gt;》、《财政部关于印发&lt;地方政府债务信息公开办法（试行）&gt;的通知》等法律法规和文件规定</w:t>
            </w:r>
          </w:p>
        </w:tc>
        <w:tc>
          <w:tcPr>
            <w:tcW w:w="105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本级人民代表大会或其常务委员会批准后20日内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政府性基金预算：①政府性基金收入表。②政府性基金支出表。③本级政府性基金支出表。④政府性基金转移支付表。⑤政府专项债务限额和余额情况表。</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540" w:type="dxa"/>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720" w:type="dxa"/>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政府预算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国有资本经营预算：①国有资本经营预算收入表。②国有资本经营预算支出表。③本级国有资本经营预算支出表。④对下安排转移支付的应当公开国有资本经营预算转移支付表。</w:t>
            </w:r>
          </w:p>
        </w:tc>
        <w:tc>
          <w:tcPr>
            <w:tcW w:w="2141"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《预算法》、《政府信息公开条例》、《财政部关于印发&lt;地方预决算公开操作规程的通知&gt;》、《财政部关于印发&lt;地方政府债务信息公开办法（试行）&gt;的通知》等法律法规和文件规定</w:t>
            </w:r>
          </w:p>
        </w:tc>
        <w:tc>
          <w:tcPr>
            <w:tcW w:w="1050"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本级人民代表大会或其常务委员会批准后20日内</w:t>
            </w:r>
          </w:p>
        </w:tc>
        <w:tc>
          <w:tcPr>
            <w:tcW w:w="682" w:type="dxa"/>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Align w:val="center"/>
          </w:tcPr>
          <w:p>
            <w:pPr>
              <w:widowControl/>
              <w:textAlignment w:val="center"/>
              <w:rPr>
                <w:rFonts w:hint="eastAsia" w:ascii="仿宋_GB2312" w:hAnsi="仿宋_GB2312" w:eastAsia="仿宋_GB2312" w:cs="仿宋_GB2312"/>
                <w:color w:val="auto"/>
                <w:sz w:val="18"/>
                <w:szCs w:val="18"/>
                <w:highlight w:val="none"/>
              </w:rPr>
            </w:pPr>
          </w:p>
        </w:tc>
        <w:tc>
          <w:tcPr>
            <w:tcW w:w="453"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Align w:val="center"/>
          </w:tcPr>
          <w:p>
            <w:pPr>
              <w:widowControl/>
              <w:textAlignment w:val="center"/>
              <w:rPr>
                <w:rFonts w:hint="eastAsia" w:ascii="仿宋_GB2312" w:hAnsi="仿宋_GB2312" w:eastAsia="仿宋_GB2312" w:cs="仿宋_GB2312"/>
                <w:color w:val="auto"/>
                <w:sz w:val="18"/>
                <w:szCs w:val="18"/>
                <w:highlight w:val="none"/>
              </w:rPr>
            </w:pPr>
          </w:p>
        </w:tc>
        <w:tc>
          <w:tcPr>
            <w:tcW w:w="720"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widowControl/>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政府预算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社会保险基金预算：①社会保险基金收入表。②社会保险基金支出表。</w:t>
            </w:r>
          </w:p>
        </w:tc>
        <w:tc>
          <w:tcPr>
            <w:tcW w:w="2141" w:type="dxa"/>
            <w:vMerge w:val="restart"/>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《预算法》、《政府信息公开条例》、《财政部关于印发&lt;地方预决算公开操作规程的通知&gt;》、《财政部关于印发&lt;地方政府债务信息公开办法（试行）&gt;的通知》等法律法规和文件规定</w:t>
            </w:r>
          </w:p>
        </w:tc>
        <w:tc>
          <w:tcPr>
            <w:tcW w:w="1050" w:type="dxa"/>
            <w:vMerge w:val="restart"/>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本级人民代表大会或其常务委员会批准后20日内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p>
        </w:tc>
        <w:tc>
          <w:tcPr>
            <w:tcW w:w="453"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政府预算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对财政转移支付安排、举借政府债务等重要事项进行解释、说明，并公开重大政策和重点项目等绩效目标。</w:t>
            </w:r>
          </w:p>
        </w:tc>
        <w:tc>
          <w:tcPr>
            <w:tcW w:w="2141" w:type="dxa"/>
            <w:vMerge w:val="restart"/>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《预算法》、《政府信息公开条例》、《财政部关于印发&lt;地方预决算公开操作规程的通知&gt;》、《财政部关于印发&lt;地方政府债务信息公开办法（试行）&gt;的通知》等法律法规和文件规定</w:t>
            </w:r>
          </w:p>
        </w:tc>
        <w:tc>
          <w:tcPr>
            <w:tcW w:w="1050" w:type="dxa"/>
            <w:vMerge w:val="restart"/>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本级人民代表大会或其常务委员会批准后20日内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p>
        </w:tc>
        <w:tc>
          <w:tcPr>
            <w:tcW w:w="453"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方本级汇总的一般公共预算“三公”经费，包括预算总额，以及“因公出国（境）费”“公务用车购置及运行费”（区分“公务用车购置费”“公务用车运行费”两项）、“公务接待费”分项数额，并对增减变化情况进行说明。</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政府预算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2141"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《预算法》、《政府信息公开条例》、《财政部关于印发&lt;地方预决算公开操作规程的通知&gt;》、《财政部关于印发&lt;地方政府债务信息公开办法（试行）&gt;的通知》等法律法规和文件规定</w:t>
            </w:r>
          </w:p>
        </w:tc>
        <w:tc>
          <w:tcPr>
            <w:tcW w:w="105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本级人民代表大会或其常务委员会批准后20日内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p>
        </w:tc>
        <w:tc>
          <w:tcPr>
            <w:tcW w:w="453"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没有数据的表格应当列出空表并说明。</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决算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2141"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《预算法》、《政府信息公开条例》、《财政部关于印发&lt;地方预决算公开操作规程的通知&gt;》、《财政部关于印发&lt;地方政府债务信息公开办法（试行）&gt;的通知》等法律法规和文件规定</w:t>
            </w:r>
          </w:p>
        </w:tc>
        <w:tc>
          <w:tcPr>
            <w:tcW w:w="105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本级人民代表大会或其常务委员会批准后20日内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53"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政府性基金预算：①政府性基金收入表。②政府性基金支出表。③本级政府性基金支出表。④政府性基金转移支付表。⑤政府专项债务限额和余额情况表。</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决算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国有资本经营预算：①国有资本经营预算收入表。②国有资本经营预算支出表。③本级国有资本经营预算支出表。④对下安排转移支付的应当公开国有资本经营预算转移支付表。</w:t>
            </w:r>
          </w:p>
        </w:tc>
        <w:tc>
          <w:tcPr>
            <w:tcW w:w="2141"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《预算法》、《政府信息公开条例》、《财政部关于印发&lt;地方预决算公开操作规程的通知&gt;》、《财政部关于印发&lt;地方政府债务信息公开办法（试行）&gt;的通知》等法律法规和文件规定</w:t>
            </w:r>
          </w:p>
        </w:tc>
        <w:tc>
          <w:tcPr>
            <w:tcW w:w="105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本级人民代表大会或其常务委员会批准后20日内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53"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社会保险基金预算：①社会保险基金收入表。②社会保险基金支出表。</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决算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对财政转移支付安排、举借政府债务、预算绩效工作开展情况等重要事项进行解释、说明，并公开重大政策和重点项目绩效执行结果。</w:t>
            </w:r>
          </w:p>
        </w:tc>
        <w:tc>
          <w:tcPr>
            <w:tcW w:w="2141"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《预算法》、《政府信息公开条例》、《财政部关于印发&lt;地方预决算公开操作规程的通知&gt;》、《财政部关于印发&lt;地方政府债务信息公开办法（试行）&gt;的通知》等法律法规和文件规定</w:t>
            </w:r>
          </w:p>
        </w:tc>
        <w:tc>
          <w:tcPr>
            <w:tcW w:w="105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本级人民代表大会或其常务委员会批准后20日内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53"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4" w:hRule="atLeas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jc w:val="left"/>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地方政府债务限额、余额、使用安排及还本付息等信息，包括：上年末本地区、本级及所属地区地方政府债务限额、余额决算数，地方政府债券发行、还本付息决算数，以及债券资金使用安排等。</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没有数据的表格应当列出空表并说明。</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部门</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预算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收支总体情况表：①部门收支总体情况表。②部门收入总体情况表。③部门支出总体情况表。</w:t>
            </w:r>
          </w:p>
        </w:tc>
        <w:tc>
          <w:tcPr>
            <w:tcW w:w="2141"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《预算法》、《政府信息公开条例》、《财政部关于印发&lt;地方预决算公开操作规程的通知&gt;》等法律法规和文件规定</w:t>
            </w:r>
          </w:p>
        </w:tc>
        <w:tc>
          <w:tcPr>
            <w:tcW w:w="105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本级政府财政部门批复后20日内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财政拨款收支情况表：①财政拨款收支总体情况表。②一般公共预算支出情况表。③一般公共预算基本支出情况表。④一般公共预算“三公”经费支出情况表。⑤政府性基金预算支出情况表。</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一般公共预算支出情况表公开到功能分类项级科目。一般公共预算基本支出表公开到经济分类款级科目。</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没有数据的表格应当列出空表并说明。</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部门</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决算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收支总体情况表：①部门收支总体情况表。②部门收入总体情况表。③部门支出总体情况表。</w:t>
            </w:r>
          </w:p>
        </w:tc>
        <w:tc>
          <w:tcPr>
            <w:tcW w:w="2141"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《预算法》、《政府信息公开条例》、《财政部关于印发&lt;地方预决算公开操作规程的通知&gt;》等法律法规和文件规定</w:t>
            </w:r>
          </w:p>
        </w:tc>
        <w:tc>
          <w:tcPr>
            <w:tcW w:w="105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本级政府财政部门批复后20日内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财政拨款收支情况表：①财政拨款收支总体情况表。②一般公共预算支出情况表。③一般公共预算基本支出情况表。④一般公共预算“三公”经费支出情况表。⑤政府性基金预算支出情况表。</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一般公共预算支出情况表公开到功能分类项级科目。一般公共预算基本支出表公开到经济分类款级科目。</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54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财政预决算</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部门</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决算</w:t>
            </w: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141"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《预算法》、《政府信息公开条例》、《财政部关于印发&lt;地方预决算公开操作规程的通知&gt;》等法律法规和文件规定</w:t>
            </w:r>
          </w:p>
        </w:tc>
        <w:tc>
          <w:tcPr>
            <w:tcW w:w="1050" w:type="dxa"/>
            <w:vMerge w:val="restart"/>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本级政府财政部门批复后20日内</w:t>
            </w:r>
          </w:p>
        </w:tc>
        <w:tc>
          <w:tcPr>
            <w:tcW w:w="682"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区财政局</w:t>
            </w:r>
          </w:p>
        </w:tc>
        <w:tc>
          <w:tcPr>
            <w:tcW w:w="1331" w:type="dxa"/>
            <w:vMerge w:val="restart"/>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财政部门网站公开平台 </w:t>
            </w:r>
          </w:p>
          <w:p>
            <w:pPr>
              <w:widowControl/>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09"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18"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Merge w:val="restart"/>
            <w:vAlign w:val="center"/>
          </w:tcPr>
          <w:p>
            <w:pPr>
              <w:widowControl/>
              <w:jc w:val="center"/>
              <w:textAlignment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54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156" w:type="dxa"/>
            <w:vAlign w:val="center"/>
          </w:tcPr>
          <w:p>
            <w:pPr>
              <w:widowControl/>
              <w:textAlignment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没有数据的表格应当列出空表并说明。</w:t>
            </w:r>
          </w:p>
        </w:tc>
        <w:tc>
          <w:tcPr>
            <w:tcW w:w="214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05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682"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1331"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09"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453"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818"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c>
          <w:tcPr>
            <w:tcW w:w="720" w:type="dxa"/>
            <w:vMerge w:val="continue"/>
            <w:vAlign w:val="center"/>
          </w:tcPr>
          <w:p>
            <w:pPr>
              <w:widowControl/>
              <w:jc w:val="center"/>
              <w:textAlignment w:val="center"/>
              <w:rPr>
                <w:rFonts w:hint="eastAsia" w:ascii="仿宋_GB2312" w:hAnsi="仿宋_GB2312" w:eastAsia="仿宋_GB2312" w:cs="仿宋_GB2312"/>
                <w:color w:val="auto"/>
                <w:sz w:val="18"/>
                <w:szCs w:val="18"/>
                <w:highlight w:val="none"/>
              </w:rPr>
            </w:pPr>
          </w:p>
        </w:tc>
      </w:tr>
    </w:tbl>
    <w:p>
      <w:pPr>
        <w:rPr>
          <w:rFonts w:ascii="宋体" w:hAnsi="宋体"/>
          <w:color w:val="auto"/>
          <w:sz w:val="18"/>
          <w:szCs w:val="18"/>
          <w:highlight w:val="none"/>
        </w:rPr>
      </w:pPr>
    </w:p>
    <w:p>
      <w:pPr>
        <w:rPr>
          <w:color w:val="auto"/>
          <w:highlight w:val="none"/>
        </w:rPr>
      </w:pPr>
    </w:p>
    <w:p>
      <w:pPr>
        <w:rPr>
          <w:color w:val="auto"/>
          <w:highlight w:val="none"/>
        </w:rPr>
      </w:pPr>
    </w:p>
    <w:p>
      <w:pPr>
        <w:rPr>
          <w:color w:val="auto"/>
          <w:highlight w:val="none"/>
        </w:rPr>
      </w:pPr>
      <w:r>
        <w:rPr>
          <w:color w:val="auto"/>
          <w:highlight w:val="none"/>
        </w:rPr>
        <w:br w:type="page"/>
      </w:r>
    </w:p>
    <w:p>
      <w:pPr>
        <w:pStyle w:val="2"/>
        <w:spacing w:line="240" w:lineRule="auto"/>
        <w:jc w:val="center"/>
        <w:rPr>
          <w:rFonts w:hint="eastAsia" w:ascii="黑体" w:hAnsi="黑体" w:eastAsia="黑体" w:cs="黑体"/>
          <w:b w:val="0"/>
          <w:bCs w:val="0"/>
          <w:color w:val="auto"/>
          <w:sz w:val="36"/>
          <w:szCs w:val="36"/>
          <w:highlight w:val="none"/>
          <w:lang w:val="en-US" w:eastAsia="zh-CN"/>
        </w:rPr>
      </w:pPr>
      <w:r>
        <w:rPr>
          <w:rFonts w:hint="eastAsia" w:ascii="黑体" w:hAnsi="黑体" w:eastAsia="黑体" w:cs="黑体"/>
          <w:b w:val="0"/>
          <w:bCs w:val="0"/>
          <w:color w:val="auto"/>
          <w:sz w:val="36"/>
          <w:szCs w:val="36"/>
          <w:highlight w:val="none"/>
          <w:lang w:val="en-US" w:eastAsia="zh-CN"/>
        </w:rPr>
        <w:t>双台子区就业领域基层政务公开标准目录</w:t>
      </w:r>
    </w:p>
    <w:tbl>
      <w:tblPr>
        <w:tblStyle w:val="7"/>
        <w:tblW w:w="0" w:type="auto"/>
        <w:tblInd w:w="0" w:type="dxa"/>
        <w:shd w:val="clear" w:color="auto" w:fill="auto"/>
        <w:tblLayout w:type="fixed"/>
        <w:tblCellMar>
          <w:top w:w="0" w:type="dxa"/>
          <w:left w:w="0" w:type="dxa"/>
          <w:bottom w:w="0" w:type="dxa"/>
          <w:right w:w="0" w:type="dxa"/>
        </w:tblCellMar>
      </w:tblPr>
      <w:tblGrid>
        <w:gridCol w:w="585"/>
        <w:gridCol w:w="916"/>
        <w:gridCol w:w="968"/>
        <w:gridCol w:w="1477"/>
        <w:gridCol w:w="3989"/>
        <w:gridCol w:w="601"/>
        <w:gridCol w:w="601"/>
        <w:gridCol w:w="2545"/>
        <w:gridCol w:w="478"/>
        <w:gridCol w:w="491"/>
        <w:gridCol w:w="504"/>
        <w:gridCol w:w="423"/>
        <w:gridCol w:w="573"/>
        <w:gridCol w:w="572"/>
      </w:tblGrid>
      <w:tr>
        <w:tblPrEx>
          <w:shd w:val="clear" w:color="auto" w:fill="auto"/>
          <w:tblCellMar>
            <w:top w:w="0" w:type="dxa"/>
            <w:left w:w="0" w:type="dxa"/>
            <w:bottom w:w="0" w:type="dxa"/>
            <w:right w:w="0" w:type="dxa"/>
          </w:tblCellMar>
        </w:tblPrEx>
        <w:trPr>
          <w:cantSplit/>
          <w:trHeight w:val="499" w:hRule="atLeast"/>
          <w:tblHeader/>
        </w:trPr>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序号</w:t>
            </w:r>
          </w:p>
        </w:tc>
        <w:tc>
          <w:tcPr>
            <w:tcW w:w="188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w:t>
            </w:r>
          </w:p>
        </w:tc>
        <w:tc>
          <w:tcPr>
            <w:tcW w:w="14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公开内容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（要素）</w:t>
            </w:r>
          </w:p>
        </w:tc>
        <w:tc>
          <w:tcPr>
            <w:tcW w:w="3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公开依据</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公开时限</w:t>
            </w:r>
          </w:p>
        </w:tc>
        <w:tc>
          <w:tcPr>
            <w:tcW w:w="6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公开主体</w:t>
            </w:r>
          </w:p>
        </w:tc>
        <w:tc>
          <w:tcPr>
            <w:tcW w:w="2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公开渠道和载体</w:t>
            </w:r>
          </w:p>
        </w:tc>
        <w:tc>
          <w:tcPr>
            <w:tcW w:w="96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公开对象</w:t>
            </w: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公开方式</w:t>
            </w:r>
          </w:p>
        </w:tc>
        <w:tc>
          <w:tcPr>
            <w:tcW w:w="11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公开层级</w:t>
            </w:r>
          </w:p>
        </w:tc>
      </w:tr>
      <w:tr>
        <w:tblPrEx>
          <w:shd w:val="clear" w:color="auto" w:fill="auto"/>
          <w:tblCellMar>
            <w:top w:w="0" w:type="dxa"/>
            <w:left w:w="0" w:type="dxa"/>
            <w:bottom w:w="0" w:type="dxa"/>
            <w:right w:w="0" w:type="dxa"/>
          </w:tblCellMar>
        </w:tblPrEx>
        <w:trPr>
          <w:cantSplit/>
          <w:trHeight w:val="739" w:hRule="atLeast"/>
          <w:tblHeader/>
        </w:trPr>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一级事项</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二级事项</w:t>
            </w:r>
          </w:p>
        </w:tc>
        <w:tc>
          <w:tcPr>
            <w:tcW w:w="14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3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2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全社会</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特定群体</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主动</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依申请</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县级</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乡级</w:t>
            </w:r>
          </w:p>
        </w:tc>
      </w:tr>
      <w:tr>
        <w:tblPrEx>
          <w:shd w:val="clear" w:color="auto" w:fill="auto"/>
          <w:tblCellMar>
            <w:top w:w="0" w:type="dxa"/>
            <w:left w:w="0" w:type="dxa"/>
            <w:bottom w:w="0" w:type="dxa"/>
            <w:right w:w="0" w:type="dxa"/>
          </w:tblCellMar>
        </w:tblPrEx>
        <w:trPr>
          <w:trHeight w:val="196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1.就业信息服务</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1.1就业政策法规咨询</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1.就业创业政策项目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2.对象范围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3.政策申请条件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4.政策申请材料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9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1.2岗位信息发布</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1.招聘单位</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2.岗位要求</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3.福利待遇</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4.招聘流程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5.应聘方式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sym w:font="Wingdings 2" w:char="00A3"/>
            </w: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6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1.3求职信息登记</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1.服务对象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2.提交材料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4.服务时间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5.服务地点（方式）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54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1.4市场工资指导价位信息发布</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1.市场工资指导价位</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2.相关说明材料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6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1.5职业培训信息发布</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1.培训项目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2.对象范围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3.培训内容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4.培训课时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5.授课地点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6.补贴标准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7.报名材料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8.报名地点（方式）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59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2.职业介绍、职业指导和创业开业指导</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2.1职业介绍</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1.服务内容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2.服务对象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3.提交材料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4.服务时间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5.服务地点（方式）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46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2.2职业指导</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1.服务内容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2.服务对象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3.提交材料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4.服务时间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5.服务地点（方式）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599" w:hRule="atLeast"/>
        </w:trPr>
        <w:tc>
          <w:tcPr>
            <w:tcW w:w="5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w:t>
            </w:r>
          </w:p>
        </w:tc>
        <w:tc>
          <w:tcPr>
            <w:tcW w:w="91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2.3创业开业指导</w:t>
            </w:r>
          </w:p>
        </w:tc>
        <w:tc>
          <w:tcPr>
            <w:tcW w:w="14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1.服务内容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2.服务对象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3.提交材料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4.服务时间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5.服务地点（方式）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6.咨询电话</w:t>
            </w:r>
          </w:p>
        </w:tc>
        <w:tc>
          <w:tcPr>
            <w:tcW w:w="39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802" w:hRule="atLeast"/>
        </w:trPr>
        <w:tc>
          <w:tcPr>
            <w:tcW w:w="58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w:t>
            </w:r>
          </w:p>
        </w:tc>
        <w:tc>
          <w:tcPr>
            <w:tcW w:w="91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3.公共就业服务专项活动</w:t>
            </w:r>
          </w:p>
        </w:tc>
        <w:tc>
          <w:tcPr>
            <w:tcW w:w="96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3.1公共就业服务专项活动</w:t>
            </w:r>
          </w:p>
        </w:tc>
        <w:tc>
          <w:tcPr>
            <w:tcW w:w="147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1.活动通知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2.活动时间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3.参与方式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4.相关材料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5.活动地址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6.咨询电话</w:t>
            </w:r>
          </w:p>
        </w:tc>
        <w:tc>
          <w:tcPr>
            <w:tcW w:w="398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594" w:hRule="atLeast"/>
        </w:trPr>
        <w:tc>
          <w:tcPr>
            <w:tcW w:w="5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w:t>
            </w:r>
          </w:p>
        </w:tc>
        <w:tc>
          <w:tcPr>
            <w:tcW w:w="916"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4.就业失业登记</w:t>
            </w:r>
          </w:p>
        </w:tc>
        <w:tc>
          <w:tcPr>
            <w:tcW w:w="9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4.1失业登记</w:t>
            </w:r>
          </w:p>
        </w:tc>
        <w:tc>
          <w:tcPr>
            <w:tcW w:w="14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1.对象范围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2.申请人权利和义务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9.咨询电话</w:t>
            </w:r>
          </w:p>
        </w:tc>
        <w:tc>
          <w:tcPr>
            <w:tcW w:w="398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60" w:hRule="atLeast"/>
        </w:trPr>
        <w:tc>
          <w:tcPr>
            <w:tcW w:w="5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p>
        </w:tc>
        <w:tc>
          <w:tcPr>
            <w:tcW w:w="916"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4.2就业登记</w:t>
            </w:r>
          </w:p>
        </w:tc>
        <w:tc>
          <w:tcPr>
            <w:tcW w:w="147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1.对象范围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2.办理条件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3.办理材料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8.咨询电话</w:t>
            </w:r>
          </w:p>
        </w:tc>
        <w:tc>
          <w:tcPr>
            <w:tcW w:w="39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58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12</w:t>
            </w:r>
          </w:p>
        </w:tc>
        <w:tc>
          <w:tcPr>
            <w:tcW w:w="91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4.就业失业登记</w:t>
            </w:r>
          </w:p>
        </w:tc>
        <w:tc>
          <w:tcPr>
            <w:tcW w:w="96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4.3《就业创业证》申领</w:t>
            </w:r>
          </w:p>
        </w:tc>
        <w:tc>
          <w:tcPr>
            <w:tcW w:w="147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1.对象范围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2.证件使用注意事项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3.申领条件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4.申领材料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8.证件送达方式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9.咨询电话</w:t>
            </w:r>
          </w:p>
        </w:tc>
        <w:tc>
          <w:tcPr>
            <w:tcW w:w="398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695" w:hRule="atLeast"/>
        </w:trPr>
        <w:tc>
          <w:tcPr>
            <w:tcW w:w="585"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13</w:t>
            </w:r>
          </w:p>
        </w:tc>
        <w:tc>
          <w:tcPr>
            <w:tcW w:w="916"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5.创业服务</w:t>
            </w:r>
          </w:p>
        </w:tc>
        <w:tc>
          <w:tcPr>
            <w:tcW w:w="96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5.1创业补贴申领</w:t>
            </w:r>
          </w:p>
        </w:tc>
        <w:tc>
          <w:tcPr>
            <w:tcW w:w="147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2.政策对象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3.补贴标准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9.办理结果告知方式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10.咨询电话</w:t>
            </w:r>
          </w:p>
        </w:tc>
        <w:tc>
          <w:tcPr>
            <w:tcW w:w="398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681" w:hRule="atLeast"/>
        </w:trPr>
        <w:tc>
          <w:tcPr>
            <w:tcW w:w="58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14</w:t>
            </w:r>
          </w:p>
        </w:tc>
        <w:tc>
          <w:tcPr>
            <w:tcW w:w="916"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96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5.2创业担保贷款申请</w:t>
            </w:r>
          </w:p>
        </w:tc>
        <w:tc>
          <w:tcPr>
            <w:tcW w:w="147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2.政策对象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3.贷款额度</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9.办理结果告知方式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10.咨询电话</w:t>
            </w:r>
          </w:p>
        </w:tc>
        <w:tc>
          <w:tcPr>
            <w:tcW w:w="398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7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24" w:hRule="atLeast"/>
        </w:trPr>
        <w:tc>
          <w:tcPr>
            <w:tcW w:w="5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15</w:t>
            </w:r>
          </w:p>
        </w:tc>
        <w:tc>
          <w:tcPr>
            <w:tcW w:w="916"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6.对就业困难人员（含建档立卡贫困劳动力）实施就业援助</w:t>
            </w:r>
          </w:p>
        </w:tc>
        <w:tc>
          <w:tcPr>
            <w:tcW w:w="9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6.1就业困难人员认定</w:t>
            </w:r>
          </w:p>
        </w:tc>
        <w:tc>
          <w:tcPr>
            <w:tcW w:w="14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2.对象范围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9.咨询电话</w:t>
            </w:r>
          </w:p>
        </w:tc>
        <w:tc>
          <w:tcPr>
            <w:tcW w:w="398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7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538"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16</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6.2就业困难人员社会保险补贴申领</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2.政策对象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3.补贴标准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9.办理结果告知方式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50" w:hRule="atLeast"/>
        </w:trPr>
        <w:tc>
          <w:tcPr>
            <w:tcW w:w="585"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17</w:t>
            </w:r>
          </w:p>
        </w:tc>
        <w:tc>
          <w:tcPr>
            <w:tcW w:w="916" w:type="dxa"/>
            <w:vMerge w:val="restar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6.对就业困难人员（含建档立卡贫困劳动力）实施就业援助</w:t>
            </w:r>
          </w:p>
        </w:tc>
        <w:tc>
          <w:tcPr>
            <w:tcW w:w="968"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6.3公益性岗位补贴申领</w:t>
            </w:r>
          </w:p>
        </w:tc>
        <w:tc>
          <w:tcPr>
            <w:tcW w:w="1477"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2.政策对象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3.补贴标准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9.办理结果告知方式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10.咨询电话</w:t>
            </w:r>
          </w:p>
        </w:tc>
        <w:tc>
          <w:tcPr>
            <w:tcW w:w="3989"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704" w:hRule="atLeast"/>
        </w:trPr>
        <w:tc>
          <w:tcPr>
            <w:tcW w:w="585" w:type="dxa"/>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18</w:t>
            </w:r>
          </w:p>
        </w:tc>
        <w:tc>
          <w:tcPr>
            <w:tcW w:w="916"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96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6.4求职创业补贴申领</w:t>
            </w:r>
          </w:p>
        </w:tc>
        <w:tc>
          <w:tcPr>
            <w:tcW w:w="147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2.政策对象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3.补贴标准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9.办理结果告知方式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10.咨询电话</w:t>
            </w:r>
          </w:p>
        </w:tc>
        <w:tc>
          <w:tcPr>
            <w:tcW w:w="398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463" w:hRule="atLeast"/>
        </w:trPr>
        <w:tc>
          <w:tcPr>
            <w:tcW w:w="5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19</w:t>
            </w:r>
          </w:p>
        </w:tc>
        <w:tc>
          <w:tcPr>
            <w:tcW w:w="916"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9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6.5吸纳贫困劳动力就业奖补申领</w:t>
            </w:r>
          </w:p>
        </w:tc>
        <w:tc>
          <w:tcPr>
            <w:tcW w:w="147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2.政策对象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3.奖补标准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9.办理结果告知方式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10.咨询电话</w:t>
            </w:r>
          </w:p>
        </w:tc>
        <w:tc>
          <w:tcPr>
            <w:tcW w:w="398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7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43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21</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7.2就业见习补贴申领</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2.政策对象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3.补贴标准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9.办理结果</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65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22</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7.高校毕业生就业服务</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7.3求职创业补贴申领</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2.政策对象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3.补贴标准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9.办理结果</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544"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23</w:t>
            </w: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7.4高校毕业生社保补贴申领</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2.政策对象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3.补贴标准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4.申请条件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5.申请材料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6.办理流程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7.办理时限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8.办理地点（方式）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9.办理结果</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3049"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24</w:t>
            </w:r>
          </w:p>
        </w:tc>
        <w:tc>
          <w:tcPr>
            <w:tcW w:w="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8.基本公共就业创业政府购买服务</w:t>
            </w:r>
          </w:p>
        </w:tc>
        <w:tc>
          <w:tcPr>
            <w:tcW w:w="9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8.1政府向社会购买基本公共就业创业服务成果</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1.文件依据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2.购买项目</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3.购买内容及评价标准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4.购买主体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5.承接主体条件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6.购买方式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7.提交材料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8.购买流程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9.受理地点（方式）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10.受理结果告知方式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11.咨询电话</w:t>
            </w:r>
          </w:p>
        </w:tc>
        <w:tc>
          <w:tcPr>
            <w:tcW w:w="3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3.《人力资源市场暂行条例》（中华人民共和国国务院令第700号）</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6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□政府公报</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□发布会/听证会</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 xml:space="preserve"> □纸质媒体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 xml:space="preserve">公开查阅点 □政务服务中心                                                                                                                                                                                                  □便民服务站  □入户/现场                                                                                                                                                                                                                                                                                                                                                                                                       </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color w:val="auto"/>
                <w:sz w:val="18"/>
                <w:szCs w:val="18"/>
                <w:highlight w:val="none"/>
              </w:rPr>
              <w:t>□ 精准推送   □其他</w:t>
            </w:r>
            <w:r>
              <w:rPr>
                <w:rFonts w:hint="eastAsia" w:ascii="仿宋_GB2312" w:hAnsi="仿宋_GB2312" w:eastAsia="仿宋_GB2312" w:cs="仿宋_GB2312"/>
                <w:color w:val="auto"/>
                <w:sz w:val="18"/>
                <w:szCs w:val="18"/>
                <w:highlight w:val="none"/>
                <w:u w:val="single"/>
                <w:lang w:val="en-US" w:eastAsia="zh-CN"/>
              </w:rPr>
              <w:t>基层公共服务平台</w:t>
            </w:r>
            <w:r>
              <w:rPr>
                <w:rFonts w:hint="eastAsia" w:ascii="仿宋_GB2312" w:hAnsi="仿宋_GB2312" w:eastAsia="仿宋_GB2312" w:cs="仿宋_GB2312"/>
                <w:i w:val="0"/>
                <w:color w:val="auto"/>
                <w:kern w:val="0"/>
                <w:sz w:val="18"/>
                <w:szCs w:val="18"/>
                <w:highlight w:val="none"/>
                <w:u w:val="none"/>
                <w:lang w:val="en-US" w:eastAsia="zh-CN" w:bidi="ar"/>
              </w:rPr>
              <w:t xml:space="preserve"> </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bl>
    <w:p>
      <w:pPr>
        <w:rPr>
          <w:rFonts w:hint="eastAsia" w:ascii="黑体" w:hAnsi="黑体" w:eastAsia="黑体" w:cs="黑体"/>
          <w:color w:val="auto"/>
          <w:sz w:val="36"/>
          <w:szCs w:val="36"/>
          <w:highlight w:val="none"/>
          <w:lang w:val="en-US" w:eastAsia="zh-CN"/>
        </w:rPr>
      </w:pPr>
    </w:p>
    <w:p>
      <w:pPr>
        <w:rPr>
          <w:rFonts w:hint="eastAsia" w:ascii="黑体" w:hAnsi="黑体" w:eastAsia="黑体" w:cs="黑体"/>
          <w:color w:val="auto"/>
          <w:sz w:val="36"/>
          <w:szCs w:val="36"/>
          <w:highlight w:val="none"/>
          <w:lang w:val="en-US" w:eastAsia="zh-CN"/>
        </w:rPr>
      </w:pPr>
    </w:p>
    <w:p>
      <w:pPr>
        <w:rPr>
          <w:rFonts w:hint="eastAsia" w:ascii="黑体" w:hAnsi="黑体" w:eastAsia="黑体" w:cs="黑体"/>
          <w:color w:val="auto"/>
          <w:sz w:val="36"/>
          <w:szCs w:val="36"/>
          <w:highlight w:val="none"/>
          <w:lang w:val="en-US" w:eastAsia="zh-CN"/>
        </w:rPr>
      </w:pPr>
    </w:p>
    <w:p>
      <w:pPr>
        <w:rPr>
          <w:rFonts w:hint="eastAsia" w:ascii="黑体" w:hAnsi="黑体" w:eastAsia="黑体" w:cs="黑体"/>
          <w:color w:val="auto"/>
          <w:sz w:val="36"/>
          <w:szCs w:val="36"/>
          <w:highlight w:val="none"/>
          <w:lang w:val="en-US" w:eastAsia="zh-CN"/>
        </w:rPr>
      </w:pPr>
    </w:p>
    <w:p>
      <w:pPr>
        <w:rPr>
          <w:rFonts w:hint="eastAsia" w:ascii="黑体" w:hAnsi="黑体" w:eastAsia="黑体" w:cs="黑体"/>
          <w:color w:val="auto"/>
          <w:sz w:val="36"/>
          <w:szCs w:val="36"/>
          <w:highlight w:val="none"/>
          <w:lang w:val="en-US" w:eastAsia="zh-CN"/>
        </w:rPr>
      </w:pPr>
      <w:r>
        <w:rPr>
          <w:rFonts w:hint="eastAsia" w:ascii="黑体" w:hAnsi="黑体" w:eastAsia="黑体" w:cs="黑体"/>
          <w:color w:val="auto"/>
          <w:sz w:val="36"/>
          <w:szCs w:val="36"/>
          <w:highlight w:val="none"/>
          <w:lang w:val="en-US" w:eastAsia="zh-CN"/>
        </w:rPr>
        <w:br w:type="page"/>
      </w:r>
    </w:p>
    <w:p>
      <w:pPr>
        <w:pStyle w:val="2"/>
        <w:spacing w:line="240" w:lineRule="auto"/>
        <w:jc w:val="center"/>
        <w:rPr>
          <w:rFonts w:hint="default" w:ascii="黑体" w:hAnsi="黑体" w:eastAsia="黑体" w:cs="黑体"/>
          <w:b w:val="0"/>
          <w:bCs w:val="0"/>
          <w:color w:val="auto"/>
          <w:sz w:val="36"/>
          <w:szCs w:val="36"/>
          <w:highlight w:val="none"/>
          <w:lang w:val="en-US" w:eastAsia="zh-CN"/>
        </w:rPr>
      </w:pPr>
      <w:bookmarkStart w:id="5" w:name="_Toc24724716"/>
      <w:r>
        <w:rPr>
          <w:rFonts w:hint="eastAsia" w:ascii="黑体" w:hAnsi="黑体" w:eastAsia="黑体" w:cs="黑体"/>
          <w:b w:val="0"/>
          <w:bCs w:val="0"/>
          <w:color w:val="auto"/>
          <w:sz w:val="36"/>
          <w:szCs w:val="36"/>
          <w:highlight w:val="none"/>
          <w:lang w:val="en-US" w:eastAsia="zh-CN"/>
        </w:rPr>
        <w:t>双台子区社会保险领域基层政务公开标准目录</w:t>
      </w:r>
    </w:p>
    <w:tbl>
      <w:tblPr>
        <w:tblStyle w:val="7"/>
        <w:tblW w:w="15190" w:type="dxa"/>
        <w:jc w:val="center"/>
        <w:shd w:val="clear" w:color="auto" w:fill="auto"/>
        <w:tblLayout w:type="autofit"/>
        <w:tblCellMar>
          <w:top w:w="0" w:type="dxa"/>
          <w:left w:w="0" w:type="dxa"/>
          <w:bottom w:w="0" w:type="dxa"/>
          <w:right w:w="0" w:type="dxa"/>
        </w:tblCellMar>
      </w:tblPr>
      <w:tblGrid>
        <w:gridCol w:w="343"/>
        <w:gridCol w:w="774"/>
        <w:gridCol w:w="1009"/>
        <w:gridCol w:w="1571"/>
        <w:gridCol w:w="4538"/>
        <w:gridCol w:w="729"/>
        <w:gridCol w:w="729"/>
        <w:gridCol w:w="2736"/>
        <w:gridCol w:w="465"/>
        <w:gridCol w:w="465"/>
        <w:gridCol w:w="457"/>
        <w:gridCol w:w="458"/>
        <w:gridCol w:w="458"/>
        <w:gridCol w:w="458"/>
      </w:tblGrid>
      <w:tr>
        <w:tblPrEx>
          <w:shd w:val="clear" w:color="auto" w:fill="auto"/>
          <w:tblCellMar>
            <w:top w:w="0" w:type="dxa"/>
            <w:left w:w="0" w:type="dxa"/>
            <w:bottom w:w="0" w:type="dxa"/>
            <w:right w:w="0" w:type="dxa"/>
          </w:tblCellMar>
        </w:tblPrEx>
        <w:trPr>
          <w:trHeight w:val="421" w:hRule="atLeast"/>
          <w:tblHeader/>
          <w:jc w:val="center"/>
        </w:trPr>
        <w:tc>
          <w:tcPr>
            <w:tcW w:w="3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p>
        </w:tc>
        <w:tc>
          <w:tcPr>
            <w:tcW w:w="178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公开事项</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公开内容（要素）</w:t>
            </w:r>
          </w:p>
        </w:tc>
        <w:tc>
          <w:tcPr>
            <w:tcW w:w="4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公开依据</w:t>
            </w:r>
          </w:p>
        </w:tc>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公开时限</w:t>
            </w:r>
          </w:p>
        </w:tc>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公开主体</w:t>
            </w:r>
          </w:p>
        </w:tc>
        <w:tc>
          <w:tcPr>
            <w:tcW w:w="27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公开渠道和载体</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公开对象</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公开方式</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公开层级</w:t>
            </w:r>
          </w:p>
        </w:tc>
      </w:tr>
      <w:tr>
        <w:tblPrEx>
          <w:shd w:val="clear" w:color="auto" w:fill="auto"/>
          <w:tblCellMar>
            <w:top w:w="0" w:type="dxa"/>
            <w:left w:w="0" w:type="dxa"/>
            <w:bottom w:w="0" w:type="dxa"/>
            <w:right w:w="0" w:type="dxa"/>
          </w:tblCellMar>
        </w:tblPrEx>
        <w:trPr>
          <w:trHeight w:val="386" w:hRule="atLeast"/>
          <w:tblHeader/>
          <w:jc w:val="center"/>
        </w:trPr>
        <w:tc>
          <w:tcPr>
            <w:tcW w:w="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bCs/>
                <w:i w:val="0"/>
                <w:color w:val="auto"/>
                <w:sz w:val="18"/>
                <w:szCs w:val="18"/>
                <w:highlight w:val="none"/>
                <w:u w:val="none"/>
              </w:rPr>
            </w:pPr>
          </w:p>
        </w:tc>
        <w:tc>
          <w:tcPr>
            <w:tcW w:w="7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一级事项</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二级事项</w:t>
            </w: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bCs/>
                <w:i w:val="0"/>
                <w:color w:val="auto"/>
                <w:sz w:val="18"/>
                <w:szCs w:val="18"/>
                <w:highlight w:val="none"/>
                <w:u w:val="none"/>
              </w:rPr>
            </w:pPr>
          </w:p>
        </w:tc>
        <w:tc>
          <w:tcPr>
            <w:tcW w:w="4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bCs/>
                <w:i w:val="0"/>
                <w:color w:val="auto"/>
                <w:sz w:val="18"/>
                <w:szCs w:val="18"/>
                <w:highlight w:val="none"/>
                <w:u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bCs/>
                <w:i w:val="0"/>
                <w:color w:val="auto"/>
                <w:sz w:val="18"/>
                <w:szCs w:val="18"/>
                <w:highlight w:val="none"/>
                <w:u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bCs/>
                <w:i w:val="0"/>
                <w:color w:val="auto"/>
                <w:sz w:val="18"/>
                <w:szCs w:val="18"/>
                <w:highlight w:val="none"/>
                <w:u w:val="none"/>
              </w:rPr>
            </w:pPr>
          </w:p>
        </w:tc>
        <w:tc>
          <w:tcPr>
            <w:tcW w:w="27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b/>
                <w:bCs/>
                <w:i w:val="0"/>
                <w:color w:val="auto"/>
                <w:sz w:val="18"/>
                <w:szCs w:val="18"/>
                <w:highlight w:val="none"/>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特定群体</w:t>
            </w: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主动</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依申请</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县级</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sz w:val="18"/>
                <w:szCs w:val="18"/>
                <w:highlight w:val="none"/>
                <w:u w:val="none"/>
              </w:rPr>
            </w:pPr>
            <w:r>
              <w:rPr>
                <w:rFonts w:hint="eastAsia" w:ascii="仿宋_GB2312" w:hAnsi="仿宋_GB2312" w:eastAsia="仿宋_GB2312" w:cs="仿宋_GB2312"/>
                <w:b/>
                <w:bCs/>
                <w:i w:val="0"/>
                <w:color w:val="auto"/>
                <w:kern w:val="0"/>
                <w:sz w:val="18"/>
                <w:szCs w:val="18"/>
                <w:highlight w:val="none"/>
                <w:u w:val="none"/>
                <w:lang w:val="en-US" w:eastAsia="zh-CN" w:bidi="ar"/>
              </w:rPr>
              <w:t>乡级</w:t>
            </w:r>
          </w:p>
        </w:tc>
      </w:tr>
      <w:tr>
        <w:tblPrEx>
          <w:shd w:val="clear" w:color="auto" w:fill="auto"/>
          <w:tblCellMar>
            <w:top w:w="0" w:type="dxa"/>
            <w:left w:w="0" w:type="dxa"/>
            <w:bottom w:w="0" w:type="dxa"/>
            <w:right w:w="0" w:type="dxa"/>
          </w:tblCellMar>
        </w:tblPrEx>
        <w:trPr>
          <w:trHeight w:val="1935" w:hRule="atLeast"/>
          <w:jc w:val="center"/>
        </w:trPr>
        <w:tc>
          <w:tcPr>
            <w:tcW w:w="343"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w:t>
            </w:r>
          </w:p>
        </w:tc>
        <w:tc>
          <w:tcPr>
            <w:tcW w:w="774"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1.社会保险登记</w:t>
            </w:r>
          </w:p>
        </w:tc>
        <w:tc>
          <w:tcPr>
            <w:tcW w:w="1009"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1.1机关事业单位社会保险登记</w:t>
            </w:r>
          </w:p>
        </w:tc>
        <w:tc>
          <w:tcPr>
            <w:tcW w:w="15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3.《国务院关于机关事业单位工作人员养老保险制度改革的决定》（国发﹝2015﹞2号）</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184" w:hRule="atLeast"/>
          <w:jc w:val="center"/>
        </w:trPr>
        <w:tc>
          <w:tcPr>
            <w:tcW w:w="343" w:type="dxa"/>
            <w:tcBorders>
              <w:top w:val="single" w:color="auto" w:sz="4" w:space="0"/>
              <w:left w:val="single" w:color="auto"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w:t>
            </w:r>
          </w:p>
        </w:tc>
        <w:tc>
          <w:tcPr>
            <w:tcW w:w="7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1.2工程建设项目办理工伤保险参保登记</w:t>
            </w:r>
          </w:p>
        </w:tc>
        <w:tc>
          <w:tcPr>
            <w:tcW w:w="157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区行政审批局</w:t>
            </w:r>
          </w:p>
        </w:tc>
        <w:tc>
          <w:tcPr>
            <w:tcW w:w="273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806" w:hRule="atLeast"/>
          <w:jc w:val="center"/>
        </w:trPr>
        <w:tc>
          <w:tcPr>
            <w:tcW w:w="3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w:t>
            </w:r>
          </w:p>
        </w:tc>
        <w:tc>
          <w:tcPr>
            <w:tcW w:w="77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1.3参保单位注销</w:t>
            </w:r>
          </w:p>
        </w:tc>
        <w:tc>
          <w:tcPr>
            <w:tcW w:w="1571"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066" w:hRule="atLeast"/>
          <w:jc w:val="center"/>
        </w:trPr>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w:t>
            </w:r>
          </w:p>
        </w:tc>
        <w:tc>
          <w:tcPr>
            <w:tcW w:w="77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1.社会保险登记</w:t>
            </w:r>
          </w:p>
        </w:tc>
        <w:tc>
          <w:tcPr>
            <w:tcW w:w="10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1.4职工参保登记</w:t>
            </w:r>
          </w:p>
        </w:tc>
        <w:tc>
          <w:tcPr>
            <w:tcW w:w="15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090" w:hRule="atLeast"/>
          <w:jc w:val="center"/>
        </w:trPr>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w:t>
            </w:r>
          </w:p>
        </w:tc>
        <w:tc>
          <w:tcPr>
            <w:tcW w:w="77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1.5城乡居民养老保险参保登记</w:t>
            </w:r>
          </w:p>
        </w:tc>
        <w:tc>
          <w:tcPr>
            <w:tcW w:w="15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047" w:hRule="atLeast"/>
          <w:jc w:val="center"/>
        </w:trPr>
        <w:tc>
          <w:tcPr>
            <w:tcW w:w="343"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w:t>
            </w:r>
          </w:p>
        </w:tc>
        <w:tc>
          <w:tcPr>
            <w:tcW w:w="7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2.社会保险参保信息维护</w:t>
            </w:r>
          </w:p>
        </w:tc>
        <w:tc>
          <w:tcPr>
            <w:tcW w:w="100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2.1单位（项目）基本信息变更</w:t>
            </w:r>
          </w:p>
        </w:tc>
        <w:tc>
          <w:tcPr>
            <w:tcW w:w="15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841" w:hRule="atLeast"/>
          <w:jc w:val="center"/>
        </w:trPr>
        <w:tc>
          <w:tcPr>
            <w:tcW w:w="343"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w:t>
            </w:r>
          </w:p>
        </w:tc>
        <w:tc>
          <w:tcPr>
            <w:tcW w:w="774" w:type="dxa"/>
            <w:vMerge w:val="restar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2.社会保险参保信息维护</w:t>
            </w:r>
          </w:p>
        </w:tc>
        <w:tc>
          <w:tcPr>
            <w:tcW w:w="1009"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2.2个人基本信息变更</w:t>
            </w:r>
          </w:p>
        </w:tc>
        <w:tc>
          <w:tcPr>
            <w:tcW w:w="15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960" w:hRule="atLeast"/>
          <w:jc w:val="center"/>
        </w:trPr>
        <w:tc>
          <w:tcPr>
            <w:tcW w:w="343"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w:t>
            </w:r>
          </w:p>
        </w:tc>
        <w:tc>
          <w:tcPr>
            <w:tcW w:w="774"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2.3养老保险待遇发放账户维护申请</w:t>
            </w:r>
          </w:p>
        </w:tc>
        <w:tc>
          <w:tcPr>
            <w:tcW w:w="15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59" w:hRule="atLeast"/>
          <w:jc w:val="center"/>
        </w:trPr>
        <w:tc>
          <w:tcPr>
            <w:tcW w:w="343"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w:t>
            </w:r>
          </w:p>
        </w:tc>
        <w:tc>
          <w:tcPr>
            <w:tcW w:w="774" w:type="dxa"/>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2.4工伤保险待遇发放账户维护申请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541" w:hRule="atLeast"/>
          <w:jc w:val="center"/>
        </w:trPr>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w:t>
            </w:r>
          </w:p>
        </w:tc>
        <w:tc>
          <w:tcPr>
            <w:tcW w:w="77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2.社会保险参保信息维护</w:t>
            </w:r>
          </w:p>
        </w:tc>
        <w:tc>
          <w:tcPr>
            <w:tcW w:w="10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2.5失业保险待遇发放账户维护申请</w:t>
            </w:r>
          </w:p>
        </w:tc>
        <w:tc>
          <w:tcPr>
            <w:tcW w:w="15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89" w:hRule="atLeast"/>
          <w:jc w:val="center"/>
        </w:trPr>
        <w:tc>
          <w:tcPr>
            <w:tcW w:w="343"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p>
        </w:tc>
        <w:tc>
          <w:tcPr>
            <w:tcW w:w="774"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3.社会保险缴费申报</w:t>
            </w:r>
          </w:p>
        </w:tc>
        <w:tc>
          <w:tcPr>
            <w:tcW w:w="100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3.1缴费人员增减申报</w:t>
            </w:r>
          </w:p>
        </w:tc>
        <w:tc>
          <w:tcPr>
            <w:tcW w:w="15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563" w:hRule="atLeast"/>
          <w:jc w:val="center"/>
        </w:trPr>
        <w:tc>
          <w:tcPr>
            <w:tcW w:w="34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12</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3.2社会保险缴费申报与变更</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393" w:hRule="atLeast"/>
          <w:jc w:val="center"/>
        </w:trPr>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13</w:t>
            </w:r>
          </w:p>
        </w:tc>
        <w:tc>
          <w:tcPr>
            <w:tcW w:w="774" w:type="dxa"/>
            <w:vMerge w:val="restar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3.社会保险缴费申报</w:t>
            </w:r>
          </w:p>
        </w:tc>
        <w:tc>
          <w:tcPr>
            <w:tcW w:w="10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3.3社会保险费延缴申请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390" w:hRule="atLeast"/>
          <w:jc w:val="center"/>
        </w:trPr>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14</w:t>
            </w:r>
          </w:p>
        </w:tc>
        <w:tc>
          <w:tcPr>
            <w:tcW w:w="774"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3.4社会保险费欠费补缴申报</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376"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15</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4.社会保险参保缴费记录查询</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4.1单位参保证明查询打印</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879" w:hRule="atLeast"/>
          <w:jc w:val="center"/>
        </w:trPr>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16</w:t>
            </w:r>
          </w:p>
        </w:tc>
        <w:tc>
          <w:tcPr>
            <w:tcW w:w="77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4.社会保险参保缴费记录查询</w:t>
            </w:r>
          </w:p>
        </w:tc>
        <w:tc>
          <w:tcPr>
            <w:tcW w:w="10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4.2个人权益记录查询打印</w:t>
            </w:r>
          </w:p>
        </w:tc>
        <w:tc>
          <w:tcPr>
            <w:tcW w:w="15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3.《社会保险费征缴暂行条例》（中华人民共和国国务院令710号）</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806" w:hRule="atLeast"/>
          <w:jc w:val="center"/>
        </w:trPr>
        <w:tc>
          <w:tcPr>
            <w:tcW w:w="343"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17</w:t>
            </w:r>
          </w:p>
        </w:tc>
        <w:tc>
          <w:tcPr>
            <w:tcW w:w="774"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5.养老保险服务</w:t>
            </w:r>
          </w:p>
        </w:tc>
        <w:tc>
          <w:tcPr>
            <w:tcW w:w="100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5.1职工正常退休(职)申请</w:t>
            </w:r>
          </w:p>
        </w:tc>
        <w:tc>
          <w:tcPr>
            <w:tcW w:w="15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544" w:hRule="atLeast"/>
          <w:jc w:val="center"/>
        </w:trPr>
        <w:tc>
          <w:tcPr>
            <w:tcW w:w="34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18</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5.2城乡居民养老保险待遇申领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986" w:hRule="atLeast"/>
          <w:jc w:val="center"/>
        </w:trPr>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19</w:t>
            </w:r>
          </w:p>
        </w:tc>
        <w:tc>
          <w:tcPr>
            <w:tcW w:w="774" w:type="dxa"/>
            <w:vMerge w:val="restart"/>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5.养老保险服务</w:t>
            </w:r>
          </w:p>
        </w:tc>
        <w:tc>
          <w:tcPr>
            <w:tcW w:w="10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5.3暂停养老保险待遇申请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314" w:hRule="atLeast"/>
          <w:jc w:val="center"/>
        </w:trPr>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20</w:t>
            </w:r>
          </w:p>
        </w:tc>
        <w:tc>
          <w:tcPr>
            <w:tcW w:w="774"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5.4恢复养老保险待遇申请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383"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21</w:t>
            </w:r>
          </w:p>
        </w:tc>
        <w:tc>
          <w:tcPr>
            <w:tcW w:w="774"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5.5个人账户一次性待遇申领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899"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22</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5.养老保险服务</w:t>
            </w:r>
          </w:p>
        </w:tc>
        <w:tc>
          <w:tcPr>
            <w:tcW w:w="10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5.6丧葬补助金、抚恤金申领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206"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23</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5.7居民养老保险注销登记</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200"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24</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5.8遗属待遇申领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77"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25</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5.养老保险服务</w:t>
            </w:r>
          </w:p>
        </w:tc>
        <w:tc>
          <w:tcPr>
            <w:tcW w:w="10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5.9病残津贴申领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804"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26</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5.10城镇职工基本养老保险关系转移接续申请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1.《中华人民共和国政府信息公开条例》（中华人民共和国国务院令第711号）</w:t>
            </w:r>
            <w:r>
              <w:rPr>
                <w:rStyle w:val="12"/>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Style w:val="12"/>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3.《国务院办公厅关于转发人力资源社会保障部财政部城镇企业职工基本养老保险关系转移接续暂行办法的通知》（国办发﹝2009﹞66号）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371"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27</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5.11机关事业单位养老保险关系转移接续申请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3.《人力资源社会保障部财政部关于机关事业单位基本养老保险关系和职业年金转移接续有关问题的通知》（人社部规﹝2017﹞1号）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225"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28</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5.养老保险服务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5.12城乡居民基本养老保险关系转移接续申请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216"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29</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5.13机关事业单位基本养老保险与城镇企业职工基本养老保险互转申请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3.《人力资源社会保障部财政部关于机关事业单位基本养老保险关系和职业年金转移接续有关问题的通知》（人社部规﹝2017﹞1号）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652"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30</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5.14城镇职工基本养老保险与城乡居民基本养老保险制度衔接申请  </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1.《中华人民共和国政府信息公开条例》（中华人民共和国国务院令第711号）</w:t>
            </w:r>
            <w:r>
              <w:rPr>
                <w:rStyle w:val="12"/>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Style w:val="12"/>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3.《人力资源社会保障部财政部关于印发＜城乡养老保险制度衔接暂行办法＞的通知》（人社部发﹝2014﹞17号）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474"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31</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5.养老保险服务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5.15军地养老保险关系转移接续申请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1.《中华人民共和国政府信息公开条例》（中华人民共和国国务院令第711号）</w:t>
            </w:r>
            <w:r>
              <w:rPr>
                <w:rStyle w:val="12"/>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Style w:val="12"/>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3.《人力资源社会保障部财政部总参谋部总政治部总后勤部关于军人退役基本养老保险关系转移接续有关问题的通知》（后财﹝2015﹞1726号）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39"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32</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5.16多重养老保险关系个人账户退费</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Style w:val="12"/>
                <w:rFonts w:hint="eastAsia" w:ascii="仿宋_GB2312" w:hAnsi="仿宋_GB2312" w:eastAsia="仿宋_GB2312" w:cs="仿宋_GB2312"/>
                <w:color w:val="auto"/>
                <w:sz w:val="18"/>
                <w:szCs w:val="18"/>
                <w:highlight w:val="none"/>
                <w:lang w:val="en-US" w:eastAsia="zh-CN" w:bidi="ar"/>
              </w:rPr>
              <w:t>1.《中华人民共和国政府信息公开条例》（中华人民共和国国务院令第711号）</w:t>
            </w:r>
            <w:r>
              <w:rPr>
                <w:rStyle w:val="12"/>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Style w:val="12"/>
                <w:rFonts w:hint="eastAsia" w:ascii="仿宋_GB2312" w:hAnsi="仿宋_GB2312" w:eastAsia="仿宋_GB2312" w:cs="仿宋_GB2312"/>
                <w:color w:val="auto"/>
                <w:sz w:val="18"/>
                <w:szCs w:val="18"/>
                <w:highlight w:val="none"/>
                <w:lang w:val="en-US" w:eastAsia="zh-CN" w:bidi="ar"/>
              </w:rPr>
              <w:br w:type="textWrapping"/>
            </w:r>
            <w:r>
              <w:rPr>
                <w:rStyle w:val="12"/>
                <w:rFonts w:hint="eastAsia" w:ascii="仿宋_GB2312" w:hAnsi="仿宋_GB2312" w:eastAsia="仿宋_GB2312" w:cs="仿宋_GB2312"/>
                <w:color w:val="auto"/>
                <w:sz w:val="18"/>
                <w:szCs w:val="18"/>
                <w:highlight w:val="none"/>
                <w:lang w:val="en-US" w:eastAsia="zh-CN" w:bidi="ar"/>
              </w:rPr>
              <w:t>3.《人力资源和社会保障部＜关于贯彻落实国务院办公厅转发城镇企业职工基本养老保险关系转移接续暂行办法的通知》（人社部发﹝2009﹞187号）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25"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33</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6.工伤保险服务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6.1工伤事故备案</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720" w:hRule="atLeast"/>
          <w:jc w:val="center"/>
        </w:trPr>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34</w:t>
            </w:r>
          </w:p>
        </w:tc>
        <w:tc>
          <w:tcPr>
            <w:tcW w:w="774"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6.工伤保险服务</w:t>
            </w:r>
          </w:p>
        </w:tc>
        <w:tc>
          <w:tcPr>
            <w:tcW w:w="10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6.2用人单位办理工伤登记</w:t>
            </w:r>
          </w:p>
        </w:tc>
        <w:tc>
          <w:tcPr>
            <w:tcW w:w="15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020" w:hRule="atLeast"/>
          <w:jc w:val="center"/>
        </w:trPr>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35</w:t>
            </w:r>
          </w:p>
        </w:tc>
        <w:tc>
          <w:tcPr>
            <w:tcW w:w="7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6.3变更工伤登记</w:t>
            </w:r>
          </w:p>
        </w:tc>
        <w:tc>
          <w:tcPr>
            <w:tcW w:w="15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867" w:hRule="atLeast"/>
          <w:jc w:val="center"/>
        </w:trPr>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36</w:t>
            </w:r>
          </w:p>
        </w:tc>
        <w:tc>
          <w:tcPr>
            <w:tcW w:w="7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6.4异地居住就医申请确认</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739"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37</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6.工伤保险服务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6.5异地工伤就医报告</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1.事项名称             2.事项简述             3.办理材料             4.办理方式             5.办理时限             6.结果送达             7.收费依据及标准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 xml:space="preserve">8.办事时间             9.办理机构及地点        </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886"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38</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6.6旧伤复发申请确认</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3055"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39</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6.7转诊转院申请确认</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821"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40</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6.工伤保险服务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6.8工伤康复申请确认</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40"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41</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6.9工伤康复治疗期延长申请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088"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42</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6.10辅助器具配置或更换申请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539" w:hRule="atLeast"/>
          <w:jc w:val="center"/>
        </w:trPr>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43</w:t>
            </w:r>
          </w:p>
        </w:tc>
        <w:tc>
          <w:tcPr>
            <w:tcW w:w="77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6.工伤保险服务</w:t>
            </w:r>
          </w:p>
        </w:tc>
        <w:tc>
          <w:tcPr>
            <w:tcW w:w="10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6.11辅助器具异地配置申请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08" w:hRule="atLeast"/>
          <w:jc w:val="center"/>
        </w:trPr>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44</w:t>
            </w:r>
          </w:p>
        </w:tc>
        <w:tc>
          <w:tcPr>
            <w:tcW w:w="774"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6.工伤保险服务</w:t>
            </w:r>
          </w:p>
        </w:tc>
        <w:tc>
          <w:tcPr>
            <w:tcW w:w="10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6.12住院伙食补助费申领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106"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45</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6.13统筹地区以外交通、食宿费申领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661" w:hRule="atLeast"/>
          <w:jc w:val="center"/>
        </w:trPr>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46</w:t>
            </w:r>
          </w:p>
        </w:tc>
        <w:tc>
          <w:tcPr>
            <w:tcW w:w="774"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6.14一次性工伤医疗补助金申请</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367" w:hRule="atLeast"/>
          <w:jc w:val="center"/>
        </w:trPr>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47</w:t>
            </w:r>
          </w:p>
        </w:tc>
        <w:tc>
          <w:tcPr>
            <w:tcW w:w="7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6.15伤残待遇申领（一次性伤残补助金、伤残津贴和生活护理费）</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740" w:hRule="atLeast"/>
          <w:jc w:val="center"/>
        </w:trPr>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48</w:t>
            </w:r>
          </w:p>
        </w:tc>
        <w:tc>
          <w:tcPr>
            <w:tcW w:w="774"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6.16一次性工亡补助金（含生活困难，预支50%确认）、丧葬补助金申领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797"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49</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6.工伤保险服务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6.17供养亲属抚恤金申领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08"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50</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6.18工伤保险待遇变更</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3.《工伤保险条例》（中华人民共和国国务院令第586号）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盘锦市社会保障中心双台子分中心</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913"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51</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7.失业保险服务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7.1失业保险金申领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43"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52</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7.失业保险服务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7.2丧葬补助金和抚恤金申领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0"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53</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7.3职业培训补贴申领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708"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54</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7.4职业介绍补贴申领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106"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55</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7.失业保险服务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7.5农民合同制工人一次性生活补助申领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815"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56</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7.6代缴基本医疗保险费</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670"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57</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7.7价格临时补贴申领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702"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58</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7.失业保险服务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7.8失业保险关系转移接续</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10"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59</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7.9稳岗补贴申领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319"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60</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7.10技能提升补贴申领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950"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61</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7.失业保险服务</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7.11东部7省（市）扩大支出试点项目</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3.《失业保险条例》（中华人民共和国国务院令第258号）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3019"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62</w:t>
            </w:r>
          </w:p>
        </w:tc>
        <w:tc>
          <w:tcPr>
            <w:tcW w:w="7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8.企业年金方案备案</w:t>
            </w: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8.1企业年金方案备案</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3.《企业年金办法》（中华人民共和国人力资源和社会保障部、财政部令第36号）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900" w:hRule="atLeast"/>
          <w:jc w:val="center"/>
        </w:trPr>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63</w:t>
            </w:r>
          </w:p>
        </w:tc>
        <w:tc>
          <w:tcPr>
            <w:tcW w:w="7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8.2企业年金方案重要条款变更备案</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3.《企业年金办法》（中华人民共和国人力资源和社会保障部、财政部令第36号）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0" w:hRule="atLeast"/>
          <w:jc w:val="center"/>
        </w:trPr>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64</w:t>
            </w:r>
          </w:p>
        </w:tc>
        <w:tc>
          <w:tcPr>
            <w:tcW w:w="77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8.企业年金方案备案</w:t>
            </w:r>
          </w:p>
        </w:tc>
        <w:tc>
          <w:tcPr>
            <w:tcW w:w="10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8.3企业年金方案终止备案</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3.《企业年金办法》（中华人民共和国人力资源和社会保障部、财政部令第36号）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1475" w:hRule="atLeast"/>
          <w:jc w:val="center"/>
        </w:trPr>
        <w:tc>
          <w:tcPr>
            <w:tcW w:w="343"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65</w:t>
            </w:r>
          </w:p>
        </w:tc>
        <w:tc>
          <w:tcPr>
            <w:tcW w:w="774"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9.社会保障卡服务</w:t>
            </w:r>
          </w:p>
        </w:tc>
        <w:tc>
          <w:tcPr>
            <w:tcW w:w="100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9.1社会保障卡申领</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3.《人力资源和社会保障部关于印发“中华人民共和国社会保障卡”管理办法的通知》（人社部发[2011]47号）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948" w:hRule="atLeast"/>
          <w:jc w:val="center"/>
        </w:trPr>
        <w:tc>
          <w:tcPr>
            <w:tcW w:w="343"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66</w:t>
            </w:r>
          </w:p>
        </w:tc>
        <w:tc>
          <w:tcPr>
            <w:tcW w:w="774"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0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9.2社会保障卡启用（含社会保障卡银行账户激活）</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3.《人力资源和社会保障部关于印发“中华人民共和国社会保障卡”管理办法的通知》（人社部发[2011]47号）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903" w:hRule="atLeast"/>
          <w:jc w:val="center"/>
        </w:trPr>
        <w:tc>
          <w:tcPr>
            <w:tcW w:w="343"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67</w:t>
            </w:r>
          </w:p>
        </w:tc>
        <w:tc>
          <w:tcPr>
            <w:tcW w:w="7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9.社会保障卡服务</w:t>
            </w:r>
          </w:p>
        </w:tc>
        <w:tc>
          <w:tcPr>
            <w:tcW w:w="1009"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9.3社会保障卡应用状态查询</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3.《人力资源和社会保障部关于印发“中华人民共和国社会保障卡”管理办法的通知》（人社部发[2011]47号）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2748" w:hRule="atLeast"/>
          <w:jc w:val="center"/>
        </w:trPr>
        <w:tc>
          <w:tcPr>
            <w:tcW w:w="343"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68</w:t>
            </w:r>
          </w:p>
        </w:tc>
        <w:tc>
          <w:tcPr>
            <w:tcW w:w="7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9.4社会保障卡信息变更（非关键信息）</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3.《人力资源和社会保障部关于印发“中华人民共和国社会保障卡”管理办法的通知》（人社部发[2011]47号）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3150" w:hRule="atLeast"/>
          <w:jc w:val="center"/>
        </w:trPr>
        <w:tc>
          <w:tcPr>
            <w:tcW w:w="343" w:type="dxa"/>
            <w:tcBorders>
              <w:top w:val="single" w:color="auto"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69</w:t>
            </w:r>
          </w:p>
        </w:tc>
        <w:tc>
          <w:tcPr>
            <w:tcW w:w="7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9.5社会保障卡密码修改与重置</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3.《人力资源和社会保障部关于印发“中华人民共和国社会保障卡”管理办法的通知》（人社部发[2011]47号）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0" w:hRule="atLeast"/>
          <w:jc w:val="center"/>
        </w:trPr>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70</w:t>
            </w:r>
          </w:p>
        </w:tc>
        <w:tc>
          <w:tcPr>
            <w:tcW w:w="7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9.社会保障卡服务</w:t>
            </w:r>
          </w:p>
        </w:tc>
        <w:tc>
          <w:tcPr>
            <w:tcW w:w="10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9.6社会保障卡挂失与解挂</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3.《人力资源和社会保障部关于印发“中华人民共和国社会保障卡”管理办法的通知》（人社部发[2011]47号）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0" w:hRule="atLeast"/>
          <w:jc w:val="center"/>
        </w:trPr>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71</w:t>
            </w:r>
          </w:p>
        </w:tc>
        <w:tc>
          <w:tcPr>
            <w:tcW w:w="7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9.7社会保障卡补换、换领、换发</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3.《人力资源和社会保障部关于印发“中华人民共和国社会保障卡”管理办法的通知》（人社部发[2011]47号）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shd w:val="clear" w:color="auto" w:fill="auto"/>
          <w:tblCellMar>
            <w:top w:w="0" w:type="dxa"/>
            <w:left w:w="0" w:type="dxa"/>
            <w:bottom w:w="0" w:type="dxa"/>
            <w:right w:w="0" w:type="dxa"/>
          </w:tblCellMar>
        </w:tblPrEx>
        <w:trPr>
          <w:trHeight w:val="90" w:hRule="atLeast"/>
          <w:jc w:val="center"/>
        </w:trPr>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18"/>
                <w:szCs w:val="18"/>
                <w:highlight w:val="none"/>
                <w:u w:val="none"/>
                <w:lang w:val="en-US"/>
              </w:rPr>
            </w:pPr>
            <w:r>
              <w:rPr>
                <w:rFonts w:hint="eastAsia" w:ascii="仿宋_GB2312" w:hAnsi="仿宋_GB2312" w:eastAsia="仿宋_GB2312" w:cs="仿宋_GB2312"/>
                <w:i w:val="0"/>
                <w:color w:val="auto"/>
                <w:kern w:val="0"/>
                <w:sz w:val="18"/>
                <w:szCs w:val="18"/>
                <w:highlight w:val="none"/>
                <w:u w:val="none"/>
                <w:lang w:val="en-US" w:eastAsia="zh-CN" w:bidi="ar"/>
              </w:rPr>
              <w:t>72</w:t>
            </w:r>
          </w:p>
        </w:tc>
        <w:tc>
          <w:tcPr>
            <w:tcW w:w="774"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9.8社会保障卡注销</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1.事项名称             2.事项简述             3.办理材料             4.办理方式             5.办理时限             6.结果送达             7.收费依据及标准        8.办事时间             9.办理机构及地点        10.咨询查询途径       11.监督投诉渠道</w:t>
            </w:r>
          </w:p>
        </w:tc>
        <w:tc>
          <w:tcPr>
            <w:tcW w:w="4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1.《中华人民共和国政府信息公开条例》（中华人民共和国国务院令第711号）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3.《人力资源和社会保障部关于印发“中华人民共和国社会保障卡”管理办法的通知》（人社部发[2011]47号）</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公开事项信息形成或变更之日起20个工作日内公开</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区人力资源和社会保障局</w:t>
            </w:r>
          </w:p>
        </w:tc>
        <w:tc>
          <w:tcPr>
            <w:tcW w:w="27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 基层公共服务平台</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bl>
    <w:p>
      <w:pP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备注：国家目录中第6大项工伤保险服务中6.4、6.5、6.6、6.15、6.16、6.20归属于盘锦市负责。</w:t>
      </w:r>
    </w:p>
    <w:p>
      <w:pPr>
        <w:rPr>
          <w:rFonts w:hint="eastAsia"/>
          <w:color w:val="auto"/>
          <w:highlight w:val="none"/>
        </w:rPr>
      </w:pPr>
      <w:r>
        <w:rPr>
          <w:rFonts w:hint="eastAsia"/>
          <w:color w:val="auto"/>
          <w:highlight w:val="none"/>
        </w:rPr>
        <w:br w:type="page"/>
      </w:r>
    </w:p>
    <w:p>
      <w:pPr>
        <w:pStyle w:val="2"/>
        <w:spacing w:line="240" w:lineRule="auto"/>
        <w:jc w:val="center"/>
        <w:rPr>
          <w:rFonts w:hint="eastAsia" w:ascii="黑体" w:hAnsi="黑体" w:eastAsia="黑体" w:cs="黑体"/>
          <w:b w:val="0"/>
          <w:bCs w:val="0"/>
          <w:color w:val="auto"/>
          <w:sz w:val="36"/>
          <w:szCs w:val="36"/>
          <w:highlight w:val="none"/>
          <w:lang w:val="en-US" w:eastAsia="zh-CN"/>
        </w:rPr>
      </w:pPr>
      <w:r>
        <w:rPr>
          <w:rFonts w:hint="eastAsia" w:ascii="黑体" w:hAnsi="黑体" w:eastAsia="黑体" w:cs="黑体"/>
          <w:b w:val="0"/>
          <w:bCs w:val="0"/>
          <w:color w:val="auto"/>
          <w:sz w:val="36"/>
          <w:szCs w:val="36"/>
          <w:highlight w:val="none"/>
          <w:lang w:val="en-US" w:eastAsia="zh-CN"/>
        </w:rPr>
        <w:t>双台子区城乡规划领域基层政务公开标准目录</w:t>
      </w:r>
    </w:p>
    <w:tbl>
      <w:tblPr>
        <w:tblStyle w:val="7"/>
        <w:tblW w:w="14555" w:type="dxa"/>
        <w:jc w:val="center"/>
        <w:shd w:val="clear" w:color="auto" w:fill="auto"/>
        <w:tblLayout w:type="fixed"/>
        <w:tblCellMar>
          <w:top w:w="0" w:type="dxa"/>
          <w:left w:w="0" w:type="dxa"/>
          <w:bottom w:w="0" w:type="dxa"/>
          <w:right w:w="0" w:type="dxa"/>
        </w:tblCellMar>
      </w:tblPr>
      <w:tblGrid>
        <w:gridCol w:w="519"/>
        <w:gridCol w:w="594"/>
        <w:gridCol w:w="845"/>
        <w:gridCol w:w="1639"/>
        <w:gridCol w:w="1760"/>
        <w:gridCol w:w="1066"/>
        <w:gridCol w:w="893"/>
        <w:gridCol w:w="2872"/>
        <w:gridCol w:w="690"/>
        <w:gridCol w:w="797"/>
        <w:gridCol w:w="720"/>
        <w:gridCol w:w="720"/>
        <w:gridCol w:w="809"/>
        <w:gridCol w:w="631"/>
      </w:tblGrid>
      <w:tr>
        <w:tblPrEx>
          <w:shd w:val="clear" w:color="auto" w:fill="auto"/>
          <w:tblCellMar>
            <w:top w:w="0" w:type="dxa"/>
            <w:left w:w="0" w:type="dxa"/>
            <w:bottom w:w="0" w:type="dxa"/>
            <w:right w:w="0" w:type="dxa"/>
          </w:tblCellMar>
        </w:tblPrEx>
        <w:trPr>
          <w:trHeight w:val="330" w:hRule="atLeast"/>
          <w:tblHeader/>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序号</w:t>
            </w:r>
          </w:p>
        </w:tc>
        <w:tc>
          <w:tcPr>
            <w:tcW w:w="143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公开事项</w:t>
            </w:r>
          </w:p>
        </w:tc>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公开内容</w:t>
            </w:r>
            <w:r>
              <w:rPr>
                <w:rFonts w:hint="eastAsia" w:ascii="仿宋_GB2312" w:hAnsi="仿宋_GB2312" w:eastAsia="仿宋_GB2312" w:cs="仿宋_GB2312"/>
                <w:b/>
                <w:i w:val="0"/>
                <w:color w:val="auto"/>
                <w:kern w:val="0"/>
                <w:sz w:val="18"/>
                <w:szCs w:val="18"/>
                <w:highlight w:val="none"/>
                <w:u w:val="none"/>
                <w:lang w:val="en-US" w:eastAsia="zh-CN" w:bidi="ar"/>
              </w:rPr>
              <w:br w:type="textWrapping"/>
            </w:r>
            <w:r>
              <w:rPr>
                <w:rFonts w:hint="eastAsia" w:ascii="仿宋_GB2312" w:hAnsi="仿宋_GB2312" w:eastAsia="仿宋_GB2312" w:cs="仿宋_GB2312"/>
                <w:b/>
                <w:i w:val="0"/>
                <w:color w:val="auto"/>
                <w:kern w:val="0"/>
                <w:sz w:val="18"/>
                <w:szCs w:val="18"/>
                <w:highlight w:val="none"/>
                <w:u w:val="none"/>
                <w:lang w:val="en-US" w:eastAsia="zh-CN" w:bidi="ar"/>
              </w:rPr>
              <w:t>（要素）</w:t>
            </w:r>
          </w:p>
        </w:tc>
        <w:tc>
          <w:tcPr>
            <w:tcW w:w="1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公开依据</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公开时限</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公开主体</w:t>
            </w:r>
          </w:p>
        </w:tc>
        <w:tc>
          <w:tcPr>
            <w:tcW w:w="28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300"/>
              <w:jc w:val="left"/>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公开渠道和载体</w:t>
            </w:r>
          </w:p>
        </w:tc>
        <w:tc>
          <w:tcPr>
            <w:tcW w:w="14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公开对象</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公开方式</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公开层级</w:t>
            </w:r>
          </w:p>
        </w:tc>
      </w:tr>
      <w:tr>
        <w:tblPrEx>
          <w:tblCellMar>
            <w:top w:w="0" w:type="dxa"/>
            <w:left w:w="0" w:type="dxa"/>
            <w:bottom w:w="0" w:type="dxa"/>
            <w:right w:w="0" w:type="dxa"/>
          </w:tblCellMar>
        </w:tblPrEx>
        <w:trPr>
          <w:trHeight w:val="494" w:hRule="atLeast"/>
          <w:tblHeader/>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b/>
                <w:i w:val="0"/>
                <w:color w:val="auto"/>
                <w:sz w:val="18"/>
                <w:szCs w:val="18"/>
                <w:highlight w:val="none"/>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一级</w:t>
            </w:r>
            <w:r>
              <w:rPr>
                <w:rFonts w:hint="eastAsia" w:ascii="仿宋_GB2312" w:hAnsi="仿宋_GB2312" w:eastAsia="仿宋_GB2312" w:cs="仿宋_GB2312"/>
                <w:b/>
                <w:i w:val="0"/>
                <w:color w:val="auto"/>
                <w:kern w:val="0"/>
                <w:sz w:val="18"/>
                <w:szCs w:val="18"/>
                <w:highlight w:val="none"/>
                <w:u w:val="none"/>
                <w:lang w:val="en-US" w:eastAsia="zh-CN" w:bidi="ar"/>
              </w:rPr>
              <w:br w:type="textWrapping"/>
            </w:r>
            <w:r>
              <w:rPr>
                <w:rFonts w:hint="eastAsia" w:ascii="仿宋_GB2312" w:hAnsi="仿宋_GB2312" w:eastAsia="仿宋_GB2312" w:cs="仿宋_GB2312"/>
                <w:b/>
                <w:i w:val="0"/>
                <w:color w:val="auto"/>
                <w:kern w:val="0"/>
                <w:sz w:val="18"/>
                <w:szCs w:val="18"/>
                <w:highlight w:val="none"/>
                <w:u w:val="none"/>
                <w:lang w:val="en-US" w:eastAsia="zh-CN" w:bidi="ar"/>
              </w:rPr>
              <w:t>事项</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二级</w:t>
            </w:r>
            <w:r>
              <w:rPr>
                <w:rFonts w:hint="eastAsia" w:ascii="仿宋_GB2312" w:hAnsi="仿宋_GB2312" w:eastAsia="仿宋_GB2312" w:cs="仿宋_GB2312"/>
                <w:b/>
                <w:i w:val="0"/>
                <w:color w:val="auto"/>
                <w:kern w:val="0"/>
                <w:sz w:val="18"/>
                <w:szCs w:val="18"/>
                <w:highlight w:val="none"/>
                <w:u w:val="none"/>
                <w:lang w:val="en-US" w:eastAsia="zh-CN" w:bidi="ar"/>
              </w:rPr>
              <w:br w:type="textWrapping"/>
            </w:r>
            <w:r>
              <w:rPr>
                <w:rFonts w:hint="eastAsia" w:ascii="仿宋_GB2312" w:hAnsi="仿宋_GB2312" w:eastAsia="仿宋_GB2312" w:cs="仿宋_GB2312"/>
                <w:b/>
                <w:i w:val="0"/>
                <w:color w:val="auto"/>
                <w:kern w:val="0"/>
                <w:sz w:val="18"/>
                <w:szCs w:val="18"/>
                <w:highlight w:val="none"/>
                <w:u w:val="none"/>
                <w:lang w:val="en-US" w:eastAsia="zh-CN" w:bidi="ar"/>
              </w:rPr>
              <w:t>事项</w:t>
            </w:r>
          </w:p>
        </w:tc>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b/>
                <w:i w:val="0"/>
                <w:color w:val="auto"/>
                <w:sz w:val="18"/>
                <w:szCs w:val="18"/>
                <w:highlight w:val="none"/>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b/>
                <w:i w:val="0"/>
                <w:color w:val="auto"/>
                <w:sz w:val="18"/>
                <w:szCs w:val="18"/>
                <w:highlight w:val="none"/>
                <w:u w:val="none"/>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b/>
                <w:i w:val="0"/>
                <w:color w:val="auto"/>
                <w:sz w:val="18"/>
                <w:szCs w:val="18"/>
                <w:highlight w:val="none"/>
                <w:u w:val="none"/>
              </w:rPr>
            </w:pPr>
          </w:p>
        </w:tc>
        <w:tc>
          <w:tcPr>
            <w:tcW w:w="28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b/>
                <w:i w:val="0"/>
                <w:color w:val="auto"/>
                <w:sz w:val="18"/>
                <w:szCs w:val="18"/>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全社</w:t>
            </w:r>
            <w:r>
              <w:rPr>
                <w:rFonts w:hint="eastAsia" w:ascii="仿宋_GB2312" w:hAnsi="仿宋_GB2312" w:eastAsia="仿宋_GB2312" w:cs="仿宋_GB2312"/>
                <w:b/>
                <w:i w:val="0"/>
                <w:color w:val="auto"/>
                <w:kern w:val="0"/>
                <w:sz w:val="18"/>
                <w:szCs w:val="18"/>
                <w:highlight w:val="none"/>
                <w:u w:val="none"/>
                <w:lang w:val="en-US" w:eastAsia="zh-CN" w:bidi="ar"/>
              </w:rPr>
              <w:br w:type="textWrapping"/>
            </w:r>
            <w:r>
              <w:rPr>
                <w:rFonts w:hint="eastAsia" w:ascii="仿宋_GB2312" w:hAnsi="仿宋_GB2312" w:eastAsia="仿宋_GB2312" w:cs="仿宋_GB2312"/>
                <w:b/>
                <w:i w:val="0"/>
                <w:color w:val="auto"/>
                <w:kern w:val="0"/>
                <w:sz w:val="18"/>
                <w:szCs w:val="18"/>
                <w:highlight w:val="none"/>
                <w:u w:val="none"/>
                <w:lang w:val="en-US" w:eastAsia="zh-CN" w:bidi="ar"/>
              </w:rPr>
              <w:t>会</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特定群体</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依申</w:t>
            </w:r>
            <w:r>
              <w:rPr>
                <w:rFonts w:hint="eastAsia" w:ascii="仿宋_GB2312" w:hAnsi="仿宋_GB2312" w:eastAsia="仿宋_GB2312" w:cs="仿宋_GB2312"/>
                <w:b/>
                <w:i w:val="0"/>
                <w:color w:val="auto"/>
                <w:kern w:val="0"/>
                <w:sz w:val="18"/>
                <w:szCs w:val="18"/>
                <w:highlight w:val="none"/>
                <w:u w:val="none"/>
                <w:lang w:val="en-US" w:eastAsia="zh-CN" w:bidi="ar"/>
              </w:rPr>
              <w:br w:type="textWrapping"/>
            </w:r>
            <w:r>
              <w:rPr>
                <w:rFonts w:hint="eastAsia" w:ascii="仿宋_GB2312" w:hAnsi="仿宋_GB2312" w:eastAsia="仿宋_GB2312" w:cs="仿宋_GB2312"/>
                <w:b/>
                <w:i w:val="0"/>
                <w:color w:val="auto"/>
                <w:kern w:val="0"/>
                <w:sz w:val="18"/>
                <w:szCs w:val="18"/>
                <w:highlight w:val="none"/>
                <w:u w:val="none"/>
                <w:lang w:val="en-US" w:eastAsia="zh-CN" w:bidi="ar"/>
              </w:rPr>
              <w:t>请</w:t>
            </w: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乡级</w:t>
            </w:r>
          </w:p>
        </w:tc>
      </w:tr>
      <w:tr>
        <w:tblPrEx>
          <w:tblCellMar>
            <w:top w:w="0" w:type="dxa"/>
            <w:left w:w="0" w:type="dxa"/>
            <w:bottom w:w="0" w:type="dxa"/>
            <w:right w:w="0" w:type="dxa"/>
          </w:tblCellMar>
        </w:tblPrEx>
        <w:trPr>
          <w:trHeight w:val="201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w:t>
            </w:r>
          </w:p>
        </w:tc>
        <w:tc>
          <w:tcPr>
            <w:tcW w:w="59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公共服务</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法规文件</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城乡规划领域相关法律、法规、规章、规范性文件</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《中华人民共和国城乡规划法》《中华人民共和国政府信息公开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条例》</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信息形成或者变更之日起 20个工作日内</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r>
              <w:rPr>
                <w:rFonts w:hint="eastAsia" w:ascii="仿宋_GB2312" w:hAnsi="仿宋_GB2312" w:eastAsia="仿宋_GB2312" w:cs="仿宋_GB2312"/>
                <w:i w:val="0"/>
                <w:color w:val="auto"/>
                <w:kern w:val="0"/>
                <w:sz w:val="18"/>
                <w:szCs w:val="18"/>
                <w:highlight w:val="none"/>
                <w:u w:val="single"/>
                <w:lang w:val="en-US" w:eastAsia="zh-CN" w:bidi="ar"/>
              </w:rPr>
              <w:t xml:space="preserve">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971" w:hRule="atLeast"/>
          <w:jc w:val="center"/>
        </w:trPr>
        <w:tc>
          <w:tcPr>
            <w:tcW w:w="51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w:t>
            </w:r>
          </w:p>
        </w:tc>
        <w:tc>
          <w:tcPr>
            <w:tcW w:w="594"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政民互动</w:t>
            </w:r>
          </w:p>
        </w:tc>
        <w:tc>
          <w:tcPr>
            <w:tcW w:w="16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城乡规划事项的意见征集、咨询、信访等</w:t>
            </w:r>
          </w:p>
        </w:tc>
        <w:tc>
          <w:tcPr>
            <w:tcW w:w="17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《中华人民共和国政府信息公开条 例》</w:t>
            </w:r>
          </w:p>
        </w:tc>
        <w:tc>
          <w:tcPr>
            <w:tcW w:w="10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实时公开</w:t>
            </w:r>
          </w:p>
        </w:tc>
        <w:tc>
          <w:tcPr>
            <w:tcW w:w="89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6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2276" w:hRule="atLeast"/>
          <w:jc w:val="center"/>
        </w:trPr>
        <w:tc>
          <w:tcPr>
            <w:tcW w:w="51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w:t>
            </w:r>
          </w:p>
        </w:tc>
        <w:tc>
          <w:tcPr>
            <w:tcW w:w="5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公共服务</w:t>
            </w:r>
          </w:p>
        </w:tc>
        <w:tc>
          <w:tcPr>
            <w:tcW w:w="8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办事服务</w:t>
            </w:r>
          </w:p>
        </w:tc>
        <w:tc>
          <w:tcPr>
            <w:tcW w:w="163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行政许可的 事项、依据、条件、数量、程序、期限 以及申请行 政许可需要提交的全部材料目录</w:t>
            </w:r>
          </w:p>
        </w:tc>
        <w:tc>
          <w:tcPr>
            <w:tcW w:w="17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《中华人民共和国政府信息公开条例》</w:t>
            </w:r>
          </w:p>
        </w:tc>
        <w:tc>
          <w:tcPr>
            <w:tcW w:w="106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实时公开</w:t>
            </w:r>
          </w:p>
        </w:tc>
        <w:tc>
          <w:tcPr>
            <w:tcW w:w="89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 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6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8"/>
                <w:szCs w:val="18"/>
                <w:highlight w:val="none"/>
                <w:u w:val="none"/>
                <w:lang w:val="en-US" w:eastAsia="zh-CN" w:bidi="ar"/>
              </w:rPr>
            </w:pPr>
          </w:p>
        </w:tc>
      </w:tr>
      <w:tr>
        <w:tblPrEx>
          <w:tblCellMar>
            <w:top w:w="0" w:type="dxa"/>
            <w:left w:w="0" w:type="dxa"/>
            <w:bottom w:w="0" w:type="dxa"/>
            <w:right w:w="0" w:type="dxa"/>
          </w:tblCellMar>
        </w:tblPrEx>
        <w:trPr>
          <w:trHeight w:val="9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规划编制</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城市、 镇总体规划及同级的土地利用规划</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规划批准文件、脱密后的文本及图纸等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《中华人民共和国土地管理法》《中华人民共和国城乡规划法》《中华人民共和国政府信息公开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条例》</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信息形成或者变更之日起 20个工作日内</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 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r>
              <w:rPr>
                <w:rFonts w:hint="eastAsia" w:ascii="仿宋_GB2312" w:hAnsi="仿宋_GB2312" w:eastAsia="仿宋_GB2312" w:cs="仿宋_GB2312"/>
                <w:i w:val="0"/>
                <w:color w:val="auto"/>
                <w:kern w:val="0"/>
                <w:sz w:val="18"/>
                <w:szCs w:val="18"/>
                <w:highlight w:val="none"/>
                <w:u w:val="single"/>
                <w:lang w:val="en-US" w:eastAsia="zh-CN" w:bidi="ar"/>
              </w:rPr>
              <w:t xml:space="preserve">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8"/>
                <w:szCs w:val="18"/>
                <w:highlight w:val="none"/>
                <w:u w:val="none"/>
                <w:lang w:val="en-US" w:eastAsia="zh-CN" w:bidi="ar"/>
              </w:rPr>
            </w:pPr>
          </w:p>
        </w:tc>
      </w:tr>
      <w:tr>
        <w:tblPrEx>
          <w:tblCellMar>
            <w:top w:w="0" w:type="dxa"/>
            <w:left w:w="0" w:type="dxa"/>
            <w:bottom w:w="0" w:type="dxa"/>
            <w:right w:w="0" w:type="dxa"/>
          </w:tblCellMar>
        </w:tblPrEx>
        <w:trPr>
          <w:trHeight w:val="167"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乡规划及同级的土地利用规划</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脱密后的文本及图纸等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《中华人民共和国土地管理法》《中华人民共和国城乡规划法》《中华人民共和国政府信息公开条例》</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信息形成或者变更之日起 20个工作日内</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 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r>
              <w:rPr>
                <w:rFonts w:hint="eastAsia" w:ascii="仿宋_GB2312" w:hAnsi="仿宋_GB2312" w:eastAsia="仿宋_GB2312" w:cs="仿宋_GB2312"/>
                <w:i w:val="0"/>
                <w:color w:val="auto"/>
                <w:kern w:val="0"/>
                <w:sz w:val="18"/>
                <w:szCs w:val="18"/>
                <w:highlight w:val="none"/>
                <w:u w:val="single"/>
                <w:lang w:val="en-US" w:eastAsia="zh-CN" w:bidi="ar"/>
              </w:rPr>
              <w:t xml:space="preserve">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8"/>
                <w:szCs w:val="18"/>
                <w:highlight w:val="none"/>
                <w:u w:val="none"/>
                <w:lang w:val="en-US" w:eastAsia="zh-CN" w:bidi="ar"/>
              </w:rPr>
            </w:pPr>
          </w:p>
        </w:tc>
      </w:tr>
      <w:tr>
        <w:tblPrEx>
          <w:tblCellMar>
            <w:top w:w="0" w:type="dxa"/>
            <w:left w:w="0" w:type="dxa"/>
            <w:bottom w:w="0" w:type="dxa"/>
            <w:right w:w="0" w:type="dxa"/>
          </w:tblCellMar>
        </w:tblPrEx>
        <w:trPr>
          <w:trHeight w:val="9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规划编制</w:t>
            </w: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城市、 镇详细规划</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脱密后的文本及图表等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《中华人民共和国城乡规划法》《中华人民共和国政府信息公开条例》</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信息形成或者变更之日起 20个工作日内</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r>
              <w:rPr>
                <w:rFonts w:hint="eastAsia" w:ascii="仿宋_GB2312" w:hAnsi="仿宋_GB2312" w:eastAsia="仿宋_GB2312" w:cs="仿宋_GB2312"/>
                <w:i w:val="0"/>
                <w:color w:val="auto"/>
                <w:kern w:val="0"/>
                <w:sz w:val="18"/>
                <w:szCs w:val="18"/>
                <w:highlight w:val="none"/>
                <w:u w:val="single"/>
                <w:lang w:val="en-US" w:eastAsia="zh-CN" w:bidi="ar"/>
              </w:rPr>
              <w:t xml:space="preserve">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righ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18"/>
                <w:szCs w:val="18"/>
                <w:highlight w:val="none"/>
                <w:u w:val="none"/>
                <w:lang w:val="en-US" w:eastAsia="zh-CN" w:bidi="ar"/>
              </w:rPr>
            </w:pPr>
          </w:p>
        </w:tc>
      </w:tr>
      <w:tr>
        <w:tblPrEx>
          <w:tblCellMar>
            <w:top w:w="0" w:type="dxa"/>
            <w:left w:w="0" w:type="dxa"/>
            <w:bottom w:w="0" w:type="dxa"/>
            <w:right w:w="0" w:type="dxa"/>
          </w:tblCellMar>
        </w:tblPrEx>
        <w:trPr>
          <w:trHeight w:val="153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部分村庄编制完成的村庄规划、村土地利用规划</w:t>
            </w:r>
          </w:p>
        </w:tc>
        <w:tc>
          <w:tcPr>
            <w:tcW w:w="1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脱密后的文本及附图等</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《中华人民共和国土地管理法》《中华人民共和国城乡规划法》《中华人民共和国政府信息公开条例》《国土资源部关于有序开展村土地利用规划编制工作的指导意见》</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信息形成或者变更之日起 20个工作日内</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r>
              <w:rPr>
                <w:rFonts w:hint="eastAsia" w:ascii="仿宋_GB2312" w:hAnsi="仿宋_GB2312" w:eastAsia="仿宋_GB2312" w:cs="仿宋_GB2312"/>
                <w:i w:val="0"/>
                <w:color w:val="auto"/>
                <w:kern w:val="0"/>
                <w:sz w:val="18"/>
                <w:szCs w:val="18"/>
                <w:highlight w:val="none"/>
                <w:u w:val="single"/>
                <w:lang w:val="en-US" w:eastAsia="zh-CN" w:bidi="ar"/>
              </w:rPr>
              <w:t xml:space="preserve">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righ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2181" w:hRule="atLeast"/>
          <w:jc w:val="center"/>
        </w:trPr>
        <w:tc>
          <w:tcPr>
            <w:tcW w:w="519"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w:t>
            </w:r>
          </w:p>
        </w:tc>
        <w:tc>
          <w:tcPr>
            <w:tcW w:w="59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lang w:val="en-US" w:eastAsia="zh-CN"/>
              </w:rPr>
            </w:pPr>
            <w:r>
              <w:rPr>
                <w:rFonts w:hint="eastAsia" w:ascii="仿宋_GB2312" w:hAnsi="仿宋_GB2312" w:eastAsia="仿宋_GB2312" w:cs="仿宋_GB2312"/>
                <w:i w:val="0"/>
                <w:color w:val="auto"/>
                <w:sz w:val="18"/>
                <w:szCs w:val="18"/>
                <w:highlight w:val="none"/>
                <w:u w:val="none"/>
                <w:lang w:val="en-US" w:eastAsia="zh-CN"/>
              </w:rPr>
              <w:t>规划许可</w:t>
            </w:r>
          </w:p>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lang w:val="en-US" w:eastAsia="zh-CN"/>
              </w:rPr>
            </w:pPr>
          </w:p>
        </w:tc>
        <w:tc>
          <w:tcPr>
            <w:tcW w:w="8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建设</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项目选址意见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书</w:t>
            </w:r>
          </w:p>
        </w:tc>
        <w:tc>
          <w:tcPr>
            <w:tcW w:w="163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新办、变更、延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续、补证、注销的办理情况（涉密项目除外）</w:t>
            </w:r>
          </w:p>
        </w:tc>
        <w:tc>
          <w:tcPr>
            <w:tcW w:w="17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城乡规划法》《中华人民共和国政府</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信息公开条例》</w:t>
            </w:r>
          </w:p>
        </w:tc>
        <w:tc>
          <w:tcPr>
            <w:tcW w:w="10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或者变更之日起 20个工作日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内</w:t>
            </w:r>
          </w:p>
        </w:tc>
        <w:tc>
          <w:tcPr>
            <w:tcW w:w="89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r>
              <w:rPr>
                <w:rFonts w:hint="eastAsia" w:ascii="仿宋_GB2312" w:hAnsi="仿宋_GB2312" w:eastAsia="仿宋_GB2312" w:cs="仿宋_GB2312"/>
                <w:i w:val="0"/>
                <w:color w:val="auto"/>
                <w:kern w:val="0"/>
                <w:sz w:val="18"/>
                <w:szCs w:val="18"/>
                <w:highlight w:val="none"/>
                <w:u w:val="single"/>
                <w:lang w:val="en-US" w:eastAsia="zh-CN" w:bidi="ar"/>
              </w:rPr>
              <w:t xml:space="preserve">                  </w:t>
            </w:r>
          </w:p>
        </w:tc>
        <w:tc>
          <w:tcPr>
            <w:tcW w:w="6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800" w:hRule="atLeast"/>
          <w:jc w:val="center"/>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w:t>
            </w:r>
          </w:p>
        </w:tc>
        <w:tc>
          <w:tcPr>
            <w:tcW w:w="59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建设用地规划许可证</w:t>
            </w:r>
          </w:p>
        </w:tc>
        <w:tc>
          <w:tcPr>
            <w:tcW w:w="163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新办、变更、延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续、补证、注销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的办理情况（涉密项目除外）</w:t>
            </w:r>
          </w:p>
        </w:tc>
        <w:tc>
          <w:tcPr>
            <w:tcW w:w="17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《中华人民共和国城乡规划法》《中华人民共和国政府信息公开条例》</w:t>
            </w:r>
          </w:p>
        </w:tc>
        <w:tc>
          <w:tcPr>
            <w:tcW w:w="106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或者变更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之日起 20</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个工作日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内</w:t>
            </w:r>
          </w:p>
        </w:tc>
        <w:tc>
          <w:tcPr>
            <w:tcW w:w="89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□精准推送 □其他    </w:t>
            </w:r>
          </w:p>
        </w:tc>
        <w:tc>
          <w:tcPr>
            <w:tcW w:w="69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170" w:hRule="atLeast"/>
          <w:jc w:val="center"/>
        </w:trPr>
        <w:tc>
          <w:tcPr>
            <w:tcW w:w="51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w:t>
            </w:r>
          </w:p>
        </w:tc>
        <w:tc>
          <w:tcPr>
            <w:tcW w:w="5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8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建设工程规划</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许可证</w:t>
            </w:r>
          </w:p>
        </w:tc>
        <w:tc>
          <w:tcPr>
            <w:tcW w:w="163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新办、变更、延续、补证、注销的办理情况（涉密项目除外）</w:t>
            </w:r>
          </w:p>
        </w:tc>
        <w:tc>
          <w:tcPr>
            <w:tcW w:w="17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《中华人民共和国城乡规划法》《中华人民共和国政府信息公开条例》</w:t>
            </w:r>
          </w:p>
        </w:tc>
        <w:tc>
          <w:tcPr>
            <w:tcW w:w="106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信息形成或者变更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之日起 20</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个工作日内</w:t>
            </w:r>
          </w:p>
        </w:tc>
        <w:tc>
          <w:tcPr>
            <w:tcW w:w="89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□精准推送 □其他</w:t>
            </w:r>
            <w:r>
              <w:rPr>
                <w:rFonts w:hint="eastAsia" w:ascii="仿宋_GB2312" w:hAnsi="仿宋_GB2312" w:eastAsia="仿宋_GB2312" w:cs="仿宋_GB2312"/>
                <w:i w:val="0"/>
                <w:color w:val="auto"/>
                <w:kern w:val="0"/>
                <w:sz w:val="18"/>
                <w:szCs w:val="18"/>
                <w:highlight w:val="none"/>
                <w:u w:val="single"/>
                <w:lang w:val="en-US" w:eastAsia="zh-CN" w:bidi="ar"/>
              </w:rPr>
              <w:t xml:space="preserve">   </w:t>
            </w:r>
          </w:p>
        </w:tc>
        <w:tc>
          <w:tcPr>
            <w:tcW w:w="6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680" w:hRule="atLeast"/>
          <w:jc w:val="center"/>
        </w:trPr>
        <w:tc>
          <w:tcPr>
            <w:tcW w:w="519"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p>
        </w:tc>
        <w:tc>
          <w:tcPr>
            <w:tcW w:w="59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规划许可</w:t>
            </w:r>
          </w:p>
        </w:tc>
        <w:tc>
          <w:tcPr>
            <w:tcW w:w="84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乡村建设规划许可证</w:t>
            </w:r>
          </w:p>
        </w:tc>
        <w:tc>
          <w:tcPr>
            <w:tcW w:w="163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新办、变更、延续、补证、注销的办理情况</w:t>
            </w:r>
          </w:p>
        </w:tc>
        <w:tc>
          <w:tcPr>
            <w:tcW w:w="17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《中华人民共和国城乡规划法》《中华人民共和国政府信息公开条例》</w:t>
            </w:r>
          </w:p>
        </w:tc>
        <w:tc>
          <w:tcPr>
            <w:tcW w:w="10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信息形成或者变更之日起 20个工作日内</w:t>
            </w:r>
          </w:p>
        </w:tc>
        <w:tc>
          <w:tcPr>
            <w:tcW w:w="89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□精准推送 □其他</w:t>
            </w:r>
            <w:r>
              <w:rPr>
                <w:rFonts w:hint="eastAsia" w:ascii="仿宋_GB2312" w:hAnsi="仿宋_GB2312" w:eastAsia="仿宋_GB2312" w:cs="仿宋_GB2312"/>
                <w:i w:val="0"/>
                <w:color w:val="auto"/>
                <w:kern w:val="0"/>
                <w:sz w:val="18"/>
                <w:szCs w:val="18"/>
                <w:highlight w:val="none"/>
                <w:u w:val="single"/>
                <w:lang w:val="en-US" w:eastAsia="zh-CN" w:bidi="ar"/>
              </w:rPr>
              <w:t xml:space="preserve">    </w:t>
            </w:r>
          </w:p>
        </w:tc>
        <w:tc>
          <w:tcPr>
            <w:tcW w:w="69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312" w:hRule="atLeast"/>
          <w:jc w:val="center"/>
        </w:trPr>
        <w:tc>
          <w:tcPr>
            <w:tcW w:w="519" w:type="dxa"/>
            <w:vMerge w:val="restart"/>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12</w:t>
            </w:r>
          </w:p>
        </w:tc>
        <w:tc>
          <w:tcPr>
            <w:tcW w:w="59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处罚</w:t>
            </w:r>
          </w:p>
        </w:tc>
        <w:tc>
          <w:tcPr>
            <w:tcW w:w="845"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行政处罚基本信息</w:t>
            </w:r>
          </w:p>
        </w:tc>
        <w:tc>
          <w:tcPr>
            <w:tcW w:w="1639"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执法主体、执法人员姓名及证 件编号、职责、权限、查处依 据、工作程序、救济渠道和随 机抽查事项清 单等信息</w:t>
            </w:r>
          </w:p>
        </w:tc>
        <w:tc>
          <w:tcPr>
            <w:tcW w:w="176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《中华人民共和国城乡规划法》《中华人民共和国政府信息公开条例》《关于全面推行行政执法公示制度执法全</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过程记录制度重大</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执法决定法制审核制度的指导意见</w:t>
            </w:r>
          </w:p>
        </w:tc>
        <w:tc>
          <w:tcPr>
            <w:tcW w:w="1066"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信息形成或者变更之日起 20个工作日内</w:t>
            </w:r>
          </w:p>
        </w:tc>
        <w:tc>
          <w:tcPr>
            <w:tcW w:w="89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□公开查阅点□政府服务中心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（电子屏）</w:t>
            </w:r>
          </w:p>
          <w:p>
            <w:pPr>
              <w:keepNext w:val="0"/>
              <w:keepLines w:val="0"/>
              <w:widowControl/>
              <w:suppressLineNumbers w:val="0"/>
              <w:tabs>
                <w:tab w:val="center" w:pos="1421"/>
              </w:tabs>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69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312" w:hRule="atLeast"/>
          <w:jc w:val="center"/>
        </w:trPr>
        <w:tc>
          <w:tcPr>
            <w:tcW w:w="519"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4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76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66"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9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2872"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69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79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2103" w:hRule="atLeast"/>
          <w:jc w:val="center"/>
        </w:trPr>
        <w:tc>
          <w:tcPr>
            <w:tcW w:w="519"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4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76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66"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9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2872"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69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79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312" w:hRule="atLeast"/>
          <w:jc w:val="center"/>
        </w:trPr>
        <w:tc>
          <w:tcPr>
            <w:tcW w:w="519" w:type="dxa"/>
            <w:vMerge w:val="continue"/>
            <w:tcBorders>
              <w:top w:val="single" w:color="auto"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59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45"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63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176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1066"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9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2872"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69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79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c>
          <w:tcPr>
            <w:tcW w:w="809"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63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auto"/>
                <w:sz w:val="18"/>
                <w:szCs w:val="18"/>
                <w:highlight w:val="none"/>
                <w:u w:val="none"/>
              </w:rPr>
            </w:pPr>
          </w:p>
        </w:tc>
      </w:tr>
      <w:tr>
        <w:tblPrEx>
          <w:tblCellMar>
            <w:top w:w="0" w:type="dxa"/>
            <w:left w:w="0" w:type="dxa"/>
            <w:bottom w:w="0" w:type="dxa"/>
            <w:right w:w="0" w:type="dxa"/>
          </w:tblCellMar>
        </w:tblPrEx>
        <w:trPr>
          <w:trHeight w:val="454" w:hRule="atLeast"/>
          <w:jc w:val="center"/>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13</w:t>
            </w:r>
          </w:p>
        </w:tc>
        <w:tc>
          <w:tcPr>
            <w:tcW w:w="59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行政</w:t>
            </w:r>
          </w:p>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处罚</w:t>
            </w:r>
          </w:p>
        </w:tc>
        <w:tc>
          <w:tcPr>
            <w:tcW w:w="84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lang w:val="en-US" w:eastAsia="zh-CN"/>
              </w:rPr>
            </w:pPr>
            <w:r>
              <w:rPr>
                <w:rFonts w:hint="eastAsia" w:ascii="仿宋_GB2312" w:hAnsi="仿宋_GB2312" w:eastAsia="仿宋_GB2312" w:cs="仿宋_GB2312"/>
                <w:i w:val="0"/>
                <w:color w:val="auto"/>
                <w:sz w:val="18"/>
                <w:szCs w:val="18"/>
                <w:highlight w:val="none"/>
                <w:u w:val="none"/>
                <w:lang w:val="en-US" w:eastAsia="zh-CN"/>
              </w:rPr>
              <w:t>事后公开</w:t>
            </w:r>
          </w:p>
        </w:tc>
        <w:tc>
          <w:tcPr>
            <w:tcW w:w="163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作出的行政处罚决定信息（法律、行政法规另有规定的除外）</w:t>
            </w:r>
          </w:p>
        </w:tc>
        <w:tc>
          <w:tcPr>
            <w:tcW w:w="17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《中华人民共和国城乡规划法》《中华人民共和国政府信息公开条例》《关于全面推行行政执法公示制度执法全过程记录 制度重大执法决定法制审核 制度的指导意见</w:t>
            </w:r>
          </w:p>
        </w:tc>
        <w:tc>
          <w:tcPr>
            <w:tcW w:w="1066"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lang w:val="en-US" w:eastAsia="zh-CN"/>
              </w:rPr>
            </w:pPr>
            <w:r>
              <w:rPr>
                <w:rFonts w:hint="eastAsia" w:ascii="仿宋_GB2312" w:hAnsi="仿宋_GB2312" w:eastAsia="仿宋_GB2312" w:cs="仿宋_GB2312"/>
                <w:i w:val="0"/>
                <w:color w:val="auto"/>
                <w:sz w:val="18"/>
                <w:szCs w:val="18"/>
                <w:highlight w:val="none"/>
                <w:u w:val="none"/>
                <w:lang w:val="en-US" w:eastAsia="zh-CN"/>
              </w:rPr>
              <w:t>7个工作日</w:t>
            </w:r>
          </w:p>
        </w:tc>
        <w:tc>
          <w:tcPr>
            <w:tcW w:w="893" w:type="dxa"/>
            <w:tcBorders>
              <w:top w:val="single" w:color="auto"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87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18"/>
                <w:szCs w:val="18"/>
                <w:highlight w:val="none"/>
                <w:u w:val="none"/>
                <w:lang w:val="en-US" w:eastAsia="zh-CN" w:bidi="ar"/>
              </w:rPr>
            </w:pP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p>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xml:space="preserve"> □两微一端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 □广播电视 □纸质载体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 □公开查阅点□政府服务中心 </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xml:space="preserve"> □社区/企事业单位/村公示栏 （电子屏） □精准推送 □其他</w:t>
            </w:r>
          </w:p>
        </w:tc>
        <w:tc>
          <w:tcPr>
            <w:tcW w:w="69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9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7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8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63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r>
    </w:tbl>
    <w:p>
      <w:pPr>
        <w:rPr>
          <w:rFonts w:hint="eastAsia"/>
          <w:color w:val="auto"/>
          <w:highlight w:val="none"/>
        </w:rPr>
      </w:pPr>
    </w:p>
    <w:p>
      <w:pPr>
        <w:rPr>
          <w:rFonts w:hint="eastAsia"/>
          <w:color w:val="auto"/>
          <w:highlight w:val="none"/>
        </w:rPr>
      </w:pPr>
      <w:r>
        <w:rPr>
          <w:rFonts w:hint="eastAsia"/>
          <w:color w:val="auto"/>
          <w:highlight w:val="none"/>
        </w:rPr>
        <w:br w:type="page"/>
      </w:r>
    </w:p>
    <w:p>
      <w:pPr>
        <w:jc w:val="center"/>
        <w:rPr>
          <w:rFonts w:hint="eastAsia" w:ascii="黑体" w:hAnsi="黑体" w:eastAsia="黑体" w:cs="黑体"/>
          <w:color w:val="auto"/>
          <w:sz w:val="36"/>
          <w:szCs w:val="36"/>
          <w:highlight w:val="none"/>
          <w:lang w:val="en-US" w:eastAsia="zh-CN"/>
        </w:rPr>
      </w:pPr>
      <w:r>
        <w:rPr>
          <w:rFonts w:hint="eastAsia" w:ascii="黑体" w:hAnsi="黑体" w:eastAsia="黑体" w:cs="黑体"/>
          <w:color w:val="auto"/>
          <w:sz w:val="36"/>
          <w:szCs w:val="36"/>
          <w:highlight w:val="none"/>
          <w:lang w:val="en-US" w:eastAsia="zh-CN"/>
        </w:rPr>
        <w:t>双台子区农村集体土地征收基层政务公开标准目录</w:t>
      </w:r>
    </w:p>
    <w:tbl>
      <w:tblPr>
        <w:tblStyle w:val="7"/>
        <w:tblW w:w="1533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autofit"/>
        <w:tblCellMar>
          <w:top w:w="0" w:type="dxa"/>
          <w:left w:w="0" w:type="dxa"/>
          <w:bottom w:w="0" w:type="dxa"/>
          <w:right w:w="0" w:type="dxa"/>
        </w:tblCellMar>
      </w:tblPr>
      <w:tblGrid>
        <w:gridCol w:w="520"/>
        <w:gridCol w:w="720"/>
        <w:gridCol w:w="720"/>
        <w:gridCol w:w="3687"/>
        <w:gridCol w:w="1158"/>
        <w:gridCol w:w="1620"/>
        <w:gridCol w:w="1065"/>
        <w:gridCol w:w="2720"/>
        <w:gridCol w:w="480"/>
        <w:gridCol w:w="720"/>
        <w:gridCol w:w="480"/>
        <w:gridCol w:w="480"/>
        <w:gridCol w:w="480"/>
        <w:gridCol w:w="48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440" w:hRule="atLeast"/>
          <w:tblHeader/>
          <w:jc w:val="center"/>
        </w:trPr>
        <w:tc>
          <w:tcPr>
            <w:tcW w:w="520" w:type="dxa"/>
            <w:vMerge w:val="restart"/>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序号</w:t>
            </w:r>
          </w:p>
        </w:tc>
        <w:tc>
          <w:tcPr>
            <w:tcW w:w="1440" w:type="dxa"/>
            <w:gridSpan w:val="2"/>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公开事项</w:t>
            </w:r>
          </w:p>
        </w:tc>
        <w:tc>
          <w:tcPr>
            <w:tcW w:w="3687"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公开内容</w:t>
            </w:r>
          </w:p>
        </w:tc>
        <w:tc>
          <w:tcPr>
            <w:tcW w:w="1158"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公开依据</w:t>
            </w:r>
          </w:p>
        </w:tc>
        <w:tc>
          <w:tcPr>
            <w:tcW w:w="162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公开时限</w:t>
            </w:r>
          </w:p>
        </w:tc>
        <w:tc>
          <w:tcPr>
            <w:tcW w:w="1065"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公开主体</w:t>
            </w:r>
          </w:p>
        </w:tc>
        <w:tc>
          <w:tcPr>
            <w:tcW w:w="272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公开渠道</w:t>
            </w:r>
          </w:p>
        </w:tc>
        <w:tc>
          <w:tcPr>
            <w:tcW w:w="1200" w:type="dxa"/>
            <w:gridSpan w:val="2"/>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公开对象</w:t>
            </w:r>
          </w:p>
        </w:tc>
        <w:tc>
          <w:tcPr>
            <w:tcW w:w="960" w:type="dxa"/>
            <w:gridSpan w:val="2"/>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w:t>
            </w:r>
            <w:r>
              <w:rPr>
                <w:rFonts w:hint="eastAsia" w:ascii="仿宋_GB2312" w:hAnsi="仿宋_GB2312" w:eastAsia="仿宋_GB2312" w:cs="仿宋_GB2312"/>
                <w:b/>
                <w:i w:val="0"/>
                <w:color w:val="auto"/>
                <w:kern w:val="0"/>
                <w:sz w:val="18"/>
                <w:szCs w:val="18"/>
                <w:highlight w:val="none"/>
                <w:u w:val="none"/>
                <w:lang w:val="en-US" w:eastAsia="zh-CN" w:bidi="ar"/>
              </w:rPr>
              <w:br w:type="textWrapping"/>
            </w:r>
            <w:r>
              <w:rPr>
                <w:rFonts w:hint="eastAsia" w:ascii="仿宋_GB2312" w:hAnsi="仿宋_GB2312" w:eastAsia="仿宋_GB2312" w:cs="仿宋_GB2312"/>
                <w:b/>
                <w:i w:val="0"/>
                <w:color w:val="auto"/>
                <w:kern w:val="0"/>
                <w:sz w:val="18"/>
                <w:szCs w:val="18"/>
                <w:highlight w:val="none"/>
                <w:u w:val="none"/>
                <w:lang w:val="en-US" w:eastAsia="zh-CN" w:bidi="ar"/>
              </w:rPr>
              <w:t>方式</w:t>
            </w:r>
          </w:p>
        </w:tc>
        <w:tc>
          <w:tcPr>
            <w:tcW w:w="960" w:type="dxa"/>
            <w:gridSpan w:val="2"/>
            <w:tcBorders>
              <w:left w:val="single" w:color="000000" w:sz="4" w:space="0"/>
              <w:bottom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公开</w:t>
            </w:r>
            <w:r>
              <w:rPr>
                <w:rFonts w:hint="eastAsia" w:ascii="仿宋_GB2312" w:hAnsi="仿宋_GB2312" w:eastAsia="仿宋_GB2312" w:cs="仿宋_GB2312"/>
                <w:b/>
                <w:i w:val="0"/>
                <w:color w:val="auto"/>
                <w:kern w:val="0"/>
                <w:sz w:val="18"/>
                <w:szCs w:val="18"/>
                <w:highlight w:val="none"/>
                <w:u w:val="none"/>
                <w:lang w:val="en-US" w:eastAsia="zh-CN" w:bidi="ar"/>
              </w:rPr>
              <w:br w:type="textWrapping"/>
            </w:r>
            <w:r>
              <w:rPr>
                <w:rFonts w:hint="eastAsia" w:ascii="仿宋_GB2312" w:hAnsi="仿宋_GB2312" w:eastAsia="仿宋_GB2312" w:cs="仿宋_GB2312"/>
                <w:b/>
                <w:i w:val="0"/>
                <w:color w:val="auto"/>
                <w:kern w:val="0"/>
                <w:sz w:val="18"/>
                <w:szCs w:val="18"/>
                <w:highlight w:val="none"/>
                <w:u w:val="none"/>
                <w:lang w:val="en-US" w:eastAsia="zh-CN" w:bidi="ar"/>
              </w:rPr>
              <w:t>层级</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40" w:hRule="atLeast"/>
          <w:tblHeader/>
          <w:jc w:val="center"/>
        </w:trPr>
        <w:tc>
          <w:tcPr>
            <w:tcW w:w="520" w:type="dxa"/>
            <w:vMerge w:val="continue"/>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b/>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一级事项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二级事项</w:t>
            </w: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b/>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b/>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b/>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b/>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b/>
                <w:i w:val="0"/>
                <w:color w:val="auto"/>
                <w:sz w:val="18"/>
                <w:szCs w:val="18"/>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全社会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特定群体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主动</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县级</w:t>
            </w:r>
          </w:p>
        </w:tc>
        <w:tc>
          <w:tcPr>
            <w:tcW w:w="480"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b/>
                <w:i w:val="0"/>
                <w:color w:val="auto"/>
                <w:sz w:val="18"/>
                <w:szCs w:val="18"/>
                <w:highlight w:val="none"/>
                <w:u w:val="none"/>
              </w:rPr>
            </w:pPr>
            <w:r>
              <w:rPr>
                <w:rFonts w:hint="eastAsia" w:ascii="仿宋_GB2312" w:hAnsi="仿宋_GB2312" w:eastAsia="仿宋_GB2312" w:cs="仿宋_GB2312"/>
                <w:b/>
                <w:i w:val="0"/>
                <w:color w:val="auto"/>
                <w:kern w:val="0"/>
                <w:sz w:val="18"/>
                <w:szCs w:val="18"/>
                <w:highlight w:val="none"/>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540" w:hRule="atLeast"/>
          <w:jc w:val="center"/>
        </w:trPr>
        <w:tc>
          <w:tcPr>
            <w:tcW w:w="0" w:type="auto"/>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征地管理政策</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征地补偿安置法律以及适用于本地区的政策、技术标准等规定要求。</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1.法律法规和规章；</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2.征地前期准备、征地审查报批、征地组织实施规范性文件；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3.土地补偿费和安置补助费标准（征地区片综合地价或征地统一年产值标准）；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4.地上附着物和青苗补偿费标准；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〔*农村村民住宅拆迁补偿标准〕；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〔*征地工作流程图〕。</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中华人民共和国政府信息公开条例》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自该信息形成或者变更之日起 20个工作日内予以公开，法律法规另有规定的除外。</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□征地信息公开平台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□政府公报     □两微一端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    □精准推送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□其他</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170" w:hRule="atLeast"/>
          <w:jc w:val="center"/>
        </w:trPr>
        <w:tc>
          <w:tcPr>
            <w:tcW w:w="0" w:type="auto"/>
            <w:vMerge w:val="restart"/>
            <w:tcBorders>
              <w:top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2</w:t>
            </w:r>
          </w:p>
        </w:tc>
        <w:tc>
          <w:tcPr>
            <w:tcW w:w="72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征地前期准备</w:t>
            </w:r>
          </w:p>
        </w:tc>
        <w:tc>
          <w:tcPr>
            <w:tcW w:w="72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拟征收土地告知</w:t>
            </w:r>
          </w:p>
        </w:tc>
        <w:tc>
          <w:tcPr>
            <w:tcW w:w="368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在拟征收土地前，应明确征收土地有关事项并予以公开。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1.拟征收土地用途；</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2.拟征收土地的位置和范围；</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3.征地补偿标准及安置途径；</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4.开展土地现状调查的安排；</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5.拟征收土地的原用途管控（包括不得抢栽、抢种、抢建等有关规定）；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6.听证权利；</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〔*对土地现状调查结果有异议的救济措施〕。</w:t>
            </w:r>
          </w:p>
        </w:tc>
        <w:tc>
          <w:tcPr>
            <w:tcW w:w="115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国务院关于深化改革严格土地管理的决定》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国  发</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2004 〕 28号）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在实地启动拟征收土地工作时，在村公示栏公开。</w:t>
            </w:r>
          </w:p>
        </w:tc>
        <w:tc>
          <w:tcPr>
            <w:tcW w:w="106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■政府网站     □征地信息公开平台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□政府公报     □两微一端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4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√面向拟征收土地所在地的村集体成员</w:t>
            </w:r>
          </w:p>
        </w:tc>
        <w:tc>
          <w:tcPr>
            <w:tcW w:w="4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000000" w:sz="4" w:space="0"/>
              <w:left w:val="single" w:color="000000" w:sz="4" w:space="0"/>
              <w:bottom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07" w:hRule="atLeast"/>
          <w:jc w:val="center"/>
        </w:trPr>
        <w:tc>
          <w:tcPr>
            <w:tcW w:w="0" w:type="auto"/>
            <w:vMerge w:val="continue"/>
            <w:tcBorders>
              <w:top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收到征地批准文件之日起 10 个工作日内，在政府网站、征地信息公开平台公开。</w:t>
            </w:r>
          </w:p>
        </w:tc>
        <w:tc>
          <w:tcPr>
            <w:tcW w:w="1065"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0" w:hRule="atLeast"/>
          <w:jc w:val="center"/>
        </w:trPr>
        <w:tc>
          <w:tcPr>
            <w:tcW w:w="520" w:type="dxa"/>
            <w:vMerge w:val="restart"/>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3</w:t>
            </w:r>
          </w:p>
        </w:tc>
        <w:tc>
          <w:tcPr>
            <w:tcW w:w="7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前期</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准备</w:t>
            </w:r>
          </w:p>
        </w:tc>
        <w:tc>
          <w:tcPr>
            <w:tcW w:w="720"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拟征收土地现状调查</w:t>
            </w:r>
          </w:p>
        </w:tc>
        <w:tc>
          <w:tcPr>
            <w:tcW w:w="3687"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拟征收土地现状调查结果按规定确认后，调查结果予以公开。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1.征收土地勘测调查表；</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2.地上附着物和青苗调查登记表；</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〔*土地勘测定界图件（涉及国家秘密的项目除外；图件应按有关法律法规规定予以技术处理）〕。</w:t>
            </w:r>
          </w:p>
        </w:tc>
        <w:tc>
          <w:tcPr>
            <w:tcW w:w="115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1.《土地管理法》；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2.《国务院关于深化改革严格土地管理的决定》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（国发〔2004 〕 28</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号）</w:t>
            </w:r>
          </w:p>
        </w:tc>
        <w:tc>
          <w:tcPr>
            <w:tcW w:w="16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拟征收土地现状调查结束后 5 个工作日内，在村公示栏公开。</w:t>
            </w:r>
          </w:p>
        </w:tc>
        <w:tc>
          <w:tcPr>
            <w:tcW w:w="106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■政府网站    □征地信息公开平台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□政府公报     □两微一端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√面</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向拟</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征收土地所在地的村集体成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员</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375"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收到征地批准文</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件之日起 10 个工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作日内，在政府网</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站、征地信息公开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平台公开。</w:t>
            </w: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 w:hRule="atLeast"/>
          <w:jc w:val="center"/>
        </w:trPr>
        <w:tc>
          <w:tcPr>
            <w:tcW w:w="520" w:type="dxa"/>
            <w:vMerge w:val="restart"/>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4</w:t>
            </w: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拟征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地听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证</w:t>
            </w:r>
          </w:p>
        </w:tc>
        <w:tc>
          <w:tcPr>
            <w:tcW w:w="3687"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征地前期工作中依申请开展听证工作的，听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证结果予以公开。按拟征收土地告知确定的</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时间制作《听证通知书》；按《听证通知书》</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规定的时间组织听证；实施听证的，公开听</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证相关材料。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1.《听证通知书》；</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2.听证处理意见；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〔*听证笔录有关资料〕。</w:t>
            </w:r>
          </w:p>
        </w:tc>
        <w:tc>
          <w:tcPr>
            <w:tcW w:w="115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1.《国土资源听证规定》； 2.《国土资源部办公厅关于进一步做好市县征地信息公开工作有关问题的通知》（国土 资 厅 发</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2014 〕 29</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号）</w:t>
            </w:r>
          </w:p>
        </w:tc>
        <w:tc>
          <w:tcPr>
            <w:tcW w:w="16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①《听证通知书》</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应在组织听证 7</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个工作日前予以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公开；②其他听证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公开内容在拟征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地听证工作结束</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后 5 个工作日内</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在村公示栏公开。</w:t>
            </w:r>
          </w:p>
        </w:tc>
        <w:tc>
          <w:tcPr>
            <w:tcW w:w="1065"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■社区/企事业单位/村公示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■政府网站     □征地信息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公开平台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□政府公报     □两微一端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√面向拟征收土地所在地的村集体成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员</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5"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5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5"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75"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00" w:hRule="atLeast"/>
          <w:jc w:val="center"/>
        </w:trPr>
        <w:tc>
          <w:tcPr>
            <w:tcW w:w="520" w:type="dxa"/>
            <w:vMerge w:val="continue"/>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16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收到征地批准文件之日起 10 个工作日内，在政府网站、征地信息公开平台公开。</w:t>
            </w:r>
          </w:p>
        </w:tc>
        <w:tc>
          <w:tcPr>
            <w:tcW w:w="1065"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30" w:hRule="atLeast"/>
          <w:jc w:val="center"/>
        </w:trPr>
        <w:tc>
          <w:tcPr>
            <w:tcW w:w="0" w:type="auto"/>
            <w:vMerge w:val="restart"/>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5</w:t>
            </w:r>
          </w:p>
        </w:tc>
        <w:tc>
          <w:tcPr>
            <w:tcW w:w="7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征地审查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报批</w:t>
            </w:r>
          </w:p>
        </w:tc>
        <w:tc>
          <w:tcPr>
            <w:tcW w:w="7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征地报批材料</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征地批准文件</w:t>
            </w:r>
          </w:p>
        </w:tc>
        <w:tc>
          <w:tcPr>
            <w:tcW w:w="3687"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县（市、区）人民政府按照建设用地审查报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批有关规定，组织用地报批过程中的相关报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批材料予以公开。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1.县（市、区）人民政府建设用地请示；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2.县（市、区）自然资源主管部门建设用地审查意见；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3.建设用地呈报说明书、农用地转用方案、</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补充耕地方案、征收土地方案、供地方案；</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〔*其他相关文字报批材料和图件由各省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（区、市）确定公开方式〕。</w:t>
            </w:r>
          </w:p>
        </w:tc>
        <w:tc>
          <w:tcPr>
            <w:tcW w:w="115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2.建设用地审查报批有关规定</w:t>
            </w:r>
          </w:p>
        </w:tc>
        <w:tc>
          <w:tcPr>
            <w:tcW w:w="16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收到征地批准文件之日起 10 个工作日内公开。</w:t>
            </w:r>
          </w:p>
        </w:tc>
        <w:tc>
          <w:tcPr>
            <w:tcW w:w="106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□征地信息公开平台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□政府公报     □两微一端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    □精准推送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□其他</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40"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90"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auto"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jc w:val="center"/>
        </w:trPr>
        <w:tc>
          <w:tcPr>
            <w:tcW w:w="0" w:type="auto"/>
            <w:vMerge w:val="restart"/>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6</w:t>
            </w: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有权一级人民政府批准用地的批复文件、地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方人民政府转发批复文件应予以公开。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1.国务院批准用地批复文件（指用地由国务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院批准）；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2.省级人民政府批准用地批复文件（指用地由省级人民政府批准）；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3.国务院批准城市用地后省级人民政府审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核同意实施方案文件；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4.地方人民政府转发用地批复文件；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5.其他用地批准文件。</w:t>
            </w:r>
          </w:p>
        </w:tc>
        <w:tc>
          <w:tcPr>
            <w:tcW w:w="115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1.《土地管理法》；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2.《中华人民共和国政府信息公开条例》</w:t>
            </w:r>
          </w:p>
        </w:tc>
        <w:tc>
          <w:tcPr>
            <w:tcW w:w="162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收到征地批准文件之日起 10 个工作日内公开。</w:t>
            </w:r>
          </w:p>
        </w:tc>
        <w:tc>
          <w:tcPr>
            <w:tcW w:w="106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□征地信息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公开平台     ■社区/企事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□政府公报     □两微一端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140"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jc w:val="center"/>
        </w:trPr>
        <w:tc>
          <w:tcPr>
            <w:tcW w:w="0" w:type="auto"/>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400" w:hRule="atLeast"/>
          <w:jc w:val="center"/>
        </w:trPr>
        <w:tc>
          <w:tcPr>
            <w:tcW w:w="0" w:type="auto"/>
            <w:tcBorders>
              <w:top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7</w:t>
            </w:r>
          </w:p>
        </w:tc>
        <w:tc>
          <w:tcPr>
            <w:tcW w:w="7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征地组织实施</w:t>
            </w:r>
          </w:p>
        </w:tc>
        <w:tc>
          <w:tcPr>
            <w:tcW w:w="7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征收土地公告</w:t>
            </w:r>
          </w:p>
        </w:tc>
        <w:tc>
          <w:tcPr>
            <w:tcW w:w="36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根据用地批复文件，县（市、区）人民政府拟定征收土地公告并予以公开。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1.征地批准机关、批准文号、批准时间和批准用途；</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2.被征收土地的所有权人、位置、地类、面积；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3.征地补偿标准、农业人口安置方式、社会保障途径等；</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4.办理征地补偿登记的期限、地点和要求；</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5.救济途径。</w:t>
            </w:r>
          </w:p>
        </w:tc>
        <w:tc>
          <w:tcPr>
            <w:tcW w:w="11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1.《土地管理法》；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2.《征收土地公告办法》</w:t>
            </w:r>
          </w:p>
        </w:tc>
        <w:tc>
          <w:tcPr>
            <w:tcW w:w="16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收到征地批准文件之日起 10 个工作日内公开。</w:t>
            </w:r>
          </w:p>
        </w:tc>
        <w:tc>
          <w:tcPr>
            <w:tcW w:w="10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■政府网站    □征地信息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公开平台     ■社区/企事业单位/村公示栏（电子屏）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□政府公报     □两微一端</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420" w:hRule="atLeast"/>
          <w:jc w:val="center"/>
        </w:trPr>
        <w:tc>
          <w:tcPr>
            <w:tcW w:w="0" w:type="auto"/>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8</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征地补偿登记</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征地补偿登记汇总表。</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〔*征地补偿登记前置与征收土地现状调查合并进行的，在前置环节一并公开〕。</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1.《土地管理法》；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2.《中华人民共和国政府信息公开条例》</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征地补偿登记结束后 5 个工作日内公开。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公示结束后，转为依申请公开。</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□征地信息公开平台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√拟征收土地所在地的村集体成员</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仿宋_GB2312" w:hAnsi="仿宋_GB2312" w:eastAsia="仿宋_GB2312" w:cs="仿宋_GB2312"/>
                <w:i w:val="0"/>
                <w:color w:val="auto"/>
                <w:sz w:val="18"/>
                <w:szCs w:val="18"/>
                <w:highlight w:val="none"/>
                <w:u w:val="none"/>
              </w:rPr>
            </w:pPr>
          </w:p>
        </w:tc>
        <w:tc>
          <w:tcPr>
            <w:tcW w:w="480"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0" w:hRule="atLeast"/>
          <w:jc w:val="center"/>
        </w:trPr>
        <w:tc>
          <w:tcPr>
            <w:tcW w:w="0" w:type="auto"/>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征地补偿安置方案公告</w:t>
            </w:r>
          </w:p>
        </w:tc>
        <w:tc>
          <w:tcPr>
            <w:tcW w:w="3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征收土地公告期满后，县（市、区）自然资源主管部门和负责农村集体土地征收的有关部门拟定《征地补偿安置方案》并予以公开。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1.被征收土地的位置、地类、面积，地上附着物和青苗的种类、数量，需要安置的农业人口和数量；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2.土地补偿费和安置补助费的标准、数额、支付对象和支付方式；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3.地上附着物和青苗的补偿标准与支付方式；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4.社会保障费用的筹集方法、缴费比例和办法；</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5.农业人员安置具体途径；</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6.其他有关征地补偿、安置的具体措施；</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7.听证等救济途径；</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〔*征地补偿安置方案前置的，在前置环节一并公开〕。</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1.《国土资源部办公厅关于进一步做好市县征地信息公开工作有关问题的通知》（国土 资 厅 发</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 2014 〕 29</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号）；</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2.《征收土地公告办法》</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拟定《征地补偿安置方案》后 5个工作日内公开。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公示结束后，转为依申请公开。</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□征地信息公开平台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仿宋_GB2312" w:hAnsi="仿宋_GB2312" w:eastAsia="仿宋_GB2312" w:cs="仿宋_GB2312"/>
                <w:i w:val="0"/>
                <w:color w:val="auto"/>
                <w:sz w:val="18"/>
                <w:szCs w:val="18"/>
                <w:highlight w:val="none"/>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 拟</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 收</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土 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所 在</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地 的</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村 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体 成员</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仿宋_GB2312" w:hAnsi="仿宋_GB2312" w:eastAsia="仿宋_GB2312" w:cs="仿宋_GB2312"/>
                <w:i w:val="0"/>
                <w:color w:val="auto"/>
                <w:sz w:val="18"/>
                <w:szCs w:val="18"/>
                <w:highlight w:val="none"/>
                <w:u w:val="none"/>
              </w:rPr>
            </w:pPr>
          </w:p>
        </w:tc>
        <w:tc>
          <w:tcPr>
            <w:tcW w:w="480"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0" w:hRule="atLeast"/>
          <w:jc w:val="center"/>
        </w:trPr>
        <w:tc>
          <w:tcPr>
            <w:tcW w:w="0" w:type="auto"/>
            <w:vMerge w:val="restart"/>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征地补偿安置方案听证</w:t>
            </w:r>
          </w:p>
        </w:tc>
        <w:tc>
          <w:tcPr>
            <w:tcW w:w="3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依申请开展听证工作的，听证结果公开。按征地补偿安置方案公告确定的时间制作《听证通知书》；按《听证通知书》规定的时间组织听证；实施听证的，公开听证相关材料。 1.《听证通知书》；</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2.听证处理意见；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〔*听证笔录有关资料〕。</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1.《国土资源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听证规定》；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2.《国土资源部办公厅关于进一步做好市县征地信息公开工作有关问题的通知》（国</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土 资 厅 发〔 2014 〕 29号）</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①《听证通知书》应在组织听证 7 个工作日前予以公开；②其他听证公开内容在征地听证结束后 5个工作日内公开。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公示结束后，转为依申请公开。</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县（市、区）自然资源主管部门和负责农村集体土地征收的有关部门</w:t>
            </w:r>
          </w:p>
        </w:tc>
        <w:tc>
          <w:tcPr>
            <w:tcW w:w="2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■社区/企事业单位/村公示栏（电子屏）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□征地信息公开平台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√拟征收土地所在地的村集</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体成</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员</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restar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atLeast"/>
          <w:jc w:val="center"/>
        </w:trPr>
        <w:tc>
          <w:tcPr>
            <w:tcW w:w="0" w:type="auto"/>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57" w:hRule="atLeast"/>
          <w:jc w:val="center"/>
        </w:trPr>
        <w:tc>
          <w:tcPr>
            <w:tcW w:w="0" w:type="auto"/>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5" w:hRule="atLeast"/>
          <w:jc w:val="center"/>
        </w:trPr>
        <w:tc>
          <w:tcPr>
            <w:tcW w:w="0" w:type="auto"/>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0" w:hRule="atLeast"/>
          <w:jc w:val="center"/>
        </w:trPr>
        <w:tc>
          <w:tcPr>
            <w:tcW w:w="0" w:type="auto"/>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atLeast"/>
          <w:jc w:val="center"/>
        </w:trPr>
        <w:tc>
          <w:tcPr>
            <w:tcW w:w="0" w:type="auto"/>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0" w:hRule="atLeast"/>
          <w:jc w:val="center"/>
        </w:trPr>
        <w:tc>
          <w:tcPr>
            <w:tcW w:w="0" w:type="auto"/>
            <w:vMerge w:val="restart"/>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征地补偿费用支付</w:t>
            </w:r>
          </w:p>
        </w:tc>
        <w:tc>
          <w:tcPr>
            <w:tcW w:w="36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征地补偿费用支付凭证。</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〔在被征地村公告栏张贴，予以公开，张贴之日起 20 个工作日后可依申请公开〕。</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1.《中华人民共和国政府信息公开条例》</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2.《征收土地公告办法》</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获得支付凭证后 5 个工作日内予以公开。</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公示结束后，转为依申请公开。</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盘锦市自然资源局双台子分局</w:t>
            </w:r>
          </w:p>
        </w:tc>
        <w:tc>
          <w:tcPr>
            <w:tcW w:w="2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■社区/企事业单位/村公示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栏（电子屏）</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□政府网站     □政府公报</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□两微一端     □发布会/听证会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□广播电视     □纸质媒体</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□公开查阅点   □政务服务中心</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□便民服务站  □入户/现场</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□征地信息公开平台</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□精准推送     □其他</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√拟征收土地所在地的村集体成员</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restar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0" w:hRule="atLeast"/>
          <w:jc w:val="center"/>
        </w:trPr>
        <w:tc>
          <w:tcPr>
            <w:tcW w:w="0" w:type="auto"/>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185" w:hRule="atLeast"/>
          <w:jc w:val="center"/>
        </w:trPr>
        <w:tc>
          <w:tcPr>
            <w:tcW w:w="0" w:type="auto"/>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0" w:hRule="atLeast"/>
          <w:jc w:val="center"/>
        </w:trPr>
        <w:tc>
          <w:tcPr>
            <w:tcW w:w="0" w:type="auto"/>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2" w:hRule="atLeast"/>
          <w:jc w:val="center"/>
        </w:trPr>
        <w:tc>
          <w:tcPr>
            <w:tcW w:w="0" w:type="auto"/>
            <w:vMerge w:val="continue"/>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36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c>
          <w:tcPr>
            <w:tcW w:w="480"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i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25" w:hRule="atLeast"/>
          <w:jc w:val="center"/>
        </w:trPr>
        <w:tc>
          <w:tcPr>
            <w:tcW w:w="15330" w:type="dxa"/>
            <w:gridSpan w:val="14"/>
            <w:tcBorders>
              <w:top w:val="nil"/>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仿宋_GB2312" w:hAnsi="仿宋_GB2312" w:eastAsia="仿宋_GB2312" w:cs="仿宋_GB2312"/>
                <w:i w:val="0"/>
                <w:color w:val="auto"/>
                <w:sz w:val="18"/>
                <w:szCs w:val="18"/>
                <w:highlight w:val="none"/>
                <w:u w:val="none"/>
              </w:rPr>
            </w:pPr>
            <w:r>
              <w:rPr>
                <w:rFonts w:hint="eastAsia" w:ascii="仿宋_GB2312" w:hAnsi="仿宋_GB2312" w:eastAsia="仿宋_GB2312" w:cs="仿宋_GB2312"/>
                <w:i w:val="0"/>
                <w:color w:val="auto"/>
                <w:kern w:val="0"/>
                <w:sz w:val="18"/>
                <w:szCs w:val="18"/>
                <w:highlight w:val="none"/>
                <w:u w:val="none"/>
                <w:lang w:val="en-US" w:eastAsia="zh-CN" w:bidi="ar"/>
              </w:rPr>
              <w:t>注：1.公开内容中标注为“*”标记的，为可选项，由各地根据实际情况确定。</w:t>
            </w:r>
            <w:r>
              <w:rPr>
                <w:rFonts w:hint="eastAsia" w:ascii="仿宋_GB2312" w:hAnsi="仿宋_GB2312" w:eastAsia="仿宋_GB2312" w:cs="仿宋_GB2312"/>
                <w:i w:val="0"/>
                <w:color w:val="auto"/>
                <w:kern w:val="0"/>
                <w:sz w:val="18"/>
                <w:szCs w:val="18"/>
                <w:highlight w:val="none"/>
                <w:u w:val="none"/>
                <w:lang w:val="en-US" w:eastAsia="zh-CN" w:bidi="ar"/>
              </w:rPr>
              <w:br w:type="textWrapping"/>
            </w:r>
            <w:r>
              <w:rPr>
                <w:rFonts w:hint="eastAsia" w:ascii="仿宋_GB2312" w:hAnsi="仿宋_GB2312" w:eastAsia="仿宋_GB2312" w:cs="仿宋_GB2312"/>
                <w:i w:val="0"/>
                <w:color w:val="auto"/>
                <w:kern w:val="0"/>
                <w:sz w:val="18"/>
                <w:szCs w:val="18"/>
                <w:highlight w:val="none"/>
                <w:u w:val="none"/>
                <w:lang w:val="en-US" w:eastAsia="zh-CN" w:bidi="ar"/>
              </w:rPr>
              <w:t>2.公开渠道中标注为“■”标记的，为征地实施中的公开渠道；标注为“▲”标记的，为征地批准后的公开渠道；标注为“□”标记的，为可选项，由各地根据实际情况确定。</w:t>
            </w:r>
          </w:p>
        </w:tc>
      </w:tr>
      <w:bookmarkEnd w:id="5"/>
    </w:tbl>
    <w:p>
      <w:pPr>
        <w:rPr>
          <w:rFonts w:hint="eastAsia"/>
          <w:color w:val="auto"/>
          <w:highlight w:val="none"/>
          <w:lang w:val="en-US" w:eastAsia="zh-CN"/>
        </w:rPr>
      </w:pPr>
      <w:r>
        <w:rPr>
          <w:rFonts w:hint="eastAsia"/>
          <w:color w:val="auto"/>
          <w:highlight w:val="none"/>
          <w:lang w:val="en-US" w:eastAsia="zh-CN"/>
        </w:rPr>
        <w:br w:type="page"/>
      </w:r>
    </w:p>
    <w:p>
      <w:pPr>
        <w:pStyle w:val="2"/>
        <w:spacing w:line="240" w:lineRule="auto"/>
        <w:jc w:val="center"/>
        <w:rPr>
          <w:rFonts w:hint="eastAsia" w:ascii="黑体" w:hAnsi="黑体" w:eastAsia="黑体" w:cs="黑体"/>
          <w:color w:val="auto"/>
          <w:sz w:val="36"/>
          <w:szCs w:val="36"/>
          <w:highlight w:val="none"/>
          <w:lang w:val="en-US" w:eastAsia="zh-CN"/>
        </w:rPr>
      </w:pPr>
      <w:r>
        <w:rPr>
          <w:rFonts w:hint="eastAsia" w:ascii="黑体" w:hAnsi="黑体" w:eastAsia="黑体" w:cs="黑体"/>
          <w:color w:val="auto"/>
          <w:sz w:val="36"/>
          <w:szCs w:val="36"/>
          <w:highlight w:val="none"/>
          <w:lang w:val="en-US" w:eastAsia="zh-CN"/>
        </w:rPr>
        <w:t>双台子区生态环境领域基层政务公开标准目录</w:t>
      </w:r>
    </w:p>
    <w:tbl>
      <w:tblPr>
        <w:tblStyle w:val="7"/>
        <w:tblW w:w="14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2700"/>
        <w:gridCol w:w="1620"/>
        <w:gridCol w:w="720"/>
        <w:gridCol w:w="1915"/>
        <w:gridCol w:w="567"/>
        <w:gridCol w:w="993"/>
        <w:gridCol w:w="4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序号</w:t>
            </w:r>
          </w:p>
        </w:tc>
        <w:tc>
          <w:tcPr>
            <w:tcW w:w="1620" w:type="dxa"/>
            <w:gridSpan w:val="2"/>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公开事项</w:t>
            </w:r>
          </w:p>
        </w:tc>
        <w:tc>
          <w:tcPr>
            <w:tcW w:w="2520" w:type="dxa"/>
            <w:vMerge w:val="restart"/>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公开内容（要素）</w:t>
            </w:r>
          </w:p>
        </w:tc>
        <w:tc>
          <w:tcPr>
            <w:tcW w:w="2700" w:type="dxa"/>
            <w:vMerge w:val="restart"/>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公开依据</w:t>
            </w:r>
          </w:p>
        </w:tc>
        <w:tc>
          <w:tcPr>
            <w:tcW w:w="1620" w:type="dxa"/>
            <w:vMerge w:val="restart"/>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公开时限</w:t>
            </w:r>
          </w:p>
        </w:tc>
        <w:tc>
          <w:tcPr>
            <w:tcW w:w="720" w:type="dxa"/>
            <w:vMerge w:val="restart"/>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公开主体</w:t>
            </w:r>
          </w:p>
        </w:tc>
        <w:tc>
          <w:tcPr>
            <w:tcW w:w="1915" w:type="dxa"/>
            <w:vMerge w:val="restart"/>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公开渠道和载体</w:t>
            </w:r>
          </w:p>
        </w:tc>
        <w:tc>
          <w:tcPr>
            <w:tcW w:w="1560" w:type="dxa"/>
            <w:gridSpan w:val="2"/>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公开对象</w:t>
            </w:r>
          </w:p>
        </w:tc>
        <w:tc>
          <w:tcPr>
            <w:tcW w:w="1559" w:type="dxa"/>
            <w:gridSpan w:val="2"/>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noWrap w:val="0"/>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720" w:type="dxa"/>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一级事项</w:t>
            </w:r>
          </w:p>
        </w:tc>
        <w:tc>
          <w:tcPr>
            <w:tcW w:w="900" w:type="dxa"/>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二级事项</w:t>
            </w:r>
          </w:p>
        </w:tc>
        <w:tc>
          <w:tcPr>
            <w:tcW w:w="2520" w:type="dxa"/>
            <w:vMerge w:val="continue"/>
            <w:noWrap w:val="0"/>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2700" w:type="dxa"/>
            <w:vMerge w:val="continue"/>
            <w:noWrap w:val="0"/>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1620" w:type="dxa"/>
            <w:vMerge w:val="continue"/>
            <w:noWrap w:val="0"/>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720" w:type="dxa"/>
            <w:vMerge w:val="continue"/>
            <w:noWrap w:val="0"/>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1915" w:type="dxa"/>
            <w:vMerge w:val="continue"/>
            <w:noWrap w:val="0"/>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567" w:type="dxa"/>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全社会</w:t>
            </w:r>
          </w:p>
        </w:tc>
        <w:tc>
          <w:tcPr>
            <w:tcW w:w="993" w:type="dxa"/>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特定群众</w:t>
            </w:r>
          </w:p>
        </w:tc>
        <w:tc>
          <w:tcPr>
            <w:tcW w:w="425" w:type="dxa"/>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主动</w:t>
            </w:r>
          </w:p>
        </w:tc>
        <w:tc>
          <w:tcPr>
            <w:tcW w:w="1134" w:type="dxa"/>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6" w:hRule="atLeas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许可</w:t>
            </w: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建设项目环境影响评价文件审批</w:t>
            </w:r>
          </w:p>
        </w:tc>
        <w:tc>
          <w:tcPr>
            <w:tcW w:w="2520" w:type="dxa"/>
            <w:noWrap w:val="0"/>
            <w:vAlign w:val="center"/>
          </w:tcPr>
          <w:p>
            <w:pPr>
              <w:pStyle w:val="20"/>
              <w:adjustRightInd w:val="0"/>
              <w:snapToGrid w:val="0"/>
              <w:ind w:firstLine="0"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受理环节：受理情况公示、报告书（表）全本；拟决定环节：拟审查环评文件基本情况公示；决定环节：环评批复</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《中华人民共和国环境影</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响评价法》《中华人民共和</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国海洋环境保护法》《中华</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人民共和国放射性污染防</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治法》《中华人民共和国政</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府信息公开条例》</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☐政府公报</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□两微一端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☐发布会/听证会</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☐纸质媒体</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☐精准推送   </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许可</w:t>
            </w: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防治污染设施拆除或闲置审批</w:t>
            </w:r>
          </w:p>
        </w:tc>
        <w:tc>
          <w:tcPr>
            <w:tcW w:w="2520" w:type="dxa"/>
            <w:noWrap w:val="0"/>
            <w:vAlign w:val="center"/>
          </w:tcPr>
          <w:p>
            <w:pPr>
              <w:pStyle w:val="20"/>
              <w:adjustRightInd w:val="0"/>
              <w:snapToGrid w:val="0"/>
              <w:ind w:firstLine="0"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企业或单位关闭、闲置、拆除工业固体废物污染环境防治设施、场所的核准结果；企业或单位拆除、闲置环境噪声污染防治设施的审批结果；企业或单位拆除闲置海洋工程环境保护设施的审批结果</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《中华人民共和国固体废</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物污染环境防治法》《中华</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人民共和国环境噪声污染</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防治法》《中华人民共和国</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海洋环境保护法》《中华人</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民共和国政府信息公开条</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例》《关于全面推进政务公</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开工作的意见》（中办发</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〔2016〕8 号）、《开展基</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层政务公开标准化规范化</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试点工作方案》（国办发</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〔2017〕42 号）</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☐政府公报</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□两微一端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☐发布会/听证会</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☐纸质媒体</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☐便民服务站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☐精准推送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许可</w:t>
            </w: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危险废</w:t>
            </w:r>
          </w:p>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物经营</w:t>
            </w:r>
          </w:p>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许可证</w:t>
            </w:r>
          </w:p>
        </w:tc>
        <w:tc>
          <w:tcPr>
            <w:tcW w:w="2520" w:type="dxa"/>
            <w:noWrap w:val="0"/>
            <w:vAlign w:val="center"/>
          </w:tcPr>
          <w:p>
            <w:pPr>
              <w:pStyle w:val="20"/>
              <w:adjustRightInd w:val="0"/>
              <w:snapToGrid w:val="0"/>
              <w:ind w:firstLine="0"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受理环节：受理通知书；拟决定环节：向有关部门和专家征求意见、决定前公示等；决定环节：危险废物经营许可证信息公示；送达环节：送达单</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《中华人民共和国固体废物污染环境防治法》《中华人民共和国政府信息公开</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条例》《危险废物经营许可</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证管理办法》《国务院关于</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取消和下放一批行政审批</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项目的决定》（国发〔2013〕</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44 号）、《关于做好下放危</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险废物经营许可审批工作</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的通知》（环办函〔2014〕</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551 号）</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区行政审批局</w:t>
            </w:r>
          </w:p>
        </w:tc>
        <w:tc>
          <w:tcPr>
            <w:tcW w:w="1915" w:type="dxa"/>
            <w:noWrap w:val="0"/>
            <w:vAlign w:val="center"/>
          </w:tcPr>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☐政府公报</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□两微一端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☐发布会/听证会</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☐纸质媒体</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☐便民服务站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☐精准推送   </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val="en-US" w:eastAsia="zh-CN"/>
              </w:rPr>
              <w:t>4</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管理</w:t>
            </w: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行政确认</w:t>
            </w:r>
          </w:p>
        </w:tc>
        <w:tc>
          <w:tcPr>
            <w:tcW w:w="2520" w:type="dxa"/>
            <w:noWrap w:val="0"/>
            <w:vAlign w:val="center"/>
          </w:tcPr>
          <w:p>
            <w:pPr>
              <w:pStyle w:val="20"/>
              <w:adjustRightInd w:val="0"/>
              <w:snapToGrid w:val="0"/>
              <w:ind w:firstLine="0"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运行环节：受理、确认、送达、事后监管；责任事项</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中华人民共和国政府信</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息公开条例》《关于全面推</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进政务公开工作的意见》</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（中办发〔2016〕8 号）</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生态环境分</w:t>
            </w:r>
            <w:r>
              <w:rPr>
                <w:rFonts w:hint="eastAsia" w:ascii="仿宋_GB2312" w:hAnsi="仿宋_GB2312" w:eastAsia="仿宋_GB2312" w:cs="仿宋_GB2312"/>
                <w:color w:val="auto"/>
                <w:sz w:val="18"/>
                <w:szCs w:val="18"/>
                <w:highlight w:val="none"/>
                <w:lang w:eastAsia="zh-CN"/>
              </w:rPr>
              <w:t>局双台子分</w:t>
            </w:r>
            <w:r>
              <w:rPr>
                <w:rFonts w:hint="eastAsia" w:ascii="仿宋_GB2312" w:hAnsi="仿宋_GB2312" w:eastAsia="仿宋_GB2312" w:cs="仿宋_GB2312"/>
                <w:color w:val="auto"/>
                <w:sz w:val="18"/>
                <w:szCs w:val="18"/>
                <w:highlight w:val="none"/>
              </w:rPr>
              <w:t>局</w:t>
            </w:r>
          </w:p>
        </w:tc>
        <w:tc>
          <w:tcPr>
            <w:tcW w:w="1915" w:type="dxa"/>
            <w:noWrap w:val="0"/>
            <w:vAlign w:val="center"/>
          </w:tcPr>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☐政府公报</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□两微一端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☐发布会/听证会</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☐纸质媒体</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☐便民服务站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☐精准推送   </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6" w:hRule="atLeas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val="en-US" w:eastAsia="zh-CN"/>
              </w:rPr>
              <w:t>5</w:t>
            </w:r>
          </w:p>
        </w:tc>
        <w:tc>
          <w:tcPr>
            <w:tcW w:w="720" w:type="dxa"/>
            <w:noWrap w:val="0"/>
            <w:vAlign w:val="center"/>
          </w:tcPr>
          <w:p>
            <w:pPr>
              <w:adjustRightInd w:val="0"/>
              <w:snapToGrid w:val="0"/>
              <w:rPr>
                <w:rFonts w:hint="eastAsia" w:ascii="仿宋_GB2312" w:hAnsi="仿宋_GB2312" w:eastAsia="仿宋_GB2312" w:cs="仿宋_GB2312"/>
                <w:color w:val="auto"/>
                <w:sz w:val="18"/>
                <w:szCs w:val="18"/>
                <w:highlight w:val="none"/>
              </w:rPr>
            </w:pP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行政检查</w:t>
            </w:r>
          </w:p>
        </w:tc>
        <w:tc>
          <w:tcPr>
            <w:tcW w:w="2520" w:type="dxa"/>
            <w:noWrap w:val="0"/>
            <w:vAlign w:val="center"/>
          </w:tcPr>
          <w:p>
            <w:pPr>
              <w:pStyle w:val="20"/>
              <w:adjustRightInd w:val="0"/>
              <w:snapToGrid w:val="0"/>
              <w:ind w:firstLine="0"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运行环节：制定方案、实施检查、事后监管；责任事项</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《中华人民共和国政府信</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息公开条例》《关于全面推</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进政务公开工作的意见》</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（中办发〔2016〕8 号）</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☐政府公报</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□两微一端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☐发布会/听证会</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☐纸质媒体</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☐便民服务站 </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☐精准推送   </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val="en-US" w:eastAsia="zh-CN"/>
              </w:rPr>
              <w:t>6</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其他行政职责</w:t>
            </w: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重大建设项目环境管理</w:t>
            </w:r>
          </w:p>
        </w:tc>
        <w:tc>
          <w:tcPr>
            <w:tcW w:w="2520" w:type="dxa"/>
            <w:noWrap w:val="0"/>
            <w:vAlign w:val="center"/>
          </w:tcPr>
          <w:p>
            <w:pPr>
              <w:pStyle w:val="20"/>
              <w:adjustRightInd w:val="0"/>
              <w:snapToGrid w:val="0"/>
              <w:ind w:firstLine="0"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重大建设项目生态环境行政许可情况；重大建设项目落实生态环境要求情况；重大建设项目生态环境监督管理情况</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《中华人民共和国政府信</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息公开条例》《关于全面推</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进政务公开工作的意见》</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（中办发〔2016〕8 号）、</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《开展基层政务公开标准</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化规范化试点工作方案》</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（国办发〔2017〕42 号）</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☐政府公报</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p>
            <w:pPr>
              <w:adjustRightInd w:val="0"/>
              <w:snapToGrid w:val="0"/>
              <w:rPr>
                <w:rFonts w:hint="eastAsia" w:ascii="仿宋_GB2312" w:hAnsi="仿宋_GB2312" w:eastAsia="仿宋_GB2312" w:cs="仿宋_GB2312"/>
                <w:color w:val="auto"/>
                <w:sz w:val="18"/>
                <w:szCs w:val="18"/>
                <w:highlight w:val="none"/>
              </w:rPr>
            </w:pP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val="en-US" w:eastAsia="zh-CN"/>
              </w:rPr>
              <w:t>7</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其他行政职责</w:t>
            </w:r>
          </w:p>
          <w:p>
            <w:pPr>
              <w:adjustRightInd w:val="0"/>
              <w:snapToGrid w:val="0"/>
              <w:jc w:val="center"/>
              <w:rPr>
                <w:rFonts w:hint="eastAsia" w:ascii="仿宋_GB2312" w:hAnsi="仿宋_GB2312" w:eastAsia="仿宋_GB2312" w:cs="仿宋_GB2312"/>
                <w:color w:val="auto"/>
                <w:sz w:val="18"/>
                <w:szCs w:val="18"/>
                <w:highlight w:val="none"/>
              </w:rPr>
            </w:pPr>
          </w:p>
          <w:p>
            <w:pPr>
              <w:adjustRightInd w:val="0"/>
              <w:snapToGrid w:val="0"/>
              <w:jc w:val="center"/>
              <w:rPr>
                <w:rFonts w:hint="eastAsia" w:ascii="仿宋_GB2312" w:hAnsi="仿宋_GB2312" w:eastAsia="仿宋_GB2312" w:cs="仿宋_GB2312"/>
                <w:color w:val="auto"/>
                <w:sz w:val="18"/>
                <w:szCs w:val="18"/>
                <w:highlight w:val="none"/>
              </w:rPr>
            </w:pPr>
          </w:p>
          <w:p>
            <w:pPr>
              <w:adjustRightInd w:val="0"/>
              <w:snapToGrid w:val="0"/>
              <w:jc w:val="center"/>
              <w:rPr>
                <w:rFonts w:hint="eastAsia" w:ascii="仿宋_GB2312" w:hAnsi="仿宋_GB2312" w:eastAsia="仿宋_GB2312" w:cs="仿宋_GB2312"/>
                <w:color w:val="auto"/>
                <w:sz w:val="18"/>
                <w:szCs w:val="18"/>
                <w:highlight w:val="none"/>
              </w:rPr>
            </w:pPr>
          </w:p>
          <w:p>
            <w:pPr>
              <w:adjustRightInd w:val="0"/>
              <w:snapToGrid w:val="0"/>
              <w:jc w:val="center"/>
              <w:rPr>
                <w:rFonts w:hint="eastAsia" w:ascii="仿宋_GB2312" w:hAnsi="仿宋_GB2312" w:eastAsia="仿宋_GB2312" w:cs="仿宋_GB2312"/>
                <w:color w:val="auto"/>
                <w:sz w:val="18"/>
                <w:szCs w:val="18"/>
                <w:highlight w:val="none"/>
              </w:rPr>
            </w:pP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生态环境保护督察</w:t>
            </w:r>
          </w:p>
        </w:tc>
        <w:tc>
          <w:tcPr>
            <w:tcW w:w="25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按要求公开生态环境保护督察进驻时限，受理投诉、举报途径，督察反馈问题，受理投诉、举报查处情况，反馈问题整改情况。</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《中华人民共和国政府信</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息公开条例》《关于全面推</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进政务公开工作的意见》</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（中办发〔2016〕8 号）、</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《开展基层政务公开标准</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化规范化试点工作方案》</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（国办发〔2017〕42 号）</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vMerge w:val="restart"/>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☐政府公报</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☐政府公报</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val="en-US" w:eastAsia="zh-CN"/>
              </w:rPr>
              <w:t>8</w:t>
            </w:r>
          </w:p>
        </w:tc>
        <w:tc>
          <w:tcPr>
            <w:tcW w:w="720" w:type="dxa"/>
            <w:noWrap w:val="0"/>
            <w:vAlign w:val="center"/>
          </w:tcPr>
          <w:p>
            <w:pPr>
              <w:adjustRightInd w:val="0"/>
              <w:snapToGrid w:val="0"/>
              <w:rPr>
                <w:rFonts w:hint="eastAsia" w:ascii="仿宋_GB2312" w:hAnsi="仿宋_GB2312" w:eastAsia="仿宋_GB2312" w:cs="仿宋_GB2312"/>
                <w:color w:val="auto"/>
                <w:sz w:val="18"/>
                <w:szCs w:val="18"/>
                <w:highlight w:val="none"/>
              </w:rPr>
            </w:pP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生态建设</w:t>
            </w:r>
          </w:p>
        </w:tc>
        <w:tc>
          <w:tcPr>
            <w:tcW w:w="2520" w:type="dxa"/>
            <w:noWrap w:val="0"/>
            <w:vAlign w:val="center"/>
          </w:tcPr>
          <w:p>
            <w:pPr>
              <w:pStyle w:val="20"/>
              <w:adjustRightInd w:val="0"/>
              <w:snapToGrid w:val="0"/>
              <w:ind w:firstLine="0"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乡镇、生态村、生态示范户创建情况；生态文明建设示范区和“绿水青山就是金山银山”实践创新基地创建情况；农村环境综合整治情况；各类自然保护地生态环境监管执法信息；生物多样性保护、生物物种资源保护相关信息</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《中华人民共和国政府信</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息公开条例》《关于全面推</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进政务公开工作的意见》</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（中办发〔2016〕8 号）、</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《开展基层政务公开标准</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化规范化试点工作方案》</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（国办发〔2017〕42 号）</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vMerge w:val="continue"/>
            <w:noWrap w:val="0"/>
            <w:vAlign w:val="center"/>
          </w:tcPr>
          <w:p>
            <w:pPr>
              <w:adjustRightInd w:val="0"/>
              <w:snapToGrid w:val="0"/>
              <w:rPr>
                <w:rFonts w:hint="eastAsia" w:ascii="仿宋_GB2312" w:hAnsi="仿宋_GB2312" w:eastAsia="仿宋_GB2312" w:cs="仿宋_GB2312"/>
                <w:color w:val="auto"/>
                <w:sz w:val="18"/>
                <w:szCs w:val="18"/>
                <w:highlight w:val="none"/>
              </w:rPr>
            </w:pP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val="en-US" w:eastAsia="zh-CN"/>
              </w:rPr>
              <w:t>9</w:t>
            </w:r>
          </w:p>
        </w:tc>
        <w:tc>
          <w:tcPr>
            <w:tcW w:w="720" w:type="dxa"/>
            <w:noWrap w:val="0"/>
            <w:vAlign w:val="center"/>
          </w:tcPr>
          <w:p>
            <w:pPr>
              <w:adjustRightInd w:val="0"/>
              <w:snapToGrid w:val="0"/>
              <w:rPr>
                <w:rFonts w:hint="eastAsia" w:ascii="仿宋_GB2312" w:hAnsi="仿宋_GB2312" w:eastAsia="仿宋_GB2312" w:cs="仿宋_GB2312"/>
                <w:color w:val="auto"/>
                <w:sz w:val="18"/>
                <w:szCs w:val="18"/>
                <w:highlight w:val="none"/>
              </w:rPr>
            </w:pP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企业事业单位突发环境事件应急预案备案</w:t>
            </w:r>
          </w:p>
        </w:tc>
        <w:tc>
          <w:tcPr>
            <w:tcW w:w="25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企业事业单位突发环境事件应急预案备案情况</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《中华人民共和国环境保</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护法》《中华人民共和国突</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发事件应对法》《中华人民</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共和国政府信息公开条</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例》《企业事业单位突发环</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境事件应急预案备案管理</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办法（试行）》（环发〔2015〕</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4 号）</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9" w:hRule="atLeas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10</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公共服务事项</w:t>
            </w: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生态环境保护政策与业务</w:t>
            </w:r>
          </w:p>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咨询</w:t>
            </w:r>
          </w:p>
        </w:tc>
        <w:tc>
          <w:tcPr>
            <w:tcW w:w="25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生态环境保护政策与业务咨询答复函</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《中华人民共和国环境保</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护法》《中华人民共和国政</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府信息公开条例》</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11</w:t>
            </w:r>
          </w:p>
        </w:tc>
        <w:tc>
          <w:tcPr>
            <w:tcW w:w="720" w:type="dxa"/>
            <w:noWrap w:val="0"/>
            <w:vAlign w:val="center"/>
          </w:tcPr>
          <w:p>
            <w:pPr>
              <w:adjustRightInd w:val="0"/>
              <w:snapToGrid w:val="0"/>
              <w:rPr>
                <w:rFonts w:hint="eastAsia" w:ascii="仿宋_GB2312" w:hAnsi="仿宋_GB2312" w:eastAsia="仿宋_GB2312" w:cs="仿宋_GB2312"/>
                <w:color w:val="auto"/>
                <w:sz w:val="18"/>
                <w:szCs w:val="18"/>
                <w:highlight w:val="none"/>
              </w:rPr>
            </w:pP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生态环境污染举报咨询</w:t>
            </w:r>
          </w:p>
        </w:tc>
        <w:tc>
          <w:tcPr>
            <w:tcW w:w="25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生态环境举报、咨询方式（电话、地址等）</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《中华人民共和国环境保</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护法》《中华人民共和国政</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府信息公开条例》《环境信</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访办法》</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12</w:t>
            </w:r>
          </w:p>
        </w:tc>
        <w:tc>
          <w:tcPr>
            <w:tcW w:w="720" w:type="dxa"/>
            <w:noWrap w:val="0"/>
            <w:vAlign w:val="center"/>
          </w:tcPr>
          <w:p>
            <w:pPr>
              <w:adjustRightInd w:val="0"/>
              <w:snapToGrid w:val="0"/>
              <w:rPr>
                <w:rFonts w:hint="eastAsia" w:ascii="仿宋_GB2312" w:hAnsi="仿宋_GB2312" w:eastAsia="仿宋_GB2312" w:cs="仿宋_GB2312"/>
                <w:color w:val="auto"/>
                <w:sz w:val="18"/>
                <w:szCs w:val="18"/>
                <w:highlight w:val="none"/>
              </w:rPr>
            </w:pP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污染源信息发布</w:t>
            </w:r>
          </w:p>
        </w:tc>
        <w:tc>
          <w:tcPr>
            <w:tcW w:w="25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重点排污单位基本情况、总量控制、污染防治等信息，重点排污单位环境信息公开情况监管信息</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《中华人民共和国环境保</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护法》《中华人民共和国政</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府信息公开条例》</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p>
            <w:pPr>
              <w:adjustRightInd w:val="0"/>
              <w:snapToGrid w:val="0"/>
              <w:rPr>
                <w:rFonts w:hint="eastAsia" w:ascii="仿宋_GB2312" w:hAnsi="仿宋_GB2312" w:eastAsia="仿宋_GB2312" w:cs="仿宋_GB2312"/>
                <w:color w:val="auto"/>
                <w:sz w:val="18"/>
                <w:szCs w:val="18"/>
                <w:highlight w:val="none"/>
              </w:rPr>
            </w:pP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13</w:t>
            </w:r>
          </w:p>
        </w:tc>
        <w:tc>
          <w:tcPr>
            <w:tcW w:w="720" w:type="dxa"/>
            <w:noWrap w:val="0"/>
            <w:vAlign w:val="center"/>
          </w:tcPr>
          <w:p>
            <w:pPr>
              <w:adjustRightInd w:val="0"/>
              <w:snapToGrid w:val="0"/>
              <w:rPr>
                <w:rFonts w:hint="eastAsia" w:ascii="仿宋_GB2312" w:hAnsi="仿宋_GB2312" w:eastAsia="仿宋_GB2312" w:cs="仿宋_GB2312"/>
                <w:color w:val="auto"/>
                <w:sz w:val="18"/>
                <w:szCs w:val="18"/>
                <w:highlight w:val="none"/>
              </w:rPr>
            </w:pP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生态环境举报信访信息发布</w:t>
            </w:r>
          </w:p>
        </w:tc>
        <w:tc>
          <w:tcPr>
            <w:tcW w:w="25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公开重点生态环境举报、信访案件及处理情况</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《中华人民共和国环境保</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护法》《中华人民共和国政</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府信息公开条例》</w:t>
            </w:r>
          </w:p>
        </w:tc>
        <w:tc>
          <w:tcPr>
            <w:tcW w:w="162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自该信息</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形成或者</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变更之日</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起20 个工</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作日内</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pStyle w:val="20"/>
              <w:adjustRightInd w:val="0"/>
              <w:snapToGrid w:val="0"/>
              <w:ind w:firstLine="0" w:firstLineChars="0"/>
              <w:jc w:val="center"/>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14</w:t>
            </w:r>
          </w:p>
        </w:tc>
        <w:tc>
          <w:tcPr>
            <w:tcW w:w="720" w:type="dxa"/>
            <w:noWrap w:val="0"/>
            <w:vAlign w:val="center"/>
          </w:tcPr>
          <w:p>
            <w:pPr>
              <w:adjustRightInd w:val="0"/>
              <w:snapToGrid w:val="0"/>
              <w:rPr>
                <w:rFonts w:hint="eastAsia" w:ascii="仿宋_GB2312" w:hAnsi="仿宋_GB2312" w:eastAsia="仿宋_GB2312" w:cs="仿宋_GB2312"/>
                <w:color w:val="auto"/>
                <w:sz w:val="18"/>
                <w:szCs w:val="18"/>
                <w:highlight w:val="none"/>
              </w:rPr>
            </w:pPr>
          </w:p>
        </w:tc>
        <w:tc>
          <w:tcPr>
            <w:tcW w:w="90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生态环境统计报告</w:t>
            </w:r>
          </w:p>
        </w:tc>
        <w:tc>
          <w:tcPr>
            <w:tcW w:w="25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本行政机关的政府信息公开工作年度报告、环境统计年度报告</w:t>
            </w:r>
          </w:p>
        </w:tc>
        <w:tc>
          <w:tcPr>
            <w:tcW w:w="2700" w:type="dxa"/>
            <w:noWrap w:val="0"/>
            <w:vAlign w:val="center"/>
          </w:tcPr>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《中华人民共和国政府信</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息公开条例》《关于全面推</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进政务公开工作的意见》</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（中办发〔2016〕8 号）、</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《开展基层政务公开标准</w:t>
            </w:r>
          </w:p>
          <w:p>
            <w:pPr>
              <w:autoSpaceDE w:val="0"/>
              <w:autoSpaceDN w:val="0"/>
              <w:adjustRightInd w:val="0"/>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化规范化试点工作方案》</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（国办发〔2017〕42 号）</w:t>
            </w:r>
          </w:p>
        </w:tc>
        <w:tc>
          <w:tcPr>
            <w:tcW w:w="1620"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自该信息形成或者变更之日起20个工作日内;政府信息公开工作年度报告按照《政府信息公开条例》要求的时限公开</w:t>
            </w:r>
          </w:p>
        </w:tc>
        <w:tc>
          <w:tcPr>
            <w:tcW w:w="720"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生态环境局双台子分局</w:t>
            </w:r>
          </w:p>
        </w:tc>
        <w:tc>
          <w:tcPr>
            <w:tcW w:w="1915" w:type="dxa"/>
            <w:noWrap w:val="0"/>
            <w:vAlign w:val="center"/>
          </w:tcPr>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☐政务服务中心</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☐入户/现场</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p>
          <w:p>
            <w:pPr>
              <w:adjustRightInd w:val="0"/>
              <w:snapToGrid w:val="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67"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3"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c>
          <w:tcPr>
            <w:tcW w:w="425"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34" w:type="dxa"/>
            <w:noWrap w:val="0"/>
            <w:vAlign w:val="center"/>
          </w:tcPr>
          <w:p>
            <w:pPr>
              <w:adjustRightInd w:val="0"/>
              <w:snapToGrid w:val="0"/>
              <w:jc w:val="center"/>
              <w:rPr>
                <w:rFonts w:hint="eastAsia" w:ascii="仿宋_GB2312" w:hAnsi="仿宋_GB2312" w:eastAsia="仿宋_GB2312" w:cs="仿宋_GB2312"/>
                <w:color w:val="auto"/>
                <w:sz w:val="18"/>
                <w:szCs w:val="18"/>
                <w:highlight w:val="none"/>
              </w:rPr>
            </w:pPr>
          </w:p>
        </w:tc>
      </w:tr>
    </w:tbl>
    <w:p>
      <w:pPr>
        <w:rPr>
          <w:rFonts w:hint="eastAsia" w:cs="黑体"/>
          <w:color w:val="auto"/>
          <w:sz w:val="36"/>
          <w:szCs w:val="36"/>
          <w:highlight w:val="none"/>
          <w:lang w:val="en-US" w:eastAsia="zh-CN"/>
        </w:rPr>
      </w:pPr>
      <w:r>
        <w:rPr>
          <w:rFonts w:hint="eastAsia" w:cs="黑体"/>
          <w:color w:val="auto"/>
          <w:sz w:val="36"/>
          <w:szCs w:val="36"/>
          <w:highlight w:val="none"/>
          <w:lang w:val="en-US" w:eastAsia="zh-CN"/>
        </w:rPr>
        <w:br w:type="page"/>
      </w:r>
    </w:p>
    <w:p>
      <w:pPr>
        <w:pStyle w:val="2"/>
        <w:spacing w:line="240" w:lineRule="auto"/>
        <w:ind w:firstLine="1801" w:firstLineChars="500"/>
        <w:jc w:val="center"/>
        <w:rPr>
          <w:rFonts w:hint="eastAsia" w:ascii="黑体" w:hAnsi="黑体" w:eastAsia="黑体" w:cs="黑体"/>
          <w:b w:val="0"/>
          <w:bCs w:val="0"/>
          <w:color w:val="auto"/>
          <w:sz w:val="36"/>
          <w:szCs w:val="36"/>
          <w:highlight w:val="none"/>
          <w:lang w:val="en-US" w:eastAsia="zh-CN"/>
        </w:rPr>
      </w:pPr>
      <w:r>
        <w:rPr>
          <w:rFonts w:hint="eastAsia" w:cs="黑体"/>
          <w:color w:val="auto"/>
          <w:sz w:val="36"/>
          <w:szCs w:val="36"/>
          <w:highlight w:val="none"/>
          <w:lang w:val="en-US" w:eastAsia="zh-CN"/>
        </w:rPr>
        <w:t>双台子区</w:t>
      </w:r>
      <w:r>
        <w:rPr>
          <w:rFonts w:hint="eastAsia" w:ascii="黑体" w:hAnsi="黑体" w:eastAsia="黑体" w:cs="黑体"/>
          <w:color w:val="auto"/>
          <w:sz w:val="36"/>
          <w:szCs w:val="36"/>
          <w:highlight w:val="none"/>
        </w:rPr>
        <w:t>保障性住房领域基层政务公开标准目录</w:t>
      </w:r>
    </w:p>
    <w:tbl>
      <w:tblPr>
        <w:tblStyle w:val="7"/>
        <w:tblW w:w="147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7"/>
        <w:gridCol w:w="554"/>
        <w:gridCol w:w="554"/>
        <w:gridCol w:w="2041"/>
        <w:gridCol w:w="2948"/>
        <w:gridCol w:w="794"/>
        <w:gridCol w:w="794"/>
        <w:gridCol w:w="3005"/>
        <w:gridCol w:w="554"/>
        <w:gridCol w:w="554"/>
        <w:gridCol w:w="554"/>
        <w:gridCol w:w="554"/>
        <w:gridCol w:w="554"/>
        <w:gridCol w:w="87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blHeader/>
        </w:trPr>
        <w:tc>
          <w:tcPr>
            <w:tcW w:w="397" w:type="dxa"/>
            <w:vMerge w:val="restart"/>
            <w:vAlign w:val="top"/>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ind w:left="10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序号</w:t>
            </w:r>
          </w:p>
        </w:tc>
        <w:tc>
          <w:tcPr>
            <w:tcW w:w="1108" w:type="dxa"/>
            <w:gridSpan w:val="2"/>
            <w:vAlign w:val="top"/>
          </w:tcPr>
          <w:p>
            <w:pPr>
              <w:pStyle w:val="21"/>
              <w:spacing w:before="12"/>
              <w:rPr>
                <w:rFonts w:hint="eastAsia" w:ascii="仿宋_GB2312" w:hAnsi="仿宋_GB2312" w:eastAsia="仿宋_GB2312" w:cs="仿宋_GB2312"/>
                <w:color w:val="auto"/>
                <w:sz w:val="18"/>
                <w:szCs w:val="18"/>
                <w:highlight w:val="none"/>
              </w:rPr>
            </w:pPr>
          </w:p>
          <w:p>
            <w:pPr>
              <w:pStyle w:val="21"/>
              <w:ind w:left="199"/>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公开事项</w:t>
            </w:r>
          </w:p>
        </w:tc>
        <w:tc>
          <w:tcPr>
            <w:tcW w:w="2041" w:type="dxa"/>
            <w:vMerge w:val="restart"/>
            <w:vAlign w:val="top"/>
          </w:tcPr>
          <w:p>
            <w:pPr>
              <w:pStyle w:val="21"/>
              <w:spacing w:before="96" w:line="228" w:lineRule="exact"/>
              <w:ind w:left="228"/>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公开内容（要素）</w:t>
            </w:r>
          </w:p>
          <w:p>
            <w:pPr>
              <w:pStyle w:val="21"/>
              <w:spacing w:before="3" w:line="232" w:lineRule="auto"/>
              <w:ind w:left="41" w:right="174"/>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 xml:space="preserve">（“●”表示必选 </w:t>
            </w:r>
            <w:r>
              <w:rPr>
                <w:rFonts w:hint="eastAsia" w:ascii="仿宋_GB2312" w:hAnsi="仿宋_GB2312" w:eastAsia="仿宋_GB2312" w:cs="仿宋_GB2312"/>
                <w:b/>
                <w:color w:val="auto"/>
                <w:spacing w:val="-2"/>
                <w:sz w:val="18"/>
                <w:szCs w:val="18"/>
                <w:highlight w:val="none"/>
              </w:rPr>
              <w:t>项，“〇”表示可选</w:t>
            </w:r>
            <w:r>
              <w:rPr>
                <w:rFonts w:hint="eastAsia" w:ascii="仿宋_GB2312" w:hAnsi="仿宋_GB2312" w:eastAsia="仿宋_GB2312" w:cs="仿宋_GB2312"/>
                <w:b/>
                <w:color w:val="auto"/>
                <w:sz w:val="18"/>
                <w:szCs w:val="18"/>
                <w:highlight w:val="none"/>
              </w:rPr>
              <w:t>项）</w:t>
            </w:r>
          </w:p>
        </w:tc>
        <w:tc>
          <w:tcPr>
            <w:tcW w:w="2948" w:type="dxa"/>
            <w:vMerge w:val="restart"/>
            <w:vAlign w:val="top"/>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ind w:left="983" w:right="948"/>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公开依据</w:t>
            </w:r>
          </w:p>
        </w:tc>
        <w:tc>
          <w:tcPr>
            <w:tcW w:w="794" w:type="dxa"/>
            <w:vMerge w:val="restart"/>
            <w:vAlign w:val="top"/>
          </w:tcPr>
          <w:p>
            <w:pPr>
              <w:pStyle w:val="21"/>
              <w:spacing w:before="5"/>
              <w:rPr>
                <w:rFonts w:hint="eastAsia" w:ascii="仿宋_GB2312" w:hAnsi="仿宋_GB2312" w:eastAsia="仿宋_GB2312" w:cs="仿宋_GB2312"/>
                <w:color w:val="auto"/>
                <w:sz w:val="18"/>
                <w:szCs w:val="18"/>
                <w:highlight w:val="none"/>
              </w:rPr>
            </w:pPr>
          </w:p>
          <w:p>
            <w:pPr>
              <w:pStyle w:val="21"/>
              <w:spacing w:before="1" w:line="235" w:lineRule="auto"/>
              <w:ind w:left="224" w:right="18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公开时限</w:t>
            </w:r>
          </w:p>
        </w:tc>
        <w:tc>
          <w:tcPr>
            <w:tcW w:w="794" w:type="dxa"/>
            <w:vMerge w:val="restart"/>
            <w:vAlign w:val="top"/>
          </w:tcPr>
          <w:p>
            <w:pPr>
              <w:pStyle w:val="21"/>
              <w:spacing w:before="5"/>
              <w:rPr>
                <w:rFonts w:hint="eastAsia" w:ascii="仿宋_GB2312" w:hAnsi="仿宋_GB2312" w:eastAsia="仿宋_GB2312" w:cs="仿宋_GB2312"/>
                <w:color w:val="auto"/>
                <w:sz w:val="18"/>
                <w:szCs w:val="18"/>
                <w:highlight w:val="none"/>
              </w:rPr>
            </w:pPr>
          </w:p>
          <w:p>
            <w:pPr>
              <w:pStyle w:val="21"/>
              <w:spacing w:before="1" w:line="235" w:lineRule="auto"/>
              <w:ind w:left="225" w:right="184"/>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公开主体</w:t>
            </w:r>
          </w:p>
        </w:tc>
        <w:tc>
          <w:tcPr>
            <w:tcW w:w="3005" w:type="dxa"/>
            <w:vMerge w:val="restart"/>
            <w:vAlign w:val="top"/>
          </w:tcPr>
          <w:p>
            <w:pPr>
              <w:pStyle w:val="21"/>
              <w:spacing w:before="4"/>
              <w:rPr>
                <w:rFonts w:hint="eastAsia" w:ascii="仿宋_GB2312" w:hAnsi="仿宋_GB2312" w:eastAsia="仿宋_GB2312" w:cs="仿宋_GB2312"/>
                <w:color w:val="auto"/>
                <w:sz w:val="18"/>
                <w:szCs w:val="18"/>
                <w:highlight w:val="none"/>
              </w:rPr>
            </w:pPr>
          </w:p>
          <w:p>
            <w:pPr>
              <w:pStyle w:val="21"/>
              <w:spacing w:line="228" w:lineRule="exact"/>
              <w:ind w:left="794"/>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公开渠道和载体</w:t>
            </w:r>
          </w:p>
          <w:p>
            <w:pPr>
              <w:pStyle w:val="21"/>
              <w:spacing w:before="1" w:line="235" w:lineRule="auto"/>
              <w:ind w:left="40" w:right="38"/>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（“■”表示必选项，“□”表示可选项）</w:t>
            </w:r>
          </w:p>
        </w:tc>
        <w:tc>
          <w:tcPr>
            <w:tcW w:w="1108" w:type="dxa"/>
            <w:gridSpan w:val="2"/>
            <w:vAlign w:val="top"/>
          </w:tcPr>
          <w:p>
            <w:pPr>
              <w:pStyle w:val="21"/>
              <w:spacing w:before="12"/>
              <w:rPr>
                <w:rFonts w:hint="eastAsia" w:ascii="仿宋_GB2312" w:hAnsi="仿宋_GB2312" w:eastAsia="仿宋_GB2312" w:cs="仿宋_GB2312"/>
                <w:color w:val="auto"/>
                <w:sz w:val="18"/>
                <w:szCs w:val="18"/>
                <w:highlight w:val="none"/>
              </w:rPr>
            </w:pPr>
          </w:p>
          <w:p>
            <w:pPr>
              <w:pStyle w:val="21"/>
              <w:ind w:left="20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公开对象</w:t>
            </w:r>
          </w:p>
        </w:tc>
        <w:tc>
          <w:tcPr>
            <w:tcW w:w="1108" w:type="dxa"/>
            <w:gridSpan w:val="2"/>
            <w:vAlign w:val="top"/>
          </w:tcPr>
          <w:p>
            <w:pPr>
              <w:pStyle w:val="21"/>
              <w:spacing w:before="12"/>
              <w:rPr>
                <w:rFonts w:hint="eastAsia" w:ascii="仿宋_GB2312" w:hAnsi="仿宋_GB2312" w:eastAsia="仿宋_GB2312" w:cs="仿宋_GB2312"/>
                <w:color w:val="auto"/>
                <w:sz w:val="18"/>
                <w:szCs w:val="18"/>
                <w:highlight w:val="none"/>
              </w:rPr>
            </w:pPr>
          </w:p>
          <w:p>
            <w:pPr>
              <w:pStyle w:val="21"/>
              <w:ind w:left="20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公开方式</w:t>
            </w:r>
          </w:p>
        </w:tc>
        <w:tc>
          <w:tcPr>
            <w:tcW w:w="1427" w:type="dxa"/>
            <w:gridSpan w:val="2"/>
            <w:vAlign w:val="top"/>
          </w:tcPr>
          <w:p>
            <w:pPr>
              <w:pStyle w:val="21"/>
              <w:spacing w:before="12"/>
              <w:rPr>
                <w:rFonts w:hint="eastAsia" w:ascii="仿宋_GB2312" w:hAnsi="仿宋_GB2312" w:eastAsia="仿宋_GB2312" w:cs="仿宋_GB2312"/>
                <w:color w:val="auto"/>
                <w:sz w:val="18"/>
                <w:szCs w:val="18"/>
                <w:highlight w:val="none"/>
              </w:rPr>
            </w:pPr>
          </w:p>
          <w:p>
            <w:pPr>
              <w:pStyle w:val="21"/>
              <w:ind w:left="26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1" w:hRule="atLeast"/>
          <w:tblHeader/>
        </w:trPr>
        <w:tc>
          <w:tcPr>
            <w:tcW w:w="397" w:type="dxa"/>
            <w:vMerge w:val="continue"/>
            <w:tcBorders>
              <w:top w:val="nil"/>
            </w:tcBorders>
            <w:vAlign w:val="top"/>
          </w:tcPr>
          <w:p>
            <w:pPr>
              <w:rPr>
                <w:rFonts w:hint="eastAsia" w:ascii="仿宋_GB2312" w:hAnsi="仿宋_GB2312" w:eastAsia="仿宋_GB2312" w:cs="仿宋_GB2312"/>
                <w:color w:val="auto"/>
                <w:sz w:val="18"/>
                <w:szCs w:val="18"/>
                <w:highlight w:val="none"/>
              </w:rPr>
            </w:pPr>
          </w:p>
        </w:tc>
        <w:tc>
          <w:tcPr>
            <w:tcW w:w="554" w:type="dxa"/>
            <w:vAlign w:val="top"/>
          </w:tcPr>
          <w:p>
            <w:pPr>
              <w:pStyle w:val="21"/>
              <w:spacing w:before="28" w:line="226" w:lineRule="exact"/>
              <w:ind w:left="103" w:right="66"/>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一级事项</w:t>
            </w:r>
          </w:p>
        </w:tc>
        <w:tc>
          <w:tcPr>
            <w:tcW w:w="554" w:type="dxa"/>
            <w:vAlign w:val="top"/>
          </w:tcPr>
          <w:p>
            <w:pPr>
              <w:pStyle w:val="21"/>
              <w:spacing w:before="28" w:line="226" w:lineRule="exact"/>
              <w:ind w:left="103" w:right="66"/>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二级事项</w:t>
            </w:r>
          </w:p>
        </w:tc>
        <w:tc>
          <w:tcPr>
            <w:tcW w:w="2041" w:type="dxa"/>
            <w:vMerge w:val="continue"/>
            <w:tcBorders>
              <w:top w:val="nil"/>
            </w:tcBorders>
            <w:vAlign w:val="top"/>
          </w:tcPr>
          <w:p>
            <w:pPr>
              <w:rPr>
                <w:rFonts w:hint="eastAsia" w:ascii="仿宋_GB2312" w:hAnsi="仿宋_GB2312" w:eastAsia="仿宋_GB2312" w:cs="仿宋_GB2312"/>
                <w:color w:val="auto"/>
                <w:sz w:val="18"/>
                <w:szCs w:val="18"/>
                <w:highlight w:val="none"/>
              </w:rPr>
            </w:pPr>
          </w:p>
        </w:tc>
        <w:tc>
          <w:tcPr>
            <w:tcW w:w="2948" w:type="dxa"/>
            <w:vMerge w:val="continue"/>
            <w:tcBorders>
              <w:top w:val="nil"/>
            </w:tcBorders>
            <w:vAlign w:val="top"/>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vAlign w:val="top"/>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vAlign w:val="top"/>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vAlign w:val="top"/>
          </w:tcPr>
          <w:p>
            <w:pPr>
              <w:rPr>
                <w:rFonts w:hint="eastAsia" w:ascii="仿宋_GB2312" w:hAnsi="仿宋_GB2312" w:eastAsia="仿宋_GB2312" w:cs="仿宋_GB2312"/>
                <w:color w:val="auto"/>
                <w:sz w:val="18"/>
                <w:szCs w:val="18"/>
                <w:highlight w:val="none"/>
              </w:rPr>
            </w:pPr>
          </w:p>
        </w:tc>
        <w:tc>
          <w:tcPr>
            <w:tcW w:w="554" w:type="dxa"/>
            <w:vAlign w:val="top"/>
          </w:tcPr>
          <w:p>
            <w:pPr>
              <w:pStyle w:val="21"/>
              <w:spacing w:before="28" w:line="226" w:lineRule="exact"/>
              <w:ind w:left="197" w:right="64" w:hanging="9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全社会</w:t>
            </w:r>
          </w:p>
        </w:tc>
        <w:tc>
          <w:tcPr>
            <w:tcW w:w="554" w:type="dxa"/>
            <w:vAlign w:val="top"/>
          </w:tcPr>
          <w:p>
            <w:pPr>
              <w:pStyle w:val="21"/>
              <w:spacing w:before="28" w:line="226" w:lineRule="exact"/>
              <w:ind w:left="106" w:right="6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特定群体</w:t>
            </w:r>
          </w:p>
        </w:tc>
        <w:tc>
          <w:tcPr>
            <w:tcW w:w="554" w:type="dxa"/>
            <w:vAlign w:val="top"/>
          </w:tcPr>
          <w:p>
            <w:pPr>
              <w:pStyle w:val="21"/>
              <w:spacing w:before="142"/>
              <w:ind w:left="106"/>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主动</w:t>
            </w:r>
          </w:p>
        </w:tc>
        <w:tc>
          <w:tcPr>
            <w:tcW w:w="554" w:type="dxa"/>
            <w:vAlign w:val="top"/>
          </w:tcPr>
          <w:p>
            <w:pPr>
              <w:pStyle w:val="21"/>
              <w:spacing w:before="28" w:line="226" w:lineRule="exact"/>
              <w:ind w:left="198" w:right="62" w:hanging="9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依申请</w:t>
            </w:r>
          </w:p>
        </w:tc>
        <w:tc>
          <w:tcPr>
            <w:tcW w:w="554" w:type="dxa"/>
            <w:vAlign w:val="top"/>
          </w:tcPr>
          <w:p>
            <w:pPr>
              <w:pStyle w:val="21"/>
              <w:spacing w:before="142"/>
              <w:ind w:left="10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lang w:eastAsia="zh-CN"/>
              </w:rPr>
              <w:t>县</w:t>
            </w:r>
            <w:r>
              <w:rPr>
                <w:rFonts w:hint="eastAsia" w:ascii="仿宋_GB2312" w:hAnsi="仿宋_GB2312" w:eastAsia="仿宋_GB2312" w:cs="仿宋_GB2312"/>
                <w:b/>
                <w:color w:val="auto"/>
                <w:sz w:val="18"/>
                <w:szCs w:val="18"/>
                <w:highlight w:val="none"/>
              </w:rPr>
              <w:t>级</w:t>
            </w:r>
          </w:p>
        </w:tc>
        <w:tc>
          <w:tcPr>
            <w:tcW w:w="873" w:type="dxa"/>
            <w:vAlign w:val="top"/>
          </w:tcPr>
          <w:p>
            <w:pPr>
              <w:pStyle w:val="21"/>
              <w:spacing w:line="225" w:lineRule="exact"/>
              <w:ind w:left="45"/>
              <w:jc w:val="center"/>
              <w:rPr>
                <w:rFonts w:hint="eastAsia" w:ascii="仿宋_GB2312" w:hAnsi="仿宋_GB2312" w:eastAsia="仿宋_GB2312" w:cs="仿宋_GB2312"/>
                <w:b/>
                <w:color w:val="auto"/>
                <w:sz w:val="18"/>
                <w:szCs w:val="18"/>
                <w:highlight w:val="none"/>
                <w:lang w:eastAsia="zh-CN"/>
              </w:rPr>
            </w:pPr>
            <w:r>
              <w:rPr>
                <w:rFonts w:hint="eastAsia" w:ascii="仿宋_GB2312" w:hAnsi="仿宋_GB2312" w:eastAsia="仿宋_GB2312" w:cs="仿宋_GB2312"/>
                <w:b/>
                <w:color w:val="auto"/>
                <w:sz w:val="18"/>
                <w:szCs w:val="18"/>
                <w:highlight w:val="none"/>
                <w:lang w:eastAsia="zh-CN"/>
              </w:rPr>
              <w:t>乡</w:t>
            </w:r>
          </w:p>
          <w:p>
            <w:pPr>
              <w:pStyle w:val="21"/>
              <w:spacing w:line="227" w:lineRule="exact"/>
              <w:ind w:left="57" w:right="13"/>
              <w:jc w:val="center"/>
              <w:rPr>
                <w:rFonts w:hint="eastAsia" w:ascii="仿宋_GB2312" w:hAnsi="仿宋_GB2312" w:eastAsia="仿宋_GB2312" w:cs="仿宋_GB2312"/>
                <w:b/>
                <w:color w:val="auto"/>
                <w:sz w:val="18"/>
                <w:szCs w:val="18"/>
                <w:highlight w:val="none"/>
                <w:lang w:eastAsia="zh-CN"/>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b/>
                <w:color w:val="auto"/>
                <w:sz w:val="18"/>
                <w:szCs w:val="18"/>
                <w:highlight w:val="none"/>
                <w:lang w:eastAsia="zh-CN"/>
              </w:rPr>
              <w:t>镇</w:t>
            </w: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b/>
                <w:color w:val="auto"/>
                <w:sz w:val="18"/>
                <w:szCs w:val="18"/>
                <w:highlight w:val="none"/>
                <w:lang w:eastAsia="zh-CN"/>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1" w:hRule="atLeast"/>
        </w:trPr>
        <w:tc>
          <w:tcPr>
            <w:tcW w:w="397"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right="202"/>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554"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法规政策</w:t>
            </w:r>
          </w:p>
        </w:tc>
        <w:tc>
          <w:tcPr>
            <w:tcW w:w="554"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法律法规</w:t>
            </w:r>
          </w:p>
        </w:tc>
        <w:tc>
          <w:tcPr>
            <w:tcW w:w="2041"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numPr>
                <w:ilvl w:val="0"/>
                <w:numId w:val="1"/>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文件名称</w:t>
            </w:r>
          </w:p>
          <w:p>
            <w:pPr>
              <w:pStyle w:val="21"/>
              <w:numPr>
                <w:ilvl w:val="0"/>
                <w:numId w:val="1"/>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文号</w:t>
            </w:r>
          </w:p>
          <w:p>
            <w:pPr>
              <w:pStyle w:val="21"/>
              <w:numPr>
                <w:ilvl w:val="0"/>
                <w:numId w:val="1"/>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发布部门</w:t>
            </w:r>
          </w:p>
          <w:p>
            <w:pPr>
              <w:pStyle w:val="21"/>
              <w:numPr>
                <w:ilvl w:val="0"/>
                <w:numId w:val="1"/>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发布日期</w:t>
            </w:r>
          </w:p>
          <w:p>
            <w:pPr>
              <w:pStyle w:val="21"/>
              <w:numPr>
                <w:ilvl w:val="0"/>
                <w:numId w:val="1"/>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实施日期</w:t>
            </w:r>
          </w:p>
          <w:p>
            <w:pPr>
              <w:pStyle w:val="21"/>
              <w:numPr>
                <w:ilvl w:val="0"/>
                <w:numId w:val="1"/>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正文</w:t>
            </w:r>
          </w:p>
        </w:tc>
        <w:tc>
          <w:tcPr>
            <w:tcW w:w="2948" w:type="dxa"/>
            <w:vMerge w:val="restart"/>
            <w:tcBorders>
              <w:bottom w:val="single" w:color="000000" w:sz="8" w:space="0"/>
            </w:tcBorders>
            <w:vAlign w:val="top"/>
          </w:tcPr>
          <w:p>
            <w:pPr>
              <w:pStyle w:val="21"/>
              <w:spacing w:line="232"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《已购公有住房和经济适用住房上市出售管理暂行办法》</w:t>
            </w:r>
          </w:p>
          <w:p>
            <w:pPr>
              <w:pStyle w:val="21"/>
              <w:spacing w:line="224"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《廉租住房保障办法》</w:t>
            </w:r>
          </w:p>
          <w:p>
            <w:pPr>
              <w:pStyle w:val="21"/>
              <w:spacing w:line="226"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4"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line="235" w:lineRule="auto"/>
              <w:ind w:left="39" w:right="13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《住房城乡建设部 财政部 国家发改委关于公共租赁住房和廉租住房并轨运行的通知》</w:t>
            </w:r>
          </w:p>
          <w:p>
            <w:pPr>
              <w:pStyle w:val="21"/>
              <w:spacing w:before="1"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《中共中央办公厅国务院办公厅印发〈关于全面推进政务公开工作的意见〉的通知》</w:t>
            </w:r>
          </w:p>
          <w:p>
            <w:pPr>
              <w:pStyle w:val="21"/>
              <w:spacing w:before="4"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《国务院办公厅印发〈关于全面推进政务公开工作的意见〉实施细则的通知》</w:t>
            </w:r>
          </w:p>
          <w:p>
            <w:pPr>
              <w:pStyle w:val="21"/>
              <w:spacing w:before="1" w:line="235" w:lineRule="auto"/>
              <w:ind w:left="39" w:right="4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《住房和城乡建设部 财政部关于做好城镇住房保障家庭租赁补贴工作的指导意见》</w:t>
            </w:r>
          </w:p>
          <w:p>
            <w:pPr>
              <w:pStyle w:val="21"/>
              <w:spacing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line="232"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p>
            <w:pPr>
              <w:pStyle w:val="21"/>
              <w:spacing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《公共租赁住房资产管理暂行办法》</w:t>
            </w:r>
          </w:p>
          <w:p>
            <w:pPr>
              <w:pStyle w:val="21"/>
              <w:spacing w:line="232" w:lineRule="auto"/>
              <w:ind w:left="39" w:right="4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《住房和城乡建设部 国家发展改革委 财政部 自然资源部关于进一步规范发展公租房的意见》</w:t>
            </w:r>
          </w:p>
        </w:tc>
        <w:tc>
          <w:tcPr>
            <w:tcW w:w="794" w:type="dxa"/>
            <w:vMerge w:val="restart"/>
            <w:tcBorders>
              <w:bottom w:val="single" w:color="000000" w:sz="8"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信息获取</w:t>
            </w:r>
          </w:p>
          <w:p>
            <w:pPr>
              <w:pStyle w:val="21"/>
              <w:spacing w:before="3"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pacing w:val="-5"/>
                <w:sz w:val="18"/>
                <w:szCs w:val="18"/>
                <w:highlight w:val="none"/>
              </w:rPr>
              <w:t>形成变</w:t>
            </w:r>
            <w:r>
              <w:rPr>
                <w:rFonts w:hint="eastAsia" w:ascii="仿宋_GB2312" w:hAnsi="仿宋_GB2312" w:eastAsia="仿宋_GB2312" w:cs="仿宋_GB2312"/>
                <w:color w:val="auto"/>
                <w:sz w:val="18"/>
                <w:szCs w:val="18"/>
                <w:highlight w:val="none"/>
              </w:rPr>
              <w:t>更）20</w:t>
            </w:r>
            <w:r>
              <w:rPr>
                <w:rFonts w:hint="eastAsia" w:ascii="仿宋_GB2312" w:hAnsi="仿宋_GB2312" w:eastAsia="仿宋_GB2312" w:cs="仿宋_GB2312"/>
                <w:color w:val="auto"/>
                <w:spacing w:val="-17"/>
                <w:sz w:val="18"/>
                <w:szCs w:val="18"/>
                <w:highlight w:val="none"/>
              </w:rPr>
              <w:t>个</w:t>
            </w:r>
            <w:r>
              <w:rPr>
                <w:rFonts w:hint="eastAsia" w:ascii="仿宋_GB2312" w:hAnsi="仿宋_GB2312" w:eastAsia="仿宋_GB2312" w:cs="仿宋_GB2312"/>
                <w:color w:val="auto"/>
                <w:spacing w:val="-4"/>
                <w:sz w:val="18"/>
                <w:szCs w:val="18"/>
                <w:highlight w:val="none"/>
              </w:rPr>
              <w:t>工作日内</w:t>
            </w:r>
          </w:p>
        </w:tc>
        <w:tc>
          <w:tcPr>
            <w:tcW w:w="794" w:type="dxa"/>
            <w:vMerge w:val="restart"/>
            <w:tcBorders>
              <w:bottom w:val="single" w:color="000000" w:sz="8"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42" w:right="9"/>
              <w:jc w:val="both"/>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Borders>
              <w:bottom w:val="single" w:color="000000" w:sz="8"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numPr>
                <w:ilvl w:val="0"/>
                <w:numId w:val="2"/>
              </w:numPr>
              <w:tabs>
                <w:tab w:val="left" w:pos="222"/>
                <w:tab w:val="left" w:pos="1579"/>
              </w:tabs>
              <w:spacing w:before="161"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6"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numPr>
                <w:ilvl w:val="0"/>
                <w:numId w:val="0"/>
              </w:numPr>
              <w:tabs>
                <w:tab w:val="left" w:pos="222"/>
                <w:tab w:val="left" w:pos="1576"/>
              </w:tabs>
              <w:spacing w:before="0" w:after="0" w:line="224"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Borders>
              <w:bottom w:val="single" w:color="000000" w:sz="8"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3"/>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Borders>
              <w:bottom w:val="single" w:color="000000" w:sz="8" w:space="0"/>
            </w:tcBorders>
            <w:vAlign w:val="top"/>
          </w:tcPr>
          <w:p>
            <w:pPr>
              <w:pStyle w:val="21"/>
              <w:rPr>
                <w:rFonts w:hint="eastAsia" w:ascii="仿宋_GB2312" w:hAnsi="仿宋_GB2312" w:eastAsia="仿宋_GB2312" w:cs="仿宋_GB2312"/>
                <w:color w:val="auto"/>
                <w:sz w:val="18"/>
                <w:szCs w:val="18"/>
                <w:highlight w:val="none"/>
              </w:rPr>
            </w:pPr>
          </w:p>
        </w:tc>
        <w:tc>
          <w:tcPr>
            <w:tcW w:w="554" w:type="dxa"/>
            <w:vMerge w:val="restart"/>
            <w:tcBorders>
              <w:bottom w:val="single" w:color="000000" w:sz="8"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3"/>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Borders>
              <w:bottom w:val="single" w:color="000000" w:sz="8" w:space="0"/>
            </w:tcBorders>
            <w:vAlign w:val="top"/>
          </w:tcPr>
          <w:p>
            <w:pPr>
              <w:pStyle w:val="21"/>
              <w:rPr>
                <w:rFonts w:hint="eastAsia" w:ascii="仿宋_GB2312" w:hAnsi="仿宋_GB2312" w:eastAsia="仿宋_GB2312" w:cs="仿宋_GB2312"/>
                <w:color w:val="auto"/>
                <w:sz w:val="18"/>
                <w:szCs w:val="18"/>
                <w:highlight w:val="none"/>
              </w:rPr>
            </w:pPr>
          </w:p>
        </w:tc>
        <w:tc>
          <w:tcPr>
            <w:tcW w:w="554" w:type="dxa"/>
            <w:vMerge w:val="restart"/>
            <w:tcBorders>
              <w:bottom w:val="single" w:color="000000" w:sz="8"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3"/>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Borders>
              <w:bottom w:val="single" w:color="000000" w:sz="8" w:space="0"/>
            </w:tcBorders>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3"/>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72" w:hRule="atLeast"/>
        </w:trPr>
        <w:tc>
          <w:tcPr>
            <w:tcW w:w="397"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right="202"/>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554"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法规政策</w:t>
            </w:r>
          </w:p>
        </w:tc>
        <w:tc>
          <w:tcPr>
            <w:tcW w:w="554"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政策文件</w:t>
            </w:r>
          </w:p>
        </w:tc>
        <w:tc>
          <w:tcPr>
            <w:tcW w:w="2041" w:type="dxa"/>
            <w:vAlign w:val="top"/>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numPr>
                <w:ilvl w:val="0"/>
                <w:numId w:val="3"/>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文件名称</w:t>
            </w:r>
          </w:p>
          <w:p>
            <w:pPr>
              <w:pStyle w:val="21"/>
              <w:numPr>
                <w:ilvl w:val="0"/>
                <w:numId w:val="3"/>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文号</w:t>
            </w:r>
          </w:p>
          <w:p>
            <w:pPr>
              <w:pStyle w:val="21"/>
              <w:numPr>
                <w:ilvl w:val="0"/>
                <w:numId w:val="3"/>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发布部门</w:t>
            </w:r>
          </w:p>
          <w:p>
            <w:pPr>
              <w:pStyle w:val="21"/>
              <w:numPr>
                <w:ilvl w:val="0"/>
                <w:numId w:val="3"/>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发布日期</w:t>
            </w:r>
          </w:p>
          <w:p>
            <w:pPr>
              <w:pStyle w:val="21"/>
              <w:numPr>
                <w:ilvl w:val="0"/>
                <w:numId w:val="3"/>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实施日期</w:t>
            </w:r>
          </w:p>
          <w:p>
            <w:pPr>
              <w:pStyle w:val="21"/>
              <w:numPr>
                <w:ilvl w:val="0"/>
                <w:numId w:val="3"/>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正文</w:t>
            </w:r>
          </w:p>
        </w:tc>
        <w:tc>
          <w:tcPr>
            <w:tcW w:w="2948"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c>
          <w:tcPr>
            <w:tcW w:w="794"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c>
          <w:tcPr>
            <w:tcW w:w="794"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c>
          <w:tcPr>
            <w:tcW w:w="3005"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c>
          <w:tcPr>
            <w:tcW w:w="554"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c>
          <w:tcPr>
            <w:tcW w:w="554"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c>
          <w:tcPr>
            <w:tcW w:w="554"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c>
          <w:tcPr>
            <w:tcW w:w="554"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c>
          <w:tcPr>
            <w:tcW w:w="554"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c>
          <w:tcPr>
            <w:tcW w:w="873" w:type="dxa"/>
            <w:vMerge w:val="continue"/>
            <w:tcBorders>
              <w:top w:val="single" w:color="000000" w:sz="8" w:space="0"/>
              <w:bottom w:val="single" w:color="000000" w:sz="8" w:space="0"/>
            </w:tcBorders>
            <w:vAlign w:val="top"/>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4" w:hRule="atLeast"/>
        </w:trPr>
        <w:tc>
          <w:tcPr>
            <w:tcW w:w="397" w:type="dxa"/>
          </w:tcPr>
          <w:p>
            <w:pPr>
              <w:pStyle w:val="21"/>
              <w:ind w:right="202"/>
              <w:jc w:val="right"/>
              <w:rPr>
                <w:rFonts w:hint="eastAsia" w:ascii="仿宋_GB2312" w:hAnsi="仿宋_GB2312" w:eastAsia="仿宋_GB2312" w:cs="仿宋_GB2312"/>
                <w:color w:val="auto"/>
                <w:sz w:val="18"/>
                <w:szCs w:val="18"/>
                <w:highlight w:val="none"/>
              </w:rPr>
            </w:pPr>
          </w:p>
          <w:p>
            <w:pPr>
              <w:pStyle w:val="21"/>
              <w:ind w:right="202"/>
              <w:jc w:val="right"/>
              <w:rPr>
                <w:rFonts w:hint="eastAsia" w:ascii="仿宋_GB2312" w:hAnsi="仿宋_GB2312" w:eastAsia="仿宋_GB2312" w:cs="仿宋_GB2312"/>
                <w:color w:val="auto"/>
                <w:sz w:val="18"/>
                <w:szCs w:val="18"/>
                <w:highlight w:val="none"/>
              </w:rPr>
            </w:pPr>
          </w:p>
          <w:p>
            <w:pPr>
              <w:pStyle w:val="21"/>
              <w:ind w:right="202"/>
              <w:jc w:val="right"/>
              <w:rPr>
                <w:rFonts w:hint="eastAsia" w:ascii="仿宋_GB2312" w:hAnsi="仿宋_GB2312" w:eastAsia="仿宋_GB2312" w:cs="仿宋_GB2312"/>
                <w:color w:val="auto"/>
                <w:sz w:val="18"/>
                <w:szCs w:val="18"/>
                <w:highlight w:val="none"/>
              </w:rPr>
            </w:pPr>
          </w:p>
          <w:p>
            <w:pPr>
              <w:pStyle w:val="21"/>
              <w:ind w:right="202"/>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554" w:type="dxa"/>
          </w:tcPr>
          <w:p>
            <w:pPr>
              <w:pStyle w:val="21"/>
              <w:spacing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重大决策</w:t>
            </w:r>
          </w:p>
        </w:tc>
        <w:tc>
          <w:tcPr>
            <w:tcW w:w="554" w:type="dxa"/>
          </w:tcPr>
          <w:p>
            <w:pPr>
              <w:pStyle w:val="21"/>
              <w:spacing w:line="235" w:lineRule="auto"/>
              <w:ind w:left="105" w:right="66"/>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9"/>
                <w:sz w:val="18"/>
                <w:szCs w:val="18"/>
                <w:highlight w:val="none"/>
              </w:rPr>
              <w:t>决策</w:t>
            </w:r>
            <w:r>
              <w:rPr>
                <w:rFonts w:hint="eastAsia" w:ascii="仿宋_GB2312" w:hAnsi="仿宋_GB2312" w:eastAsia="仿宋_GB2312" w:cs="仿宋_GB2312"/>
                <w:color w:val="auto"/>
                <w:sz w:val="18"/>
                <w:szCs w:val="18"/>
                <w:highlight w:val="none"/>
              </w:rPr>
              <w:t xml:space="preserve">前 </w:t>
            </w:r>
            <w:r>
              <w:rPr>
                <w:rFonts w:hint="eastAsia" w:ascii="仿宋_GB2312" w:hAnsi="仿宋_GB2312" w:eastAsia="仿宋_GB2312" w:cs="仿宋_GB2312"/>
                <w:color w:val="auto"/>
                <w:spacing w:val="-9"/>
                <w:sz w:val="18"/>
                <w:szCs w:val="18"/>
                <w:highlight w:val="none"/>
              </w:rPr>
              <w:t>预公</w:t>
            </w:r>
            <w:r>
              <w:rPr>
                <w:rFonts w:hint="eastAsia" w:ascii="仿宋_GB2312" w:hAnsi="仿宋_GB2312" w:eastAsia="仿宋_GB2312" w:cs="仿宋_GB2312"/>
                <w:color w:val="auto"/>
                <w:sz w:val="18"/>
                <w:szCs w:val="18"/>
                <w:highlight w:val="none"/>
              </w:rPr>
              <w:t>开</w:t>
            </w:r>
          </w:p>
        </w:tc>
        <w:tc>
          <w:tcPr>
            <w:tcW w:w="2041" w:type="dxa"/>
          </w:tcPr>
          <w:p>
            <w:pPr>
              <w:pStyle w:val="21"/>
              <w:numPr>
                <w:ilvl w:val="0"/>
                <w:numId w:val="4"/>
              </w:numPr>
              <w:tabs>
                <w:tab w:val="left" w:pos="223"/>
              </w:tabs>
              <w:spacing w:before="0" w:after="0" w:line="235" w:lineRule="auto"/>
              <w:ind w:left="41" w:right="550" w:firstLine="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决策公开制度</w:t>
            </w:r>
            <w:r>
              <w:rPr>
                <w:rFonts w:hint="eastAsia" w:ascii="仿宋_GB2312" w:hAnsi="仿宋_GB2312" w:eastAsia="仿宋_GB2312" w:cs="仿宋_GB2312"/>
                <w:color w:val="auto"/>
                <w:sz w:val="18"/>
                <w:szCs w:val="18"/>
                <w:highlight w:val="none"/>
              </w:rPr>
              <w:t>〇调查研究</w:t>
            </w:r>
          </w:p>
          <w:p>
            <w:pPr>
              <w:pStyle w:val="21"/>
              <w:spacing w:line="222" w:lineRule="exact"/>
              <w:ind w:left="4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〇决策草案</w:t>
            </w:r>
          </w:p>
          <w:p>
            <w:pPr>
              <w:pStyle w:val="21"/>
              <w:numPr>
                <w:ilvl w:val="0"/>
                <w:numId w:val="4"/>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意见征集</w:t>
            </w:r>
          </w:p>
        </w:tc>
        <w:tc>
          <w:tcPr>
            <w:tcW w:w="2948" w:type="dxa"/>
            <w:vMerge w:val="restart"/>
          </w:tcPr>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w:t>
            </w:r>
          </w:p>
          <w:p>
            <w:pPr>
              <w:pStyle w:val="21"/>
              <w:spacing w:before="1"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《中共中央办公厅国务院办公厅印发〈关于全面推进政务公开工作的意见〉的通知》</w:t>
            </w:r>
          </w:p>
          <w:p>
            <w:pPr>
              <w:pStyle w:val="21"/>
              <w:spacing w:before="4"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《国务院办公厅印发〈关于全面推进政务公开工作的意见〉实施细则的通知》</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27"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line="235"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tcPr>
          <w:p>
            <w:pPr>
              <w:pStyle w:val="21"/>
              <w:spacing w:line="232" w:lineRule="auto"/>
              <w:ind w:left="42" w:right="9"/>
              <w:jc w:val="both"/>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numPr>
                <w:ilvl w:val="0"/>
                <w:numId w:val="5"/>
              </w:numPr>
              <w:tabs>
                <w:tab w:val="left" w:pos="222"/>
                <w:tab w:val="left" w:pos="1579"/>
              </w:tabs>
              <w:spacing w:before="122" w:after="0" w:line="227"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4"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right="202"/>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554" w:type="dxa"/>
          </w:tcPr>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重大决策</w:t>
            </w:r>
          </w:p>
        </w:tc>
        <w:tc>
          <w:tcPr>
            <w:tcW w:w="554" w:type="dxa"/>
          </w:tcPr>
          <w:p>
            <w:pPr>
              <w:pStyle w:val="21"/>
              <w:spacing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决策会议公开</w:t>
            </w:r>
          </w:p>
        </w:tc>
        <w:tc>
          <w:tcPr>
            <w:tcW w:w="2041" w:type="dxa"/>
          </w:tcPr>
          <w:p>
            <w:pPr>
              <w:pStyle w:val="21"/>
              <w:numPr>
                <w:ilvl w:val="0"/>
                <w:numId w:val="6"/>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会议名称</w:t>
            </w:r>
          </w:p>
          <w:p>
            <w:pPr>
              <w:pStyle w:val="21"/>
              <w:numPr>
                <w:ilvl w:val="0"/>
                <w:numId w:val="6"/>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会议时间地点</w:t>
            </w:r>
          </w:p>
          <w:p>
            <w:pPr>
              <w:pStyle w:val="21"/>
              <w:numPr>
                <w:ilvl w:val="0"/>
                <w:numId w:val="6"/>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会议结果</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tcPr>
          <w:p>
            <w:pPr>
              <w:pStyle w:val="21"/>
              <w:spacing w:line="232"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1"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before="1"/>
              <w:ind w:right="202"/>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554" w:type="dxa"/>
          </w:tcPr>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重大决策</w:t>
            </w:r>
          </w:p>
        </w:tc>
        <w:tc>
          <w:tcPr>
            <w:tcW w:w="554" w:type="dxa"/>
          </w:tcPr>
          <w:p>
            <w:pPr>
              <w:pStyle w:val="21"/>
              <w:spacing w:before="1"/>
              <w:rPr>
                <w:rFonts w:hint="eastAsia" w:ascii="仿宋_GB2312" w:hAnsi="仿宋_GB2312" w:eastAsia="仿宋_GB2312" w:cs="仿宋_GB2312"/>
                <w:color w:val="auto"/>
                <w:sz w:val="18"/>
                <w:szCs w:val="18"/>
                <w:highlight w:val="none"/>
              </w:rPr>
            </w:pPr>
          </w:p>
          <w:p>
            <w:pPr>
              <w:pStyle w:val="21"/>
              <w:spacing w:before="1"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决策结果公开</w:t>
            </w:r>
          </w:p>
        </w:tc>
        <w:tc>
          <w:tcPr>
            <w:tcW w:w="2041" w:type="dxa"/>
          </w:tcPr>
          <w:p>
            <w:pPr>
              <w:pStyle w:val="21"/>
              <w:spacing w:before="61" w:line="235" w:lineRule="auto"/>
              <w:ind w:left="221" w:right="10" w:hanging="18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〇决策草案意见收集和采纳情况</w:t>
            </w:r>
          </w:p>
          <w:p>
            <w:pPr>
              <w:pStyle w:val="21"/>
              <w:numPr>
                <w:ilvl w:val="0"/>
                <w:numId w:val="7"/>
              </w:numPr>
              <w:tabs>
                <w:tab w:val="left" w:pos="223"/>
              </w:tabs>
              <w:spacing w:before="0"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保障性住房领域方案</w:t>
            </w:r>
            <w:r>
              <w:rPr>
                <w:rFonts w:hint="eastAsia" w:ascii="仿宋_GB2312" w:hAnsi="仿宋_GB2312" w:eastAsia="仿宋_GB2312" w:cs="仿宋_GB2312"/>
                <w:color w:val="auto"/>
                <w:sz w:val="18"/>
                <w:szCs w:val="18"/>
                <w:highlight w:val="none"/>
              </w:rPr>
              <w:t>公示公告通知等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tcPr>
          <w:p>
            <w:pPr>
              <w:pStyle w:val="21"/>
              <w:spacing w:before="1"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right="202"/>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规划计划</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中长期规划</w:t>
            </w:r>
          </w:p>
        </w:tc>
        <w:tc>
          <w:tcPr>
            <w:tcW w:w="2041" w:type="dxa"/>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27" w:lineRule="exact"/>
              <w:ind w:left="4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〇住房保障规划</w:t>
            </w:r>
          </w:p>
          <w:p>
            <w:pPr>
              <w:pStyle w:val="21"/>
              <w:numPr>
                <w:ilvl w:val="0"/>
                <w:numId w:val="8"/>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保障性住房专项规划</w:t>
            </w:r>
          </w:p>
        </w:tc>
        <w:tc>
          <w:tcPr>
            <w:tcW w:w="2948" w:type="dxa"/>
            <w:vMerge w:val="restart"/>
          </w:tcPr>
          <w:p>
            <w:pPr>
              <w:pStyle w:val="21"/>
              <w:spacing w:before="3"/>
              <w:rPr>
                <w:rFonts w:hint="eastAsia" w:ascii="仿宋_GB2312" w:hAnsi="仿宋_GB2312" w:eastAsia="仿宋_GB2312" w:cs="仿宋_GB2312"/>
                <w:color w:val="auto"/>
                <w:sz w:val="18"/>
                <w:szCs w:val="18"/>
                <w:highlight w:val="none"/>
              </w:rPr>
            </w:pPr>
          </w:p>
          <w:p>
            <w:pPr>
              <w:pStyle w:val="21"/>
              <w:spacing w:before="1"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6"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before="3" w:line="232" w:lineRule="auto"/>
              <w:ind w:left="39" w:right="1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《住房城乡建设部办公厅关于做</w:t>
            </w:r>
            <w:r>
              <w:rPr>
                <w:rFonts w:hint="eastAsia" w:ascii="仿宋_GB2312" w:hAnsi="仿宋_GB2312" w:eastAsia="仿宋_GB2312" w:cs="仿宋_GB2312"/>
                <w:color w:val="auto"/>
                <w:sz w:val="18"/>
                <w:szCs w:val="18"/>
                <w:highlight w:val="none"/>
              </w:rPr>
              <w:t>好2012</w:t>
            </w:r>
            <w:r>
              <w:rPr>
                <w:rFonts w:hint="eastAsia" w:ascii="仿宋_GB2312" w:hAnsi="仿宋_GB2312" w:eastAsia="仿宋_GB2312" w:cs="仿宋_GB2312"/>
                <w:color w:val="auto"/>
                <w:spacing w:val="-2"/>
                <w:sz w:val="18"/>
                <w:szCs w:val="18"/>
                <w:highlight w:val="none"/>
              </w:rPr>
              <w:t>年住房保障信息公开工作</w:t>
            </w:r>
            <w:r>
              <w:rPr>
                <w:rFonts w:hint="eastAsia" w:ascii="仿宋_GB2312" w:hAnsi="仿宋_GB2312" w:eastAsia="仿宋_GB2312" w:cs="仿宋_GB2312"/>
                <w:color w:val="auto"/>
                <w:sz w:val="18"/>
                <w:szCs w:val="18"/>
                <w:highlight w:val="none"/>
              </w:rPr>
              <w:t>的通知》</w:t>
            </w:r>
          </w:p>
          <w:p>
            <w:pPr>
              <w:pStyle w:val="21"/>
              <w:spacing w:before="3"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《住房城乡建设部办公厅关于进一步加强住房保障信息公开工作</w:t>
            </w:r>
            <w:r>
              <w:rPr>
                <w:rFonts w:hint="eastAsia" w:ascii="仿宋_GB2312" w:hAnsi="仿宋_GB2312" w:eastAsia="仿宋_GB2312" w:cs="仿宋_GB2312"/>
                <w:color w:val="auto"/>
                <w:sz w:val="18"/>
                <w:szCs w:val="18"/>
                <w:highlight w:val="none"/>
              </w:rPr>
              <w:t>的通知》</w:t>
            </w:r>
          </w:p>
          <w:p>
            <w:pPr>
              <w:pStyle w:val="21"/>
              <w:spacing w:before="2"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line="235"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1" w:line="235"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60"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numPr>
                <w:ilvl w:val="0"/>
                <w:numId w:val="9"/>
              </w:numPr>
              <w:tabs>
                <w:tab w:val="left" w:pos="222"/>
                <w:tab w:val="left" w:pos="1579"/>
              </w:tabs>
              <w:spacing w:before="137"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6"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54"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right="202"/>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before="1"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规划计划</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before="1"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年度计划</w:t>
            </w:r>
          </w:p>
        </w:tc>
        <w:tc>
          <w:tcPr>
            <w:tcW w:w="2041" w:type="dxa"/>
          </w:tcPr>
          <w:p>
            <w:pPr>
              <w:pStyle w:val="21"/>
              <w:numPr>
                <w:ilvl w:val="0"/>
                <w:numId w:val="10"/>
              </w:numPr>
              <w:tabs>
                <w:tab w:val="left" w:pos="223"/>
              </w:tabs>
              <w:spacing w:before="116"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年度建设计划任务 </w:t>
            </w:r>
            <w:r>
              <w:rPr>
                <w:rFonts w:hint="eastAsia" w:ascii="仿宋_GB2312" w:hAnsi="仿宋_GB2312" w:eastAsia="仿宋_GB2312" w:cs="仿宋_GB2312"/>
                <w:color w:val="auto"/>
                <w:spacing w:val="-2"/>
                <w:sz w:val="18"/>
                <w:szCs w:val="18"/>
                <w:highlight w:val="none"/>
              </w:rPr>
              <w:t>量：开工套数基本建</w:t>
            </w:r>
            <w:r>
              <w:rPr>
                <w:rFonts w:hint="eastAsia" w:ascii="仿宋_GB2312" w:hAnsi="仿宋_GB2312" w:eastAsia="仿宋_GB2312" w:cs="仿宋_GB2312"/>
                <w:color w:val="auto"/>
                <w:sz w:val="18"/>
                <w:szCs w:val="18"/>
                <w:highlight w:val="none"/>
              </w:rPr>
              <w:t>成套数</w:t>
            </w:r>
          </w:p>
          <w:p>
            <w:pPr>
              <w:pStyle w:val="21"/>
              <w:numPr>
                <w:ilvl w:val="0"/>
                <w:numId w:val="10"/>
              </w:numPr>
              <w:tabs>
                <w:tab w:val="left" w:pos="223"/>
              </w:tabs>
              <w:spacing w:before="0" w:after="0" w:line="235" w:lineRule="auto"/>
              <w:ind w:left="221" w:right="10" w:hanging="18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年度计划项目：项目名称建设地点总建筑面积住宅面积计划开工时间计划竣工时间</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3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立项信息</w:t>
            </w:r>
          </w:p>
        </w:tc>
        <w:tc>
          <w:tcPr>
            <w:tcW w:w="2041" w:type="dxa"/>
          </w:tcPr>
          <w:p>
            <w:pPr>
              <w:pStyle w:val="21"/>
              <w:numPr>
                <w:ilvl w:val="0"/>
                <w:numId w:val="11"/>
              </w:numPr>
              <w:tabs>
                <w:tab w:val="left" w:pos="223"/>
              </w:tabs>
              <w:spacing w:before="51"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项目名称</w:t>
            </w:r>
          </w:p>
          <w:p>
            <w:pPr>
              <w:pStyle w:val="21"/>
              <w:numPr>
                <w:ilvl w:val="0"/>
                <w:numId w:val="11"/>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建设地点</w:t>
            </w:r>
          </w:p>
          <w:p>
            <w:pPr>
              <w:pStyle w:val="21"/>
              <w:numPr>
                <w:ilvl w:val="0"/>
                <w:numId w:val="11"/>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投资金额</w:t>
            </w:r>
          </w:p>
          <w:p>
            <w:pPr>
              <w:pStyle w:val="21"/>
              <w:spacing w:line="226" w:lineRule="exact"/>
              <w:ind w:left="4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〇资金筹集方式</w:t>
            </w:r>
          </w:p>
          <w:p>
            <w:pPr>
              <w:pStyle w:val="21"/>
              <w:numPr>
                <w:ilvl w:val="0"/>
                <w:numId w:val="11"/>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计划安排</w:t>
            </w:r>
          </w:p>
        </w:tc>
        <w:tc>
          <w:tcPr>
            <w:tcW w:w="294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2"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w:t>
            </w:r>
          </w:p>
          <w:p>
            <w:pPr>
              <w:pStyle w:val="21"/>
              <w:spacing w:line="224"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5"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before="3" w:line="232" w:lineRule="auto"/>
              <w:ind w:left="39" w:right="1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《住房城乡建设部办公厅关于做</w:t>
            </w:r>
            <w:r>
              <w:rPr>
                <w:rFonts w:hint="eastAsia" w:ascii="仿宋_GB2312" w:hAnsi="仿宋_GB2312" w:eastAsia="仿宋_GB2312" w:cs="仿宋_GB2312"/>
                <w:color w:val="auto"/>
                <w:sz w:val="18"/>
                <w:szCs w:val="18"/>
                <w:highlight w:val="none"/>
              </w:rPr>
              <w:t>好2012</w:t>
            </w:r>
            <w:r>
              <w:rPr>
                <w:rFonts w:hint="eastAsia" w:ascii="仿宋_GB2312" w:hAnsi="仿宋_GB2312" w:eastAsia="仿宋_GB2312" w:cs="仿宋_GB2312"/>
                <w:color w:val="auto"/>
                <w:spacing w:val="-2"/>
                <w:sz w:val="18"/>
                <w:szCs w:val="18"/>
                <w:highlight w:val="none"/>
              </w:rPr>
              <w:t>年住房保障信息公开工作</w:t>
            </w:r>
            <w:r>
              <w:rPr>
                <w:rFonts w:hint="eastAsia" w:ascii="仿宋_GB2312" w:hAnsi="仿宋_GB2312" w:eastAsia="仿宋_GB2312" w:cs="仿宋_GB2312"/>
                <w:color w:val="auto"/>
                <w:sz w:val="18"/>
                <w:szCs w:val="18"/>
                <w:highlight w:val="none"/>
              </w:rPr>
              <w:t>的通知》</w:t>
            </w:r>
          </w:p>
          <w:p>
            <w:pPr>
              <w:pStyle w:val="21"/>
              <w:spacing w:before="3"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《住房城乡建设部办公厅关于进一步加强住房保障信息公开工作</w:t>
            </w:r>
            <w:r>
              <w:rPr>
                <w:rFonts w:hint="eastAsia" w:ascii="仿宋_GB2312" w:hAnsi="仿宋_GB2312" w:eastAsia="仿宋_GB2312" w:cs="仿宋_GB2312"/>
                <w:color w:val="auto"/>
                <w:sz w:val="18"/>
                <w:szCs w:val="18"/>
                <w:highlight w:val="none"/>
              </w:rPr>
              <w:t>的通知》</w:t>
            </w:r>
          </w:p>
          <w:p>
            <w:pPr>
              <w:pStyle w:val="21"/>
              <w:spacing w:before="2"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line="235"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1" w:line="235"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before="1"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numPr>
                <w:ilvl w:val="0"/>
                <w:numId w:val="12"/>
              </w:numPr>
              <w:tabs>
                <w:tab w:val="left" w:pos="222"/>
                <w:tab w:val="left" w:pos="1579"/>
              </w:tabs>
              <w:spacing w:before="0" w:after="0" w:line="227"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5"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1"/>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1"/>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1"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3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9</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before="1"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开工项目清单</w:t>
            </w:r>
          </w:p>
        </w:tc>
        <w:tc>
          <w:tcPr>
            <w:tcW w:w="2041" w:type="dxa"/>
          </w:tcPr>
          <w:p>
            <w:pPr>
              <w:pStyle w:val="21"/>
              <w:numPr>
                <w:ilvl w:val="0"/>
                <w:numId w:val="13"/>
              </w:numPr>
              <w:tabs>
                <w:tab w:val="left" w:pos="223"/>
              </w:tabs>
              <w:spacing w:before="12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项目名称</w:t>
            </w:r>
          </w:p>
          <w:p>
            <w:pPr>
              <w:pStyle w:val="21"/>
              <w:numPr>
                <w:ilvl w:val="0"/>
                <w:numId w:val="13"/>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建设地址</w:t>
            </w:r>
          </w:p>
          <w:p>
            <w:pPr>
              <w:pStyle w:val="21"/>
              <w:numPr>
                <w:ilvl w:val="0"/>
                <w:numId w:val="13"/>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建设方式</w:t>
            </w:r>
          </w:p>
          <w:p>
            <w:pPr>
              <w:pStyle w:val="21"/>
              <w:numPr>
                <w:ilvl w:val="0"/>
                <w:numId w:val="13"/>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建设总套数</w:t>
            </w:r>
          </w:p>
          <w:p>
            <w:pPr>
              <w:pStyle w:val="21"/>
              <w:numPr>
                <w:ilvl w:val="0"/>
                <w:numId w:val="13"/>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开工时间</w:t>
            </w:r>
          </w:p>
          <w:p>
            <w:pPr>
              <w:pStyle w:val="21"/>
              <w:numPr>
                <w:ilvl w:val="0"/>
                <w:numId w:val="13"/>
              </w:numPr>
              <w:tabs>
                <w:tab w:val="left" w:pos="223"/>
              </w:tabs>
              <w:spacing w:before="1"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年度计划开工套数实</w:t>
            </w:r>
            <w:r>
              <w:rPr>
                <w:rFonts w:hint="eastAsia" w:ascii="仿宋_GB2312" w:hAnsi="仿宋_GB2312" w:eastAsia="仿宋_GB2312" w:cs="仿宋_GB2312"/>
                <w:color w:val="auto"/>
                <w:sz w:val="18"/>
                <w:szCs w:val="18"/>
                <w:highlight w:val="none"/>
              </w:rPr>
              <w:t>际开工套数</w:t>
            </w:r>
          </w:p>
          <w:p>
            <w:pPr>
              <w:pStyle w:val="21"/>
              <w:numPr>
                <w:ilvl w:val="0"/>
                <w:numId w:val="13"/>
              </w:numPr>
              <w:tabs>
                <w:tab w:val="left" w:pos="223"/>
              </w:tabs>
              <w:spacing w:before="1"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年度计划基本建成套</w:t>
            </w:r>
            <w:r>
              <w:rPr>
                <w:rFonts w:hint="eastAsia" w:ascii="仿宋_GB2312" w:hAnsi="仿宋_GB2312" w:eastAsia="仿宋_GB2312" w:cs="仿宋_GB2312"/>
                <w:color w:val="auto"/>
                <w:sz w:val="18"/>
                <w:szCs w:val="18"/>
                <w:highlight w:val="none"/>
              </w:rPr>
              <w:t>数</w:t>
            </w:r>
          </w:p>
          <w:p>
            <w:pPr>
              <w:pStyle w:val="21"/>
              <w:numPr>
                <w:ilvl w:val="0"/>
                <w:numId w:val="13"/>
              </w:numPr>
              <w:tabs>
                <w:tab w:val="left" w:pos="223"/>
              </w:tabs>
              <w:spacing w:before="0"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建设设计施工和监理</w:t>
            </w:r>
            <w:r>
              <w:rPr>
                <w:rFonts w:hint="eastAsia" w:ascii="仿宋_GB2312" w:hAnsi="仿宋_GB2312" w:eastAsia="仿宋_GB2312" w:cs="仿宋_GB2312"/>
                <w:color w:val="auto"/>
                <w:sz w:val="18"/>
                <w:szCs w:val="18"/>
                <w:highlight w:val="none"/>
              </w:rPr>
              <w:t>单位名称等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5"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10</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建设管理</w:t>
            </w:r>
          </w:p>
        </w:tc>
        <w:tc>
          <w:tcPr>
            <w:tcW w:w="554" w:type="dxa"/>
          </w:tcPr>
          <w:p>
            <w:pPr>
              <w:pStyle w:val="21"/>
              <w:spacing w:before="8"/>
              <w:rPr>
                <w:rFonts w:hint="eastAsia" w:ascii="仿宋_GB2312" w:hAnsi="仿宋_GB2312" w:eastAsia="仿宋_GB2312" w:cs="仿宋_GB2312"/>
                <w:color w:val="auto"/>
                <w:sz w:val="18"/>
                <w:szCs w:val="18"/>
                <w:highlight w:val="none"/>
              </w:rPr>
            </w:pPr>
          </w:p>
          <w:p>
            <w:pPr>
              <w:pStyle w:val="21"/>
              <w:spacing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基本建成项目清单</w:t>
            </w:r>
          </w:p>
        </w:tc>
        <w:tc>
          <w:tcPr>
            <w:tcW w:w="2041" w:type="dxa"/>
          </w:tcPr>
          <w:p>
            <w:pPr>
              <w:pStyle w:val="21"/>
              <w:numPr>
                <w:ilvl w:val="0"/>
                <w:numId w:val="14"/>
              </w:numPr>
              <w:tabs>
                <w:tab w:val="left" w:pos="223"/>
              </w:tabs>
              <w:spacing w:before="96"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项目名称</w:t>
            </w:r>
          </w:p>
          <w:p>
            <w:pPr>
              <w:pStyle w:val="21"/>
              <w:numPr>
                <w:ilvl w:val="0"/>
                <w:numId w:val="14"/>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建设地址</w:t>
            </w:r>
          </w:p>
          <w:p>
            <w:pPr>
              <w:pStyle w:val="21"/>
              <w:numPr>
                <w:ilvl w:val="0"/>
                <w:numId w:val="14"/>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建设单位</w:t>
            </w:r>
          </w:p>
          <w:p>
            <w:pPr>
              <w:pStyle w:val="21"/>
              <w:numPr>
                <w:ilvl w:val="0"/>
                <w:numId w:val="14"/>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竣工套数</w:t>
            </w:r>
          </w:p>
          <w:p>
            <w:pPr>
              <w:pStyle w:val="21"/>
              <w:numPr>
                <w:ilvl w:val="0"/>
                <w:numId w:val="14"/>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竣工时间等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0"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11</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建设管理</w:t>
            </w:r>
          </w:p>
        </w:tc>
        <w:tc>
          <w:tcPr>
            <w:tcW w:w="554" w:type="dxa"/>
          </w:tcPr>
          <w:p>
            <w:pPr>
              <w:pStyle w:val="21"/>
              <w:spacing w:before="8"/>
              <w:rPr>
                <w:rFonts w:hint="eastAsia" w:ascii="仿宋_GB2312" w:hAnsi="仿宋_GB2312" w:eastAsia="仿宋_GB2312" w:cs="仿宋_GB2312"/>
                <w:color w:val="auto"/>
                <w:sz w:val="18"/>
                <w:szCs w:val="18"/>
                <w:highlight w:val="none"/>
              </w:rPr>
            </w:pPr>
          </w:p>
          <w:p>
            <w:pPr>
              <w:pStyle w:val="21"/>
              <w:spacing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竣工项目清单</w:t>
            </w:r>
          </w:p>
        </w:tc>
        <w:tc>
          <w:tcPr>
            <w:tcW w:w="2041" w:type="dxa"/>
          </w:tcPr>
          <w:p>
            <w:pPr>
              <w:pStyle w:val="21"/>
              <w:numPr>
                <w:ilvl w:val="0"/>
                <w:numId w:val="15"/>
              </w:numPr>
              <w:tabs>
                <w:tab w:val="left" w:pos="223"/>
              </w:tabs>
              <w:spacing w:before="65"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项目名称</w:t>
            </w:r>
          </w:p>
          <w:p>
            <w:pPr>
              <w:pStyle w:val="21"/>
              <w:numPr>
                <w:ilvl w:val="0"/>
                <w:numId w:val="15"/>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建设地址</w:t>
            </w:r>
          </w:p>
          <w:p>
            <w:pPr>
              <w:pStyle w:val="21"/>
              <w:numPr>
                <w:ilvl w:val="0"/>
                <w:numId w:val="15"/>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建设单位</w:t>
            </w:r>
          </w:p>
          <w:p>
            <w:pPr>
              <w:pStyle w:val="21"/>
              <w:numPr>
                <w:ilvl w:val="0"/>
                <w:numId w:val="15"/>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竣工套数</w:t>
            </w:r>
          </w:p>
          <w:p>
            <w:pPr>
              <w:pStyle w:val="21"/>
              <w:numPr>
                <w:ilvl w:val="0"/>
                <w:numId w:val="15"/>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竣工时间等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3"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12</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建设管理</w:t>
            </w:r>
          </w:p>
        </w:tc>
        <w:tc>
          <w:tcPr>
            <w:tcW w:w="554" w:type="dxa"/>
          </w:tcPr>
          <w:p>
            <w:pPr>
              <w:pStyle w:val="21"/>
              <w:spacing w:before="5"/>
              <w:rPr>
                <w:rFonts w:hint="eastAsia" w:ascii="仿宋_GB2312" w:hAnsi="仿宋_GB2312" w:eastAsia="仿宋_GB2312" w:cs="仿宋_GB2312"/>
                <w:color w:val="auto"/>
                <w:sz w:val="18"/>
                <w:szCs w:val="18"/>
                <w:highlight w:val="none"/>
              </w:rPr>
            </w:pPr>
          </w:p>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配套设施建设情况</w:t>
            </w:r>
          </w:p>
        </w:tc>
        <w:tc>
          <w:tcPr>
            <w:tcW w:w="2041" w:type="dxa"/>
          </w:tcPr>
          <w:p>
            <w:pPr>
              <w:pStyle w:val="21"/>
              <w:numPr>
                <w:ilvl w:val="0"/>
                <w:numId w:val="16"/>
              </w:numPr>
              <w:tabs>
                <w:tab w:val="left" w:pos="223"/>
              </w:tabs>
              <w:spacing w:before="31"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项目名称</w:t>
            </w:r>
          </w:p>
          <w:p>
            <w:pPr>
              <w:pStyle w:val="21"/>
              <w:numPr>
                <w:ilvl w:val="0"/>
                <w:numId w:val="16"/>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建设地址</w:t>
            </w:r>
          </w:p>
          <w:p>
            <w:pPr>
              <w:pStyle w:val="21"/>
              <w:numPr>
                <w:ilvl w:val="0"/>
                <w:numId w:val="16"/>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建设方式</w:t>
            </w:r>
          </w:p>
          <w:p>
            <w:pPr>
              <w:pStyle w:val="21"/>
              <w:numPr>
                <w:ilvl w:val="0"/>
                <w:numId w:val="16"/>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开工时间</w:t>
            </w:r>
          </w:p>
          <w:p>
            <w:pPr>
              <w:pStyle w:val="21"/>
              <w:numPr>
                <w:ilvl w:val="0"/>
                <w:numId w:val="16"/>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建设设计施工和监理</w:t>
            </w:r>
          </w:p>
          <w:p>
            <w:pPr>
              <w:pStyle w:val="21"/>
              <w:spacing w:line="215" w:lineRule="exact"/>
              <w:ind w:left="22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单位名称等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1"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13</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配给管理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47"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保障性住房申请受理</w:t>
            </w:r>
          </w:p>
        </w:tc>
        <w:tc>
          <w:tcPr>
            <w:tcW w:w="2041" w:type="dxa"/>
          </w:tcPr>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numPr>
                <w:ilvl w:val="0"/>
                <w:numId w:val="17"/>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申请受理公告</w:t>
            </w:r>
          </w:p>
          <w:p>
            <w:pPr>
              <w:pStyle w:val="21"/>
              <w:numPr>
                <w:ilvl w:val="0"/>
                <w:numId w:val="17"/>
              </w:numPr>
              <w:tabs>
                <w:tab w:val="left" w:pos="223"/>
              </w:tabs>
              <w:spacing w:before="1"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申请条件程序期限和</w:t>
            </w:r>
            <w:r>
              <w:rPr>
                <w:rFonts w:hint="eastAsia" w:ascii="仿宋_GB2312" w:hAnsi="仿宋_GB2312" w:eastAsia="仿宋_GB2312" w:cs="仿宋_GB2312"/>
                <w:color w:val="auto"/>
                <w:sz w:val="18"/>
                <w:szCs w:val="18"/>
                <w:highlight w:val="none"/>
              </w:rPr>
              <w:t>所需材料</w:t>
            </w:r>
          </w:p>
          <w:p>
            <w:pPr>
              <w:pStyle w:val="21"/>
              <w:numPr>
                <w:ilvl w:val="0"/>
                <w:numId w:val="17"/>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租赁补贴发放计划</w:t>
            </w:r>
          </w:p>
        </w:tc>
        <w:tc>
          <w:tcPr>
            <w:tcW w:w="294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5"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line="235" w:lineRule="auto"/>
              <w:ind w:left="39" w:right="1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《住房城乡建设部办公厅关于做</w:t>
            </w:r>
            <w:r>
              <w:rPr>
                <w:rFonts w:hint="eastAsia" w:ascii="仿宋_GB2312" w:hAnsi="仿宋_GB2312" w:eastAsia="仿宋_GB2312" w:cs="仿宋_GB2312"/>
                <w:color w:val="auto"/>
                <w:sz w:val="18"/>
                <w:szCs w:val="18"/>
                <w:highlight w:val="none"/>
              </w:rPr>
              <w:t>好2012</w:t>
            </w:r>
            <w:r>
              <w:rPr>
                <w:rFonts w:hint="eastAsia" w:ascii="仿宋_GB2312" w:hAnsi="仿宋_GB2312" w:eastAsia="仿宋_GB2312" w:cs="仿宋_GB2312"/>
                <w:color w:val="auto"/>
                <w:spacing w:val="-2"/>
                <w:sz w:val="18"/>
                <w:szCs w:val="18"/>
                <w:highlight w:val="none"/>
              </w:rPr>
              <w:t>年住房保障信息公开工作</w:t>
            </w:r>
            <w:r>
              <w:rPr>
                <w:rFonts w:hint="eastAsia" w:ascii="仿宋_GB2312" w:hAnsi="仿宋_GB2312" w:eastAsia="仿宋_GB2312" w:cs="仿宋_GB2312"/>
                <w:color w:val="auto"/>
                <w:sz w:val="18"/>
                <w:szCs w:val="18"/>
                <w:highlight w:val="none"/>
              </w:rPr>
              <w:t>的通知》</w:t>
            </w:r>
          </w:p>
          <w:p>
            <w:pPr>
              <w:pStyle w:val="21"/>
              <w:spacing w:before="1"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《住房城乡建设部办公厅关于进一步加强住房保障信息公开工作</w:t>
            </w:r>
            <w:r>
              <w:rPr>
                <w:rFonts w:hint="eastAsia" w:ascii="仿宋_GB2312" w:hAnsi="仿宋_GB2312" w:eastAsia="仿宋_GB2312" w:cs="仿宋_GB2312"/>
                <w:color w:val="auto"/>
                <w:sz w:val="18"/>
                <w:szCs w:val="18"/>
                <w:highlight w:val="none"/>
              </w:rPr>
              <w:t>的通知》</w:t>
            </w:r>
          </w:p>
          <w:p>
            <w:pPr>
              <w:pStyle w:val="21"/>
              <w:spacing w:before="3" w:line="232"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before="2" w:line="235"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3"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3"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before="1"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numPr>
                <w:ilvl w:val="0"/>
                <w:numId w:val="18"/>
              </w:numPr>
              <w:tabs>
                <w:tab w:val="left" w:pos="222"/>
                <w:tab w:val="left" w:pos="1579"/>
              </w:tabs>
              <w:spacing w:before="0"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5"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before="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before="1"/>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before="1"/>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before="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14</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配给管理</w:t>
            </w:r>
          </w:p>
        </w:tc>
        <w:tc>
          <w:tcPr>
            <w:tcW w:w="554" w:type="dxa"/>
          </w:tcPr>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公租房承租资格审核</w:t>
            </w:r>
          </w:p>
        </w:tc>
        <w:tc>
          <w:tcPr>
            <w:tcW w:w="2041"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numPr>
                <w:ilvl w:val="0"/>
                <w:numId w:val="19"/>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申请受理</w:t>
            </w:r>
          </w:p>
          <w:p>
            <w:pPr>
              <w:pStyle w:val="21"/>
              <w:numPr>
                <w:ilvl w:val="0"/>
                <w:numId w:val="19"/>
              </w:numPr>
              <w:tabs>
                <w:tab w:val="left" w:pos="223"/>
              </w:tabs>
              <w:spacing w:before="3"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审核结果：申请对象</w:t>
            </w:r>
            <w:r>
              <w:rPr>
                <w:rFonts w:hint="eastAsia" w:ascii="仿宋_GB2312" w:hAnsi="仿宋_GB2312" w:eastAsia="仿宋_GB2312" w:cs="仿宋_GB2312"/>
                <w:color w:val="auto"/>
                <w:sz w:val="18"/>
                <w:szCs w:val="18"/>
                <w:highlight w:val="none"/>
              </w:rPr>
              <w:t>姓名身份证号(隐藏部分号码)申请房源类型</w:t>
            </w:r>
          </w:p>
          <w:p>
            <w:pPr>
              <w:pStyle w:val="21"/>
              <w:spacing w:line="228" w:lineRule="exact"/>
              <w:ind w:left="4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〇是否审核通过</w:t>
            </w:r>
          </w:p>
          <w:p>
            <w:pPr>
              <w:pStyle w:val="21"/>
              <w:spacing w:line="228" w:lineRule="exact"/>
              <w:ind w:left="4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〇审核未通过原因等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14"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15</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配给管理</w:t>
            </w:r>
          </w:p>
        </w:tc>
        <w:tc>
          <w:tcPr>
            <w:tcW w:w="554" w:type="dxa"/>
          </w:tcPr>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公租房租赁补贴或租金减免审批</w:t>
            </w:r>
          </w:p>
        </w:tc>
        <w:tc>
          <w:tcPr>
            <w:tcW w:w="2041"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4"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7"/>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16</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配给管理</w:t>
            </w:r>
          </w:p>
        </w:tc>
        <w:tc>
          <w:tcPr>
            <w:tcW w:w="554" w:type="dxa"/>
          </w:tcPr>
          <w:p>
            <w:pPr>
              <w:pStyle w:val="21"/>
              <w:spacing w:before="1"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经济适用住房购买资格审核</w:t>
            </w:r>
          </w:p>
        </w:tc>
        <w:tc>
          <w:tcPr>
            <w:tcW w:w="2041"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43"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ind w:left="19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17</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配给管理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房源信息</w:t>
            </w:r>
          </w:p>
        </w:tc>
        <w:tc>
          <w:tcPr>
            <w:tcW w:w="2041" w:type="dxa"/>
          </w:tcPr>
          <w:p>
            <w:pPr>
              <w:pStyle w:val="21"/>
              <w:spacing w:line="228" w:lineRule="exact"/>
              <w:ind w:left="4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〇分配批次</w:t>
            </w:r>
          </w:p>
          <w:p>
            <w:pPr>
              <w:pStyle w:val="21"/>
              <w:numPr>
                <w:ilvl w:val="0"/>
                <w:numId w:val="20"/>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项目名称</w:t>
            </w:r>
          </w:p>
          <w:p>
            <w:pPr>
              <w:pStyle w:val="21"/>
              <w:numPr>
                <w:ilvl w:val="0"/>
                <w:numId w:val="20"/>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保障性住房类型</w:t>
            </w:r>
          </w:p>
          <w:p>
            <w:pPr>
              <w:pStyle w:val="21"/>
              <w:numPr>
                <w:ilvl w:val="0"/>
                <w:numId w:val="20"/>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竣工日期</w:t>
            </w:r>
          </w:p>
          <w:p>
            <w:pPr>
              <w:pStyle w:val="21"/>
              <w:numPr>
                <w:ilvl w:val="0"/>
                <w:numId w:val="20"/>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地址</w:t>
            </w:r>
          </w:p>
          <w:p>
            <w:pPr>
              <w:pStyle w:val="21"/>
              <w:numPr>
                <w:ilvl w:val="0"/>
                <w:numId w:val="20"/>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住房套数</w:t>
            </w:r>
          </w:p>
          <w:p>
            <w:pPr>
              <w:pStyle w:val="21"/>
              <w:numPr>
                <w:ilvl w:val="0"/>
                <w:numId w:val="20"/>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待分配套数</w:t>
            </w:r>
          </w:p>
          <w:p>
            <w:pPr>
              <w:pStyle w:val="21"/>
              <w:numPr>
                <w:ilvl w:val="0"/>
                <w:numId w:val="20"/>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已分配套数</w:t>
            </w:r>
          </w:p>
          <w:p>
            <w:pPr>
              <w:pStyle w:val="21"/>
              <w:numPr>
                <w:ilvl w:val="0"/>
                <w:numId w:val="20"/>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套型</w:t>
            </w:r>
          </w:p>
          <w:p>
            <w:pPr>
              <w:pStyle w:val="21"/>
              <w:numPr>
                <w:ilvl w:val="0"/>
                <w:numId w:val="20"/>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面积</w:t>
            </w:r>
          </w:p>
          <w:p>
            <w:pPr>
              <w:pStyle w:val="21"/>
              <w:numPr>
                <w:ilvl w:val="0"/>
                <w:numId w:val="20"/>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配租配售价格</w:t>
            </w:r>
          </w:p>
          <w:p>
            <w:pPr>
              <w:pStyle w:val="21"/>
              <w:numPr>
                <w:ilvl w:val="0"/>
                <w:numId w:val="20"/>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分配日期等</w:t>
            </w:r>
          </w:p>
        </w:tc>
        <w:tc>
          <w:tcPr>
            <w:tcW w:w="2948" w:type="dxa"/>
          </w:tcPr>
          <w:p>
            <w:pPr>
              <w:pStyle w:val="21"/>
              <w:spacing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w:t>
            </w:r>
          </w:p>
          <w:p>
            <w:pPr>
              <w:pStyle w:val="21"/>
              <w:spacing w:line="222"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5"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before="3" w:line="232" w:lineRule="auto"/>
              <w:ind w:left="39" w:right="1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《住房城乡建设部办公厅关于做</w:t>
            </w:r>
            <w:r>
              <w:rPr>
                <w:rFonts w:hint="eastAsia" w:ascii="仿宋_GB2312" w:hAnsi="仿宋_GB2312" w:eastAsia="仿宋_GB2312" w:cs="仿宋_GB2312"/>
                <w:color w:val="auto"/>
                <w:sz w:val="18"/>
                <w:szCs w:val="18"/>
                <w:highlight w:val="none"/>
              </w:rPr>
              <w:t>好2012</w:t>
            </w:r>
            <w:r>
              <w:rPr>
                <w:rFonts w:hint="eastAsia" w:ascii="仿宋_GB2312" w:hAnsi="仿宋_GB2312" w:eastAsia="仿宋_GB2312" w:cs="仿宋_GB2312"/>
                <w:color w:val="auto"/>
                <w:spacing w:val="-2"/>
                <w:sz w:val="18"/>
                <w:szCs w:val="18"/>
                <w:highlight w:val="none"/>
              </w:rPr>
              <w:t>年住房保障信息公开工作</w:t>
            </w:r>
            <w:r>
              <w:rPr>
                <w:rFonts w:hint="eastAsia" w:ascii="仿宋_GB2312" w:hAnsi="仿宋_GB2312" w:eastAsia="仿宋_GB2312" w:cs="仿宋_GB2312"/>
                <w:color w:val="auto"/>
                <w:sz w:val="18"/>
                <w:szCs w:val="18"/>
                <w:highlight w:val="none"/>
              </w:rPr>
              <w:t>的通知》</w:t>
            </w:r>
          </w:p>
          <w:p>
            <w:pPr>
              <w:pStyle w:val="21"/>
              <w:spacing w:before="2" w:line="235"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《住房城乡建设部办公厅关于进一步加强住房保障信息公开工作</w:t>
            </w:r>
            <w:r>
              <w:rPr>
                <w:rFonts w:hint="eastAsia" w:ascii="仿宋_GB2312" w:hAnsi="仿宋_GB2312" w:eastAsia="仿宋_GB2312" w:cs="仿宋_GB2312"/>
                <w:color w:val="auto"/>
                <w:sz w:val="18"/>
                <w:szCs w:val="18"/>
                <w:highlight w:val="none"/>
              </w:rPr>
              <w:t>的通知》</w:t>
            </w:r>
          </w:p>
          <w:p>
            <w:pPr>
              <w:pStyle w:val="21"/>
              <w:spacing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line="232"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tcPr>
          <w:p>
            <w:pPr>
              <w:pStyle w:val="21"/>
              <w:spacing w:before="154"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息形成</w:t>
            </w:r>
          </w:p>
          <w:p>
            <w:pPr>
              <w:pStyle w:val="21"/>
              <w:spacing w:before="1" w:line="235"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tcPr>
          <w:p>
            <w:pPr>
              <w:pStyle w:val="21"/>
              <w:spacing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tcPr>
          <w:p>
            <w:pPr>
              <w:pStyle w:val="21"/>
              <w:numPr>
                <w:ilvl w:val="0"/>
                <w:numId w:val="21"/>
              </w:numPr>
              <w:tabs>
                <w:tab w:val="left" w:pos="222"/>
                <w:tab w:val="left" w:pos="1579"/>
              </w:tabs>
              <w:spacing w:before="0"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5"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7"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tcPr>
          <w:p>
            <w:pPr>
              <w:pStyle w:val="21"/>
              <w:rPr>
                <w:rFonts w:hint="eastAsia" w:ascii="仿宋_GB2312" w:hAnsi="仿宋_GB2312" w:eastAsia="仿宋_GB2312" w:cs="仿宋_GB2312"/>
                <w:color w:val="auto"/>
                <w:sz w:val="18"/>
                <w:szCs w:val="18"/>
                <w:highlight w:val="none"/>
              </w:rPr>
            </w:pP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ind w:left="47"/>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tcPr>
          <w:p>
            <w:pPr>
              <w:pStyle w:val="21"/>
              <w:rPr>
                <w:rFonts w:hint="eastAsia" w:ascii="仿宋_GB2312" w:hAnsi="仿宋_GB2312" w:eastAsia="仿宋_GB2312" w:cs="仿宋_GB2312"/>
                <w:color w:val="auto"/>
                <w:sz w:val="18"/>
                <w:szCs w:val="18"/>
                <w:highlight w:val="none"/>
              </w:rPr>
            </w:pP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ind w:left="4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8"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18</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配给管理</w:t>
            </w:r>
          </w:p>
        </w:tc>
        <w:tc>
          <w:tcPr>
            <w:tcW w:w="554" w:type="dxa"/>
          </w:tcPr>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选房或摇号公告</w:t>
            </w:r>
          </w:p>
        </w:tc>
        <w:tc>
          <w:tcPr>
            <w:tcW w:w="2041" w:type="dxa"/>
          </w:tcPr>
          <w:p>
            <w:pPr>
              <w:pStyle w:val="21"/>
              <w:numPr>
                <w:ilvl w:val="0"/>
                <w:numId w:val="22"/>
              </w:numPr>
              <w:tabs>
                <w:tab w:val="left" w:pos="223"/>
              </w:tabs>
              <w:spacing w:before="51"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公告名称</w:t>
            </w:r>
          </w:p>
          <w:p>
            <w:pPr>
              <w:pStyle w:val="21"/>
              <w:numPr>
                <w:ilvl w:val="0"/>
                <w:numId w:val="22"/>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发布部门</w:t>
            </w:r>
          </w:p>
          <w:p>
            <w:pPr>
              <w:pStyle w:val="21"/>
              <w:numPr>
                <w:ilvl w:val="0"/>
                <w:numId w:val="22"/>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发布日期</w:t>
            </w:r>
          </w:p>
          <w:p>
            <w:pPr>
              <w:pStyle w:val="21"/>
              <w:numPr>
                <w:ilvl w:val="0"/>
                <w:numId w:val="22"/>
              </w:numPr>
              <w:tabs>
                <w:tab w:val="left" w:pos="223"/>
              </w:tabs>
              <w:spacing w:before="0"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正文，包括时间地点</w:t>
            </w:r>
            <w:r>
              <w:rPr>
                <w:rFonts w:hint="eastAsia" w:ascii="仿宋_GB2312" w:hAnsi="仿宋_GB2312" w:eastAsia="仿宋_GB2312" w:cs="仿宋_GB2312"/>
                <w:color w:val="auto"/>
                <w:sz w:val="18"/>
                <w:szCs w:val="18"/>
                <w:highlight w:val="none"/>
              </w:rPr>
              <w:t>流程注意事项等</w:t>
            </w:r>
          </w:p>
        </w:tc>
        <w:tc>
          <w:tcPr>
            <w:tcW w:w="2948" w:type="dxa"/>
            <w:vMerge w:val="restart"/>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w:t>
            </w:r>
          </w:p>
          <w:p>
            <w:pPr>
              <w:pStyle w:val="21"/>
              <w:spacing w:line="222"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5"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before="2" w:line="232" w:lineRule="auto"/>
              <w:ind w:left="39" w:right="1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《住房城乡建设部办公厅关于做</w:t>
            </w:r>
            <w:r>
              <w:rPr>
                <w:rFonts w:hint="eastAsia" w:ascii="仿宋_GB2312" w:hAnsi="仿宋_GB2312" w:eastAsia="仿宋_GB2312" w:cs="仿宋_GB2312"/>
                <w:color w:val="auto"/>
                <w:sz w:val="18"/>
                <w:szCs w:val="18"/>
                <w:highlight w:val="none"/>
              </w:rPr>
              <w:t>好2012</w:t>
            </w:r>
            <w:r>
              <w:rPr>
                <w:rFonts w:hint="eastAsia" w:ascii="仿宋_GB2312" w:hAnsi="仿宋_GB2312" w:eastAsia="仿宋_GB2312" w:cs="仿宋_GB2312"/>
                <w:color w:val="auto"/>
                <w:spacing w:val="-2"/>
                <w:sz w:val="18"/>
                <w:szCs w:val="18"/>
                <w:highlight w:val="none"/>
              </w:rPr>
              <w:t>年住房保障信息公开工作</w:t>
            </w:r>
            <w:r>
              <w:rPr>
                <w:rFonts w:hint="eastAsia" w:ascii="仿宋_GB2312" w:hAnsi="仿宋_GB2312" w:eastAsia="仿宋_GB2312" w:cs="仿宋_GB2312"/>
                <w:color w:val="auto"/>
                <w:sz w:val="18"/>
                <w:szCs w:val="18"/>
                <w:highlight w:val="none"/>
              </w:rPr>
              <w:t>的通知》</w:t>
            </w:r>
          </w:p>
          <w:p>
            <w:pPr>
              <w:pStyle w:val="21"/>
              <w:spacing w:before="3" w:line="235"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《住房城乡建设部办公厅关于进一步加强住房保障信息公开工作</w:t>
            </w:r>
            <w:r>
              <w:rPr>
                <w:rFonts w:hint="eastAsia" w:ascii="仿宋_GB2312" w:hAnsi="仿宋_GB2312" w:eastAsia="仿宋_GB2312" w:cs="仿宋_GB2312"/>
                <w:color w:val="auto"/>
                <w:sz w:val="18"/>
                <w:szCs w:val="18"/>
                <w:highlight w:val="none"/>
              </w:rPr>
              <w:t>的通知》</w:t>
            </w:r>
          </w:p>
          <w:p>
            <w:pPr>
              <w:pStyle w:val="21"/>
              <w:spacing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line="232"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tcPr>
          <w:p>
            <w:pPr>
              <w:pStyle w:val="21"/>
              <w:spacing w:before="161"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1" w:line="235"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tcPr>
          <w:p>
            <w:pPr>
              <w:pStyle w:val="21"/>
              <w:spacing w:before="1"/>
              <w:rPr>
                <w:rFonts w:hint="eastAsia" w:ascii="仿宋_GB2312" w:hAnsi="仿宋_GB2312" w:eastAsia="仿宋_GB2312" w:cs="仿宋_GB2312"/>
                <w:color w:val="auto"/>
                <w:sz w:val="18"/>
                <w:szCs w:val="18"/>
                <w:highlight w:val="none"/>
              </w:rPr>
            </w:pPr>
          </w:p>
          <w:p>
            <w:pPr>
              <w:pStyle w:val="21"/>
              <w:spacing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numPr>
                <w:ilvl w:val="0"/>
                <w:numId w:val="23"/>
              </w:numPr>
              <w:tabs>
                <w:tab w:val="left" w:pos="222"/>
                <w:tab w:val="left" w:pos="1579"/>
              </w:tabs>
              <w:spacing w:before="160"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5"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7"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9"/>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19</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配给管理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分配结果</w:t>
            </w:r>
          </w:p>
        </w:tc>
        <w:tc>
          <w:tcPr>
            <w:tcW w:w="2041" w:type="dxa"/>
          </w:tcPr>
          <w:p>
            <w:pPr>
              <w:pStyle w:val="21"/>
              <w:numPr>
                <w:ilvl w:val="0"/>
                <w:numId w:val="24"/>
              </w:numPr>
              <w:tabs>
                <w:tab w:val="left" w:pos="223"/>
              </w:tabs>
              <w:spacing w:before="92"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保障对象姓名</w:t>
            </w:r>
          </w:p>
          <w:p>
            <w:pPr>
              <w:pStyle w:val="21"/>
              <w:numPr>
                <w:ilvl w:val="0"/>
                <w:numId w:val="24"/>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保障性住房类型</w:t>
            </w:r>
          </w:p>
          <w:p>
            <w:pPr>
              <w:pStyle w:val="21"/>
              <w:numPr>
                <w:ilvl w:val="0"/>
                <w:numId w:val="24"/>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房号面积套型</w:t>
            </w:r>
          </w:p>
          <w:p>
            <w:pPr>
              <w:pStyle w:val="21"/>
              <w:numPr>
                <w:ilvl w:val="0"/>
                <w:numId w:val="24"/>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所在建设项目名称等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tcPr>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4"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tcPr>
          <w:p>
            <w:pPr>
              <w:pStyle w:val="21"/>
              <w:spacing w:before="115" w:line="232"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20"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20</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before="1"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配给管理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办理配租配售公告</w:t>
            </w:r>
          </w:p>
        </w:tc>
        <w:tc>
          <w:tcPr>
            <w:tcW w:w="2041" w:type="dxa"/>
          </w:tcPr>
          <w:p>
            <w:pPr>
              <w:pStyle w:val="21"/>
              <w:numPr>
                <w:ilvl w:val="0"/>
                <w:numId w:val="25"/>
              </w:numPr>
              <w:tabs>
                <w:tab w:val="left" w:pos="223"/>
              </w:tabs>
              <w:spacing w:before="148"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公告名称</w:t>
            </w:r>
          </w:p>
          <w:p>
            <w:pPr>
              <w:pStyle w:val="21"/>
              <w:numPr>
                <w:ilvl w:val="0"/>
                <w:numId w:val="25"/>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发布部门</w:t>
            </w:r>
          </w:p>
          <w:p>
            <w:pPr>
              <w:pStyle w:val="21"/>
              <w:numPr>
                <w:ilvl w:val="0"/>
                <w:numId w:val="25"/>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发布日期</w:t>
            </w:r>
          </w:p>
          <w:p>
            <w:pPr>
              <w:pStyle w:val="21"/>
              <w:numPr>
                <w:ilvl w:val="0"/>
                <w:numId w:val="25"/>
              </w:numPr>
              <w:tabs>
                <w:tab w:val="left" w:pos="223"/>
              </w:tabs>
              <w:spacing w:before="3"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正文，包括时间地点</w:t>
            </w:r>
            <w:r>
              <w:rPr>
                <w:rFonts w:hint="eastAsia" w:ascii="仿宋_GB2312" w:hAnsi="仿宋_GB2312" w:eastAsia="仿宋_GB2312" w:cs="仿宋_GB2312"/>
                <w:color w:val="auto"/>
                <w:sz w:val="18"/>
                <w:szCs w:val="18"/>
                <w:highlight w:val="none"/>
              </w:rPr>
              <w:t>流程注意事项等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tcPr>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3"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tcPr>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15"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4"/>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21</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before="1"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公租房资格定期审核</w:t>
            </w:r>
          </w:p>
        </w:tc>
        <w:tc>
          <w:tcPr>
            <w:tcW w:w="204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numPr>
                <w:ilvl w:val="0"/>
                <w:numId w:val="26"/>
              </w:numPr>
              <w:tabs>
                <w:tab w:val="left" w:pos="223"/>
              </w:tabs>
              <w:spacing w:before="0" w:after="0" w:line="232" w:lineRule="auto"/>
              <w:ind w:left="221" w:right="10" w:hanging="18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年审或定期审核家庭信息，含保障对象编</w:t>
            </w:r>
            <w:r>
              <w:rPr>
                <w:rFonts w:hint="eastAsia" w:ascii="仿宋_GB2312" w:hAnsi="仿宋_GB2312" w:eastAsia="仿宋_GB2312" w:cs="仿宋_GB2312"/>
                <w:color w:val="auto"/>
                <w:sz w:val="18"/>
                <w:szCs w:val="18"/>
                <w:highlight w:val="none"/>
              </w:rPr>
              <w:t>号姓名身份证号﹝</w:t>
            </w:r>
            <w:r>
              <w:rPr>
                <w:rFonts w:hint="eastAsia" w:ascii="仿宋_GB2312" w:hAnsi="仿宋_GB2312" w:eastAsia="仿宋_GB2312" w:cs="仿宋_GB2312"/>
                <w:color w:val="auto"/>
                <w:spacing w:val="-17"/>
                <w:sz w:val="18"/>
                <w:szCs w:val="18"/>
                <w:highlight w:val="none"/>
              </w:rPr>
              <w:t>隐</w:t>
            </w:r>
            <w:r>
              <w:rPr>
                <w:rFonts w:hint="eastAsia" w:ascii="仿宋_GB2312" w:hAnsi="仿宋_GB2312" w:eastAsia="仿宋_GB2312" w:cs="仿宋_GB2312"/>
                <w:color w:val="auto"/>
                <w:sz w:val="18"/>
                <w:szCs w:val="18"/>
                <w:highlight w:val="none"/>
              </w:rPr>
              <w:t>藏部分号码﹞</w:t>
            </w:r>
          </w:p>
          <w:p>
            <w:pPr>
              <w:pStyle w:val="21"/>
              <w:numPr>
                <w:ilvl w:val="0"/>
                <w:numId w:val="26"/>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配租房源</w:t>
            </w:r>
          </w:p>
          <w:p>
            <w:pPr>
              <w:pStyle w:val="21"/>
              <w:numPr>
                <w:ilvl w:val="0"/>
                <w:numId w:val="26"/>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套型</w:t>
            </w:r>
          </w:p>
          <w:p>
            <w:pPr>
              <w:pStyle w:val="21"/>
              <w:numPr>
                <w:ilvl w:val="0"/>
                <w:numId w:val="26"/>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面积</w:t>
            </w:r>
          </w:p>
          <w:p>
            <w:pPr>
              <w:pStyle w:val="21"/>
              <w:numPr>
                <w:ilvl w:val="0"/>
                <w:numId w:val="26"/>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是否审核通过</w:t>
            </w:r>
          </w:p>
          <w:p>
            <w:pPr>
              <w:pStyle w:val="21"/>
              <w:numPr>
                <w:ilvl w:val="0"/>
                <w:numId w:val="26"/>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未通过原因等</w:t>
            </w:r>
          </w:p>
        </w:tc>
        <w:tc>
          <w:tcPr>
            <w:tcW w:w="294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before="3" w:line="232"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before="2" w:line="235"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27"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line="235"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numPr>
                <w:ilvl w:val="0"/>
                <w:numId w:val="27"/>
              </w:numPr>
              <w:tabs>
                <w:tab w:val="left" w:pos="222"/>
                <w:tab w:val="left" w:pos="1579"/>
              </w:tabs>
              <w:spacing w:before="0"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4"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7"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4"/>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tcPr>
          <w:p>
            <w:pPr>
              <w:pStyle w:val="21"/>
              <w:rPr>
                <w:rFonts w:hint="eastAsia" w:ascii="仿宋_GB2312" w:hAnsi="仿宋_GB2312" w:eastAsia="仿宋_GB2312" w:cs="仿宋_GB2312"/>
                <w:color w:val="auto"/>
                <w:sz w:val="18"/>
                <w:szCs w:val="18"/>
                <w:highlight w:val="none"/>
              </w:rPr>
            </w:pP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4"/>
              <w:ind w:left="47"/>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tcPr>
          <w:p>
            <w:pPr>
              <w:pStyle w:val="21"/>
              <w:rPr>
                <w:rFonts w:hint="eastAsia" w:ascii="仿宋_GB2312" w:hAnsi="仿宋_GB2312" w:eastAsia="仿宋_GB2312" w:cs="仿宋_GB2312"/>
                <w:color w:val="auto"/>
                <w:sz w:val="18"/>
                <w:szCs w:val="18"/>
                <w:highlight w:val="none"/>
              </w:rPr>
            </w:pP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4"/>
              <w:ind w:left="4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4"/>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4" w:hRule="atLeast"/>
        </w:trPr>
        <w:tc>
          <w:tcPr>
            <w:tcW w:w="397" w:type="dxa"/>
          </w:tcPr>
          <w:p>
            <w:pPr>
              <w:pStyle w:val="21"/>
              <w:spacing w:before="8"/>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22</w:t>
            </w:r>
          </w:p>
        </w:tc>
        <w:tc>
          <w:tcPr>
            <w:tcW w:w="554" w:type="dxa"/>
          </w:tcPr>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自愿退出</w:t>
            </w:r>
          </w:p>
        </w:tc>
        <w:tc>
          <w:tcPr>
            <w:tcW w:w="2041"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numPr>
                <w:ilvl w:val="0"/>
                <w:numId w:val="28"/>
              </w:numPr>
              <w:tabs>
                <w:tab w:val="left" w:pos="223"/>
              </w:tabs>
              <w:spacing w:before="0"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原保障对象姓名身份</w:t>
            </w:r>
            <w:r>
              <w:rPr>
                <w:rFonts w:hint="eastAsia" w:ascii="仿宋_GB2312" w:hAnsi="仿宋_GB2312" w:eastAsia="仿宋_GB2312" w:cs="仿宋_GB2312"/>
                <w:color w:val="auto"/>
                <w:sz w:val="18"/>
                <w:szCs w:val="18"/>
                <w:highlight w:val="none"/>
              </w:rPr>
              <w:t>证号（隐藏部分号 码）</w:t>
            </w:r>
          </w:p>
          <w:p>
            <w:pPr>
              <w:pStyle w:val="21"/>
              <w:numPr>
                <w:ilvl w:val="0"/>
                <w:numId w:val="28"/>
              </w:numPr>
              <w:tabs>
                <w:tab w:val="left" w:pos="223"/>
              </w:tabs>
              <w:spacing w:before="2"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原租购项目名称地址</w:t>
            </w:r>
            <w:r>
              <w:rPr>
                <w:rFonts w:hint="eastAsia" w:ascii="仿宋_GB2312" w:hAnsi="仿宋_GB2312" w:eastAsia="仿宋_GB2312" w:cs="仿宋_GB2312"/>
                <w:color w:val="auto"/>
                <w:sz w:val="18"/>
                <w:szCs w:val="18"/>
                <w:highlight w:val="none"/>
              </w:rPr>
              <w:t>类型套型面积等</w:t>
            </w:r>
          </w:p>
          <w:p>
            <w:pPr>
              <w:pStyle w:val="21"/>
              <w:numPr>
                <w:ilvl w:val="0"/>
                <w:numId w:val="28"/>
              </w:numPr>
              <w:tabs>
                <w:tab w:val="left" w:pos="223"/>
              </w:tabs>
              <w:spacing w:before="1"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原享受补贴面积标准</w:t>
            </w:r>
            <w:r>
              <w:rPr>
                <w:rFonts w:hint="eastAsia" w:ascii="仿宋_GB2312" w:hAnsi="仿宋_GB2312" w:eastAsia="仿宋_GB2312" w:cs="仿宋_GB2312"/>
                <w:color w:val="auto"/>
                <w:sz w:val="18"/>
                <w:szCs w:val="18"/>
                <w:highlight w:val="none"/>
              </w:rPr>
              <w:t>等</w:t>
            </w:r>
          </w:p>
        </w:tc>
        <w:tc>
          <w:tcPr>
            <w:tcW w:w="294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6"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before="2" w:line="232" w:lineRule="auto"/>
              <w:ind w:left="39" w:right="1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《住房城乡建设部办公厅关于做</w:t>
            </w:r>
            <w:r>
              <w:rPr>
                <w:rFonts w:hint="eastAsia" w:ascii="仿宋_GB2312" w:hAnsi="仿宋_GB2312" w:eastAsia="仿宋_GB2312" w:cs="仿宋_GB2312"/>
                <w:color w:val="auto"/>
                <w:sz w:val="18"/>
                <w:szCs w:val="18"/>
                <w:highlight w:val="none"/>
              </w:rPr>
              <w:t>好2012</w:t>
            </w:r>
            <w:r>
              <w:rPr>
                <w:rFonts w:hint="eastAsia" w:ascii="仿宋_GB2312" w:hAnsi="仿宋_GB2312" w:eastAsia="仿宋_GB2312" w:cs="仿宋_GB2312"/>
                <w:color w:val="auto"/>
                <w:spacing w:val="-2"/>
                <w:sz w:val="18"/>
                <w:szCs w:val="18"/>
                <w:highlight w:val="none"/>
              </w:rPr>
              <w:t>年住房保障信息公开工作</w:t>
            </w:r>
            <w:r>
              <w:rPr>
                <w:rFonts w:hint="eastAsia" w:ascii="仿宋_GB2312" w:hAnsi="仿宋_GB2312" w:eastAsia="仿宋_GB2312" w:cs="仿宋_GB2312"/>
                <w:color w:val="auto"/>
                <w:sz w:val="18"/>
                <w:szCs w:val="18"/>
                <w:highlight w:val="none"/>
              </w:rPr>
              <w:t>的通知》</w:t>
            </w:r>
          </w:p>
          <w:p>
            <w:pPr>
              <w:pStyle w:val="21"/>
              <w:spacing w:before="2" w:line="235"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《住房城乡建设部办公厅关于进一步加强住房保障信息公开工作</w:t>
            </w:r>
            <w:r>
              <w:rPr>
                <w:rFonts w:hint="eastAsia" w:ascii="仿宋_GB2312" w:hAnsi="仿宋_GB2312" w:eastAsia="仿宋_GB2312" w:cs="仿宋_GB2312"/>
                <w:color w:val="auto"/>
                <w:sz w:val="18"/>
                <w:szCs w:val="18"/>
                <w:highlight w:val="none"/>
              </w:rPr>
              <w:t>的通知》</w:t>
            </w:r>
          </w:p>
          <w:p>
            <w:pPr>
              <w:pStyle w:val="21"/>
              <w:spacing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line="232"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2" w:line="235"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numPr>
                <w:ilvl w:val="0"/>
                <w:numId w:val="29"/>
              </w:numPr>
              <w:tabs>
                <w:tab w:val="left" w:pos="222"/>
                <w:tab w:val="left" w:pos="1579"/>
              </w:tabs>
              <w:spacing w:before="0"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5"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7"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1"/>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1"/>
              <w:ind w:left="20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132"/>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23</w:t>
            </w:r>
          </w:p>
        </w:tc>
        <w:tc>
          <w:tcPr>
            <w:tcW w:w="554" w:type="dxa"/>
          </w:tcPr>
          <w:p>
            <w:pPr>
              <w:pStyle w:val="21"/>
              <w:spacing w:before="1"/>
              <w:rPr>
                <w:rFonts w:hint="eastAsia" w:ascii="仿宋_GB2312" w:hAnsi="仿宋_GB2312" w:eastAsia="仿宋_GB2312" w:cs="仿宋_GB2312"/>
                <w:color w:val="auto"/>
                <w:sz w:val="18"/>
                <w:szCs w:val="18"/>
                <w:highlight w:val="none"/>
              </w:rPr>
            </w:pPr>
          </w:p>
          <w:p>
            <w:pPr>
              <w:pStyle w:val="21"/>
              <w:spacing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spacing w:before="1"/>
              <w:rPr>
                <w:rFonts w:hint="eastAsia" w:ascii="仿宋_GB2312" w:hAnsi="仿宋_GB2312" w:eastAsia="仿宋_GB2312" w:cs="仿宋_GB2312"/>
                <w:color w:val="auto"/>
                <w:sz w:val="18"/>
                <w:szCs w:val="18"/>
                <w:highlight w:val="none"/>
              </w:rPr>
            </w:pPr>
          </w:p>
          <w:p>
            <w:pPr>
              <w:pStyle w:val="21"/>
              <w:spacing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到期退出</w:t>
            </w:r>
          </w:p>
        </w:tc>
        <w:tc>
          <w:tcPr>
            <w:tcW w:w="2041"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24</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45"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spacing w:before="131"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不符合条件退出</w:t>
            </w:r>
          </w:p>
        </w:tc>
        <w:tc>
          <w:tcPr>
            <w:tcW w:w="2041"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132"/>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25</w:t>
            </w:r>
          </w:p>
        </w:tc>
        <w:tc>
          <w:tcPr>
            <w:tcW w:w="554" w:type="dxa"/>
          </w:tcPr>
          <w:p>
            <w:pPr>
              <w:pStyle w:val="21"/>
              <w:spacing w:before="1"/>
              <w:rPr>
                <w:rFonts w:hint="eastAsia" w:ascii="仿宋_GB2312" w:hAnsi="仿宋_GB2312" w:eastAsia="仿宋_GB2312" w:cs="仿宋_GB2312"/>
                <w:color w:val="auto"/>
                <w:sz w:val="18"/>
                <w:szCs w:val="18"/>
                <w:highlight w:val="none"/>
              </w:rPr>
            </w:pPr>
          </w:p>
          <w:p>
            <w:pPr>
              <w:pStyle w:val="21"/>
              <w:spacing w:before="1"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spacing w:before="117"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违规处罚退出</w:t>
            </w:r>
          </w:p>
        </w:tc>
        <w:tc>
          <w:tcPr>
            <w:tcW w:w="2041"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98"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26</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租赁补贴发放</w:t>
            </w:r>
          </w:p>
        </w:tc>
        <w:tc>
          <w:tcPr>
            <w:tcW w:w="2041" w:type="dxa"/>
          </w:tcPr>
          <w:p>
            <w:pPr>
              <w:pStyle w:val="21"/>
              <w:numPr>
                <w:ilvl w:val="0"/>
                <w:numId w:val="30"/>
              </w:numPr>
              <w:tabs>
                <w:tab w:val="left" w:pos="223"/>
              </w:tabs>
              <w:spacing w:before="138"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保障对象姓名身份证</w:t>
            </w:r>
            <w:r>
              <w:rPr>
                <w:rFonts w:hint="eastAsia" w:ascii="仿宋_GB2312" w:hAnsi="仿宋_GB2312" w:eastAsia="仿宋_GB2312" w:cs="仿宋_GB2312"/>
                <w:color w:val="auto"/>
                <w:sz w:val="18"/>
                <w:szCs w:val="18"/>
                <w:highlight w:val="none"/>
              </w:rPr>
              <w:t>号（隐藏部分号码</w:t>
            </w:r>
            <w:r>
              <w:rPr>
                <w:rFonts w:hint="eastAsia" w:ascii="仿宋_GB2312" w:hAnsi="仿宋_GB2312" w:eastAsia="仿宋_GB2312" w:cs="仿宋_GB2312"/>
                <w:color w:val="auto"/>
                <w:spacing w:val="-17"/>
                <w:sz w:val="18"/>
                <w:szCs w:val="18"/>
                <w:highlight w:val="none"/>
              </w:rPr>
              <w:t>）</w:t>
            </w:r>
          </w:p>
          <w:p>
            <w:pPr>
              <w:pStyle w:val="21"/>
              <w:spacing w:line="235" w:lineRule="auto"/>
              <w:ind w:left="41" w:right="55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〇补贴发放编号〇合同编号</w:t>
            </w:r>
          </w:p>
          <w:p>
            <w:pPr>
              <w:pStyle w:val="21"/>
              <w:numPr>
                <w:ilvl w:val="0"/>
                <w:numId w:val="30"/>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发放金额</w:t>
            </w:r>
          </w:p>
          <w:p>
            <w:pPr>
              <w:pStyle w:val="21"/>
              <w:numPr>
                <w:ilvl w:val="0"/>
                <w:numId w:val="30"/>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发放年度月份日期</w:t>
            </w:r>
          </w:p>
          <w:p>
            <w:pPr>
              <w:pStyle w:val="21"/>
              <w:numPr>
                <w:ilvl w:val="0"/>
                <w:numId w:val="30"/>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发放方式</w:t>
            </w:r>
          </w:p>
        </w:tc>
        <w:tc>
          <w:tcPr>
            <w:tcW w:w="2948" w:type="dxa"/>
            <w:vMerge w:val="restart"/>
          </w:tcPr>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6"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before="3" w:line="232" w:lineRule="auto"/>
              <w:ind w:left="39" w:right="1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《住房城乡建设部办公厅关于做</w:t>
            </w:r>
            <w:r>
              <w:rPr>
                <w:rFonts w:hint="eastAsia" w:ascii="仿宋_GB2312" w:hAnsi="仿宋_GB2312" w:eastAsia="仿宋_GB2312" w:cs="仿宋_GB2312"/>
                <w:color w:val="auto"/>
                <w:sz w:val="18"/>
                <w:szCs w:val="18"/>
                <w:highlight w:val="none"/>
              </w:rPr>
              <w:t>好2012</w:t>
            </w:r>
            <w:r>
              <w:rPr>
                <w:rFonts w:hint="eastAsia" w:ascii="仿宋_GB2312" w:hAnsi="仿宋_GB2312" w:eastAsia="仿宋_GB2312" w:cs="仿宋_GB2312"/>
                <w:color w:val="auto"/>
                <w:spacing w:val="-2"/>
                <w:sz w:val="18"/>
                <w:szCs w:val="18"/>
                <w:highlight w:val="none"/>
              </w:rPr>
              <w:t>年住房保障信息公开工作</w:t>
            </w:r>
            <w:r>
              <w:rPr>
                <w:rFonts w:hint="eastAsia" w:ascii="仿宋_GB2312" w:hAnsi="仿宋_GB2312" w:eastAsia="仿宋_GB2312" w:cs="仿宋_GB2312"/>
                <w:color w:val="auto"/>
                <w:sz w:val="18"/>
                <w:szCs w:val="18"/>
                <w:highlight w:val="none"/>
              </w:rPr>
              <w:t>的通知》</w:t>
            </w:r>
          </w:p>
          <w:p>
            <w:pPr>
              <w:pStyle w:val="21"/>
              <w:spacing w:before="2" w:line="235"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《住房城乡建设部办公厅关于进一步加强住房保障信息公开工作</w:t>
            </w:r>
            <w:r>
              <w:rPr>
                <w:rFonts w:hint="eastAsia" w:ascii="仿宋_GB2312" w:hAnsi="仿宋_GB2312" w:eastAsia="仿宋_GB2312" w:cs="仿宋_GB2312"/>
                <w:color w:val="auto"/>
                <w:sz w:val="18"/>
                <w:szCs w:val="18"/>
                <w:highlight w:val="none"/>
              </w:rPr>
              <w:t>的通知》</w:t>
            </w:r>
          </w:p>
          <w:p>
            <w:pPr>
              <w:pStyle w:val="21"/>
              <w:spacing w:line="235"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line="232"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4"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5"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numPr>
                <w:ilvl w:val="0"/>
                <w:numId w:val="31"/>
              </w:numPr>
              <w:tabs>
                <w:tab w:val="left" w:pos="222"/>
                <w:tab w:val="left" w:pos="1579"/>
              </w:tabs>
              <w:spacing w:before="105" w:after="0" w:line="227"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4"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8"/>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8"/>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8"/>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8"/>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11"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27</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61"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61"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租金收取</w:t>
            </w:r>
          </w:p>
        </w:tc>
        <w:tc>
          <w:tcPr>
            <w:tcW w:w="2041" w:type="dxa"/>
          </w:tcPr>
          <w:p>
            <w:pPr>
              <w:pStyle w:val="21"/>
              <w:numPr>
                <w:ilvl w:val="0"/>
                <w:numId w:val="32"/>
              </w:numPr>
              <w:tabs>
                <w:tab w:val="left" w:pos="223"/>
              </w:tabs>
              <w:spacing w:before="109"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保障对象姓名身份证</w:t>
            </w:r>
            <w:r>
              <w:rPr>
                <w:rFonts w:hint="eastAsia" w:ascii="仿宋_GB2312" w:hAnsi="仿宋_GB2312" w:eastAsia="仿宋_GB2312" w:cs="仿宋_GB2312"/>
                <w:color w:val="auto"/>
                <w:sz w:val="18"/>
                <w:szCs w:val="18"/>
                <w:highlight w:val="none"/>
              </w:rPr>
              <w:t>号（隐藏部分号码</w:t>
            </w:r>
            <w:r>
              <w:rPr>
                <w:rFonts w:hint="eastAsia" w:ascii="仿宋_GB2312" w:hAnsi="仿宋_GB2312" w:eastAsia="仿宋_GB2312" w:cs="仿宋_GB2312"/>
                <w:color w:val="auto"/>
                <w:spacing w:val="-17"/>
                <w:sz w:val="18"/>
                <w:szCs w:val="18"/>
                <w:highlight w:val="none"/>
              </w:rPr>
              <w:t>）</w:t>
            </w:r>
          </w:p>
          <w:p>
            <w:pPr>
              <w:pStyle w:val="21"/>
              <w:numPr>
                <w:ilvl w:val="0"/>
                <w:numId w:val="32"/>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应缴租金</w:t>
            </w:r>
          </w:p>
          <w:p>
            <w:pPr>
              <w:pStyle w:val="21"/>
              <w:numPr>
                <w:ilvl w:val="0"/>
                <w:numId w:val="32"/>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实收租金</w:t>
            </w:r>
          </w:p>
          <w:p>
            <w:pPr>
              <w:pStyle w:val="21"/>
              <w:numPr>
                <w:ilvl w:val="0"/>
                <w:numId w:val="32"/>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未足额收取原因</w:t>
            </w:r>
          </w:p>
          <w:p>
            <w:pPr>
              <w:pStyle w:val="21"/>
              <w:numPr>
                <w:ilvl w:val="0"/>
                <w:numId w:val="32"/>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租金年度月份</w:t>
            </w:r>
          </w:p>
          <w:p>
            <w:pPr>
              <w:pStyle w:val="21"/>
              <w:numPr>
                <w:ilvl w:val="0"/>
                <w:numId w:val="32"/>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收取日期</w:t>
            </w:r>
          </w:p>
          <w:p>
            <w:pPr>
              <w:pStyle w:val="21"/>
              <w:numPr>
                <w:ilvl w:val="0"/>
                <w:numId w:val="32"/>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收取方式</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4"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28</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8"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spacing w:before="118"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租金减免</w:t>
            </w:r>
          </w:p>
        </w:tc>
        <w:tc>
          <w:tcPr>
            <w:tcW w:w="2041" w:type="dxa"/>
          </w:tcPr>
          <w:p>
            <w:pPr>
              <w:pStyle w:val="21"/>
              <w:numPr>
                <w:ilvl w:val="0"/>
                <w:numId w:val="33"/>
              </w:numPr>
              <w:tabs>
                <w:tab w:val="left" w:pos="223"/>
              </w:tabs>
              <w:spacing w:before="0"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保障对象姓名身份证</w:t>
            </w:r>
            <w:r>
              <w:rPr>
                <w:rFonts w:hint="eastAsia" w:ascii="仿宋_GB2312" w:hAnsi="仿宋_GB2312" w:eastAsia="仿宋_GB2312" w:cs="仿宋_GB2312"/>
                <w:color w:val="auto"/>
                <w:sz w:val="18"/>
                <w:szCs w:val="18"/>
                <w:highlight w:val="none"/>
              </w:rPr>
              <w:t>号（隐藏部分号码</w:t>
            </w:r>
            <w:r>
              <w:rPr>
                <w:rFonts w:hint="eastAsia" w:ascii="仿宋_GB2312" w:hAnsi="仿宋_GB2312" w:eastAsia="仿宋_GB2312" w:cs="仿宋_GB2312"/>
                <w:color w:val="auto"/>
                <w:spacing w:val="-17"/>
                <w:sz w:val="18"/>
                <w:szCs w:val="18"/>
                <w:highlight w:val="none"/>
              </w:rPr>
              <w:t>）</w:t>
            </w:r>
          </w:p>
          <w:p>
            <w:pPr>
              <w:pStyle w:val="21"/>
              <w:numPr>
                <w:ilvl w:val="0"/>
                <w:numId w:val="33"/>
              </w:numPr>
              <w:tabs>
                <w:tab w:val="left" w:pos="223"/>
              </w:tabs>
              <w:spacing w:before="1"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保障项目名称类型套</w:t>
            </w:r>
            <w:r>
              <w:rPr>
                <w:rFonts w:hint="eastAsia" w:ascii="仿宋_GB2312" w:hAnsi="仿宋_GB2312" w:eastAsia="仿宋_GB2312" w:cs="仿宋_GB2312"/>
                <w:color w:val="auto"/>
                <w:sz w:val="18"/>
                <w:szCs w:val="18"/>
                <w:highlight w:val="none"/>
              </w:rPr>
              <w:t>型面积</w:t>
            </w:r>
          </w:p>
          <w:p>
            <w:pPr>
              <w:pStyle w:val="21"/>
              <w:numPr>
                <w:ilvl w:val="0"/>
                <w:numId w:val="33"/>
              </w:numPr>
              <w:tabs>
                <w:tab w:val="left" w:pos="223"/>
              </w:tabs>
              <w:spacing w:before="0"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原应缴租金标准现应</w:t>
            </w:r>
            <w:r>
              <w:rPr>
                <w:rFonts w:hint="eastAsia" w:ascii="仿宋_GB2312" w:hAnsi="仿宋_GB2312" w:eastAsia="仿宋_GB2312" w:cs="仿宋_GB2312"/>
                <w:color w:val="auto"/>
                <w:sz w:val="18"/>
                <w:szCs w:val="18"/>
                <w:highlight w:val="none"/>
              </w:rPr>
              <w:t>缴租金标准</w:t>
            </w:r>
          </w:p>
          <w:p>
            <w:pPr>
              <w:pStyle w:val="21"/>
              <w:spacing w:line="226" w:lineRule="exact"/>
              <w:ind w:left="4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〇不予租金减免原因</w:t>
            </w:r>
          </w:p>
        </w:tc>
        <w:tc>
          <w:tcPr>
            <w:tcW w:w="2948" w:type="dxa"/>
            <w:vMerge w:val="restart"/>
          </w:tcPr>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5"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line="235" w:lineRule="auto"/>
              <w:ind w:left="39" w:right="1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《住房城乡建设部办公厅关于做</w:t>
            </w:r>
            <w:r>
              <w:rPr>
                <w:rFonts w:hint="eastAsia" w:ascii="仿宋_GB2312" w:hAnsi="仿宋_GB2312" w:eastAsia="仿宋_GB2312" w:cs="仿宋_GB2312"/>
                <w:color w:val="auto"/>
                <w:sz w:val="18"/>
                <w:szCs w:val="18"/>
                <w:highlight w:val="none"/>
              </w:rPr>
              <w:t>好2012</w:t>
            </w:r>
            <w:r>
              <w:rPr>
                <w:rFonts w:hint="eastAsia" w:ascii="仿宋_GB2312" w:hAnsi="仿宋_GB2312" w:eastAsia="仿宋_GB2312" w:cs="仿宋_GB2312"/>
                <w:color w:val="auto"/>
                <w:spacing w:val="-2"/>
                <w:sz w:val="18"/>
                <w:szCs w:val="18"/>
                <w:highlight w:val="none"/>
              </w:rPr>
              <w:t>年住房保障信息公开工作</w:t>
            </w:r>
            <w:r>
              <w:rPr>
                <w:rFonts w:hint="eastAsia" w:ascii="仿宋_GB2312" w:hAnsi="仿宋_GB2312" w:eastAsia="仿宋_GB2312" w:cs="仿宋_GB2312"/>
                <w:color w:val="auto"/>
                <w:sz w:val="18"/>
                <w:szCs w:val="18"/>
                <w:highlight w:val="none"/>
              </w:rPr>
              <w:t>的通知》</w:t>
            </w:r>
          </w:p>
          <w:p>
            <w:pPr>
              <w:pStyle w:val="21"/>
              <w:spacing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《住房城乡建设部办公厅关于进一步加强住房保障信息公开工作</w:t>
            </w:r>
            <w:r>
              <w:rPr>
                <w:rFonts w:hint="eastAsia" w:ascii="仿宋_GB2312" w:hAnsi="仿宋_GB2312" w:eastAsia="仿宋_GB2312" w:cs="仿宋_GB2312"/>
                <w:color w:val="auto"/>
                <w:sz w:val="18"/>
                <w:szCs w:val="18"/>
                <w:highlight w:val="none"/>
              </w:rPr>
              <w:t>的通知》</w:t>
            </w:r>
          </w:p>
          <w:p>
            <w:pPr>
              <w:pStyle w:val="21"/>
              <w:spacing w:line="226"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w:t>
            </w:r>
          </w:p>
          <w:p>
            <w:pPr>
              <w:pStyle w:val="21"/>
              <w:spacing w:before="4" w:line="232"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共资源配置领域政府信息公开的意见》</w:t>
            </w:r>
          </w:p>
          <w:p>
            <w:pPr>
              <w:pStyle w:val="21"/>
              <w:spacing w:line="235"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vMerge w:val="restart"/>
          </w:tcPr>
          <w:p>
            <w:pPr>
              <w:pStyle w:val="21"/>
              <w:spacing w:before="9"/>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3"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vMerge w:val="restart"/>
          </w:tcPr>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numPr>
                <w:ilvl w:val="0"/>
                <w:numId w:val="34"/>
              </w:numPr>
              <w:tabs>
                <w:tab w:val="left" w:pos="222"/>
                <w:tab w:val="left" w:pos="1579"/>
              </w:tabs>
              <w:spacing w:before="0"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6"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29</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4"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4"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腾退管理</w:t>
            </w:r>
          </w:p>
        </w:tc>
        <w:tc>
          <w:tcPr>
            <w:tcW w:w="2041" w:type="dxa"/>
          </w:tcPr>
          <w:p>
            <w:pPr>
              <w:pStyle w:val="21"/>
              <w:numPr>
                <w:ilvl w:val="0"/>
                <w:numId w:val="35"/>
              </w:numPr>
              <w:tabs>
                <w:tab w:val="left" w:pos="223"/>
              </w:tabs>
              <w:spacing w:before="0" w:after="0" w:line="235" w:lineRule="auto"/>
              <w:ind w:left="41" w:right="910" w:firstLine="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5"/>
                <w:sz w:val="18"/>
                <w:szCs w:val="18"/>
                <w:highlight w:val="none"/>
              </w:rPr>
              <w:t>腾退对象</w:t>
            </w:r>
            <w:r>
              <w:rPr>
                <w:rFonts w:hint="eastAsia" w:ascii="仿宋_GB2312" w:hAnsi="仿宋_GB2312" w:eastAsia="仿宋_GB2312" w:cs="仿宋_GB2312"/>
                <w:color w:val="auto"/>
                <w:spacing w:val="-4"/>
                <w:sz w:val="18"/>
                <w:szCs w:val="18"/>
                <w:highlight w:val="none"/>
              </w:rPr>
              <w:t>〇房屋编号</w:t>
            </w:r>
          </w:p>
          <w:p>
            <w:pPr>
              <w:pStyle w:val="21"/>
              <w:numPr>
                <w:ilvl w:val="0"/>
                <w:numId w:val="35"/>
              </w:numPr>
              <w:tabs>
                <w:tab w:val="left" w:pos="223"/>
              </w:tabs>
              <w:spacing w:before="0" w:after="0" w:line="222"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腾退日期</w:t>
            </w:r>
          </w:p>
          <w:p>
            <w:pPr>
              <w:pStyle w:val="21"/>
              <w:numPr>
                <w:ilvl w:val="0"/>
                <w:numId w:val="35"/>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腾退原因</w:t>
            </w:r>
          </w:p>
          <w:p>
            <w:pPr>
              <w:pStyle w:val="21"/>
              <w:numPr>
                <w:ilvl w:val="0"/>
                <w:numId w:val="35"/>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实退租金</w:t>
            </w:r>
          </w:p>
        </w:tc>
        <w:tc>
          <w:tcPr>
            <w:tcW w:w="2948" w:type="dxa"/>
            <w:vMerge w:val="continue"/>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5"/>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30</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房屋维修</w:t>
            </w:r>
          </w:p>
        </w:tc>
        <w:tc>
          <w:tcPr>
            <w:tcW w:w="2041" w:type="dxa"/>
          </w:tcPr>
          <w:p>
            <w:pPr>
              <w:pStyle w:val="21"/>
              <w:numPr>
                <w:ilvl w:val="0"/>
                <w:numId w:val="36"/>
              </w:numPr>
              <w:tabs>
                <w:tab w:val="left" w:pos="223"/>
              </w:tabs>
              <w:spacing w:before="107"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维修内容</w:t>
            </w:r>
          </w:p>
          <w:p>
            <w:pPr>
              <w:pStyle w:val="21"/>
              <w:numPr>
                <w:ilvl w:val="0"/>
                <w:numId w:val="36"/>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维修标准</w:t>
            </w:r>
          </w:p>
          <w:p>
            <w:pPr>
              <w:pStyle w:val="21"/>
              <w:numPr>
                <w:ilvl w:val="0"/>
                <w:numId w:val="36"/>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维修资金来源渠道</w:t>
            </w:r>
          </w:p>
          <w:p>
            <w:pPr>
              <w:pStyle w:val="21"/>
              <w:numPr>
                <w:ilvl w:val="0"/>
                <w:numId w:val="36"/>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维修单位名称</w:t>
            </w:r>
          </w:p>
          <w:p>
            <w:pPr>
              <w:pStyle w:val="21"/>
              <w:numPr>
                <w:ilvl w:val="0"/>
                <w:numId w:val="36"/>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联系人，联系方式</w:t>
            </w:r>
          </w:p>
        </w:tc>
        <w:tc>
          <w:tcPr>
            <w:tcW w:w="2948" w:type="dxa"/>
            <w:vMerge w:val="restart"/>
            <w:tcBorders>
              <w:top w:val="nil"/>
            </w:tcBorders>
          </w:tcPr>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5"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line="235" w:lineRule="auto"/>
              <w:ind w:left="39" w:right="12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
                <w:sz w:val="18"/>
                <w:szCs w:val="18"/>
                <w:highlight w:val="none"/>
              </w:rPr>
              <w:t>《住房城乡建设部办公厅关于做</w:t>
            </w:r>
            <w:r>
              <w:rPr>
                <w:rFonts w:hint="eastAsia" w:ascii="仿宋_GB2312" w:hAnsi="仿宋_GB2312" w:eastAsia="仿宋_GB2312" w:cs="仿宋_GB2312"/>
                <w:color w:val="auto"/>
                <w:sz w:val="18"/>
                <w:szCs w:val="18"/>
                <w:highlight w:val="none"/>
              </w:rPr>
              <w:t>好2012</w:t>
            </w:r>
            <w:r>
              <w:rPr>
                <w:rFonts w:hint="eastAsia" w:ascii="仿宋_GB2312" w:hAnsi="仿宋_GB2312" w:eastAsia="仿宋_GB2312" w:cs="仿宋_GB2312"/>
                <w:color w:val="auto"/>
                <w:spacing w:val="-2"/>
                <w:sz w:val="18"/>
                <w:szCs w:val="18"/>
                <w:highlight w:val="none"/>
              </w:rPr>
              <w:t>年住房保障信息公开工作</w:t>
            </w:r>
            <w:r>
              <w:rPr>
                <w:rFonts w:hint="eastAsia" w:ascii="仿宋_GB2312" w:hAnsi="仿宋_GB2312" w:eastAsia="仿宋_GB2312" w:cs="仿宋_GB2312"/>
                <w:color w:val="auto"/>
                <w:sz w:val="18"/>
                <w:szCs w:val="18"/>
                <w:highlight w:val="none"/>
              </w:rPr>
              <w:t>的通知》</w:t>
            </w:r>
          </w:p>
          <w:p>
            <w:pPr>
              <w:pStyle w:val="21"/>
              <w:spacing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《住房城乡建设部办公厅关于进一步加强住房保障信息公开工作</w:t>
            </w:r>
            <w:r>
              <w:rPr>
                <w:rFonts w:hint="eastAsia" w:ascii="仿宋_GB2312" w:hAnsi="仿宋_GB2312" w:eastAsia="仿宋_GB2312" w:cs="仿宋_GB2312"/>
                <w:color w:val="auto"/>
                <w:sz w:val="18"/>
                <w:szCs w:val="18"/>
                <w:highlight w:val="none"/>
              </w:rPr>
              <w:t>的通知》</w:t>
            </w:r>
          </w:p>
          <w:p>
            <w:pPr>
              <w:pStyle w:val="21"/>
              <w:spacing w:line="226"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《国务院办公厅关于推进公</w:t>
            </w:r>
          </w:p>
          <w:p>
            <w:pPr>
              <w:pStyle w:val="21"/>
              <w:spacing w:before="4" w:line="232"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共资源配置领域政府信息公开的意见》</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64"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6"/>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31</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保障性住房调整</w:t>
            </w:r>
          </w:p>
        </w:tc>
        <w:tc>
          <w:tcPr>
            <w:tcW w:w="2041" w:type="dxa"/>
          </w:tcPr>
          <w:p>
            <w:pPr>
              <w:pStyle w:val="21"/>
              <w:numPr>
                <w:ilvl w:val="0"/>
                <w:numId w:val="37"/>
              </w:numPr>
              <w:tabs>
                <w:tab w:val="left" w:pos="223"/>
              </w:tabs>
              <w:spacing w:before="1"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保障对象姓名身份证</w:t>
            </w:r>
            <w:r>
              <w:rPr>
                <w:rFonts w:hint="eastAsia" w:ascii="仿宋_GB2312" w:hAnsi="仿宋_GB2312" w:eastAsia="仿宋_GB2312" w:cs="仿宋_GB2312"/>
                <w:color w:val="auto"/>
                <w:sz w:val="18"/>
                <w:szCs w:val="18"/>
                <w:highlight w:val="none"/>
              </w:rPr>
              <w:t>号（隐藏部分号码</w:t>
            </w:r>
            <w:r>
              <w:rPr>
                <w:rFonts w:hint="eastAsia" w:ascii="仿宋_GB2312" w:hAnsi="仿宋_GB2312" w:eastAsia="仿宋_GB2312" w:cs="仿宋_GB2312"/>
                <w:color w:val="auto"/>
                <w:spacing w:val="-17"/>
                <w:sz w:val="18"/>
                <w:szCs w:val="18"/>
                <w:highlight w:val="none"/>
              </w:rPr>
              <w:t>）</w:t>
            </w:r>
          </w:p>
          <w:p>
            <w:pPr>
              <w:pStyle w:val="21"/>
              <w:numPr>
                <w:ilvl w:val="0"/>
                <w:numId w:val="37"/>
              </w:numPr>
              <w:tabs>
                <w:tab w:val="left" w:pos="223"/>
              </w:tabs>
              <w:spacing w:before="0" w:after="0" w:line="235" w:lineRule="auto"/>
              <w:ind w:left="221" w:right="10" w:hanging="18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调整前和调整后保障项目名称类型套型面</w:t>
            </w:r>
            <w:r>
              <w:rPr>
                <w:rFonts w:hint="eastAsia" w:ascii="仿宋_GB2312" w:hAnsi="仿宋_GB2312" w:eastAsia="仿宋_GB2312" w:cs="仿宋_GB2312"/>
                <w:color w:val="auto"/>
                <w:sz w:val="18"/>
                <w:szCs w:val="18"/>
                <w:highlight w:val="none"/>
              </w:rPr>
              <w:t>积等</w:t>
            </w:r>
          </w:p>
          <w:p>
            <w:pPr>
              <w:pStyle w:val="21"/>
              <w:numPr>
                <w:ilvl w:val="0"/>
                <w:numId w:val="37"/>
              </w:numPr>
              <w:tabs>
                <w:tab w:val="left" w:pos="223"/>
              </w:tabs>
              <w:spacing w:before="0" w:after="0" w:line="223"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不予调整原因</w:t>
            </w:r>
          </w:p>
        </w:tc>
        <w:tc>
          <w:tcPr>
            <w:tcW w:w="2948" w:type="dxa"/>
            <w:vMerge w:val="continue"/>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72"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32</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配后管理</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5"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运营承接主体管理</w:t>
            </w:r>
          </w:p>
        </w:tc>
        <w:tc>
          <w:tcPr>
            <w:tcW w:w="2041" w:type="dxa"/>
          </w:tcPr>
          <w:p>
            <w:pPr>
              <w:pStyle w:val="21"/>
              <w:numPr>
                <w:ilvl w:val="0"/>
                <w:numId w:val="38"/>
              </w:numPr>
              <w:tabs>
                <w:tab w:val="left" w:pos="223"/>
              </w:tabs>
              <w:spacing w:before="13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单位名称</w:t>
            </w:r>
          </w:p>
          <w:p>
            <w:pPr>
              <w:pStyle w:val="21"/>
              <w:numPr>
                <w:ilvl w:val="0"/>
                <w:numId w:val="38"/>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获取运营资格方式</w:t>
            </w:r>
          </w:p>
          <w:p>
            <w:pPr>
              <w:pStyle w:val="21"/>
              <w:numPr>
                <w:ilvl w:val="0"/>
                <w:numId w:val="38"/>
              </w:numPr>
              <w:tabs>
                <w:tab w:val="left" w:pos="223"/>
              </w:tabs>
              <w:spacing w:before="0"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运营承接主体统一社</w:t>
            </w:r>
            <w:r>
              <w:rPr>
                <w:rFonts w:hint="eastAsia" w:ascii="仿宋_GB2312" w:hAnsi="仿宋_GB2312" w:eastAsia="仿宋_GB2312" w:cs="仿宋_GB2312"/>
                <w:color w:val="auto"/>
                <w:sz w:val="18"/>
                <w:szCs w:val="18"/>
                <w:highlight w:val="none"/>
              </w:rPr>
              <w:t>会信用代码</w:t>
            </w:r>
          </w:p>
          <w:p>
            <w:pPr>
              <w:pStyle w:val="21"/>
              <w:numPr>
                <w:ilvl w:val="0"/>
                <w:numId w:val="38"/>
              </w:numPr>
              <w:tabs>
                <w:tab w:val="left" w:pos="223"/>
              </w:tabs>
              <w:spacing w:before="0" w:after="0" w:line="222"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负责人姓名</w:t>
            </w:r>
          </w:p>
          <w:p>
            <w:pPr>
              <w:pStyle w:val="21"/>
              <w:numPr>
                <w:ilvl w:val="0"/>
                <w:numId w:val="38"/>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办公地址联系电话</w:t>
            </w:r>
          </w:p>
          <w:p>
            <w:pPr>
              <w:pStyle w:val="21"/>
              <w:numPr>
                <w:ilvl w:val="0"/>
                <w:numId w:val="38"/>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注册资金</w:t>
            </w:r>
          </w:p>
          <w:p>
            <w:pPr>
              <w:pStyle w:val="21"/>
              <w:numPr>
                <w:ilvl w:val="0"/>
                <w:numId w:val="38"/>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服务范围</w:t>
            </w:r>
          </w:p>
          <w:p>
            <w:pPr>
              <w:pStyle w:val="21"/>
              <w:numPr>
                <w:ilvl w:val="0"/>
                <w:numId w:val="38"/>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监督考核情况等</w:t>
            </w:r>
          </w:p>
        </w:tc>
        <w:tc>
          <w:tcPr>
            <w:tcW w:w="2948" w:type="dxa"/>
          </w:tcPr>
          <w:p>
            <w:pPr>
              <w:pStyle w:val="21"/>
              <w:rPr>
                <w:rFonts w:hint="eastAsia" w:ascii="仿宋_GB2312" w:hAnsi="仿宋_GB2312" w:eastAsia="仿宋_GB2312" w:cs="仿宋_GB2312"/>
                <w:color w:val="auto"/>
                <w:sz w:val="18"/>
                <w:szCs w:val="18"/>
                <w:highlight w:val="none"/>
              </w:rPr>
            </w:pPr>
          </w:p>
          <w:p>
            <w:pPr>
              <w:pStyle w:val="21"/>
              <w:spacing w:before="149"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《经济适用住房管理办法》</w:t>
            </w:r>
          </w:p>
          <w:p>
            <w:pPr>
              <w:pStyle w:val="21"/>
              <w:spacing w:line="225"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《公共租赁住房管理办法》</w:t>
            </w:r>
          </w:p>
          <w:p>
            <w:pPr>
              <w:pStyle w:val="21"/>
              <w:spacing w:before="3" w:line="232"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before="1" w:line="235"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3"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tcPr>
          <w:p>
            <w:pPr>
              <w:pStyle w:val="21"/>
              <w:rPr>
                <w:rFonts w:hint="eastAsia" w:ascii="仿宋_GB2312" w:hAnsi="仿宋_GB2312" w:eastAsia="仿宋_GB2312" w:cs="仿宋_GB2312"/>
                <w:color w:val="auto"/>
                <w:sz w:val="18"/>
                <w:szCs w:val="18"/>
                <w:highlight w:val="none"/>
              </w:rPr>
            </w:pPr>
          </w:p>
          <w:p>
            <w:pPr>
              <w:pStyle w:val="21"/>
              <w:numPr>
                <w:ilvl w:val="0"/>
                <w:numId w:val="39"/>
              </w:numPr>
              <w:tabs>
                <w:tab w:val="left" w:pos="222"/>
                <w:tab w:val="left" w:pos="1579"/>
              </w:tabs>
              <w:spacing w:before="149"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5"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tcPr>
          <w:p>
            <w:pPr>
              <w:pStyle w:val="21"/>
              <w:rPr>
                <w:rFonts w:hint="eastAsia" w:ascii="仿宋_GB2312" w:hAnsi="仿宋_GB2312" w:eastAsia="仿宋_GB2312" w:cs="仿宋_GB2312"/>
                <w:color w:val="auto"/>
                <w:sz w:val="18"/>
                <w:szCs w:val="18"/>
                <w:highlight w:val="none"/>
              </w:rPr>
            </w:pP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47"/>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tcPr>
          <w:p>
            <w:pPr>
              <w:pStyle w:val="21"/>
              <w:rPr>
                <w:rFonts w:hint="eastAsia" w:ascii="仿宋_GB2312" w:hAnsi="仿宋_GB2312" w:eastAsia="仿宋_GB2312" w:cs="仿宋_GB2312"/>
                <w:color w:val="auto"/>
                <w:sz w:val="18"/>
                <w:szCs w:val="18"/>
                <w:highlight w:val="none"/>
              </w:rPr>
            </w:pP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4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7"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33</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办事指南</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申请保障</w:t>
            </w:r>
          </w:p>
        </w:tc>
        <w:tc>
          <w:tcPr>
            <w:tcW w:w="2041" w:type="dxa"/>
          </w:tcPr>
          <w:p>
            <w:pPr>
              <w:pStyle w:val="21"/>
              <w:numPr>
                <w:ilvl w:val="0"/>
                <w:numId w:val="40"/>
              </w:numPr>
              <w:tabs>
                <w:tab w:val="left" w:pos="223"/>
              </w:tabs>
              <w:spacing w:before="2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申请条件</w:t>
            </w:r>
          </w:p>
          <w:p>
            <w:pPr>
              <w:pStyle w:val="21"/>
              <w:numPr>
                <w:ilvl w:val="0"/>
                <w:numId w:val="40"/>
              </w:numPr>
              <w:tabs>
                <w:tab w:val="left" w:pos="223"/>
              </w:tabs>
              <w:spacing w:before="0" w:after="0" w:line="235" w:lineRule="auto"/>
              <w:ind w:left="221" w:right="19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申请所需材料及范</w:t>
            </w:r>
            <w:r>
              <w:rPr>
                <w:rFonts w:hint="eastAsia" w:ascii="仿宋_GB2312" w:hAnsi="仿宋_GB2312" w:eastAsia="仿宋_GB2312" w:cs="仿宋_GB2312"/>
                <w:color w:val="auto"/>
                <w:sz w:val="18"/>
                <w:szCs w:val="18"/>
                <w:highlight w:val="none"/>
              </w:rPr>
              <w:t>本</w:t>
            </w:r>
          </w:p>
          <w:p>
            <w:pPr>
              <w:pStyle w:val="21"/>
              <w:numPr>
                <w:ilvl w:val="0"/>
                <w:numId w:val="40"/>
              </w:numPr>
              <w:tabs>
                <w:tab w:val="left" w:pos="223"/>
              </w:tabs>
              <w:spacing w:before="0" w:after="0" w:line="235" w:lineRule="auto"/>
              <w:ind w:left="221" w:right="19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申请流程和办理时</w:t>
            </w:r>
            <w:r>
              <w:rPr>
                <w:rFonts w:hint="eastAsia" w:ascii="仿宋_GB2312" w:hAnsi="仿宋_GB2312" w:eastAsia="仿宋_GB2312" w:cs="仿宋_GB2312"/>
                <w:color w:val="auto"/>
                <w:sz w:val="18"/>
                <w:szCs w:val="18"/>
                <w:highlight w:val="none"/>
              </w:rPr>
              <w:t>限</w:t>
            </w:r>
          </w:p>
          <w:p>
            <w:pPr>
              <w:pStyle w:val="21"/>
              <w:numPr>
                <w:ilvl w:val="0"/>
                <w:numId w:val="40"/>
              </w:numPr>
              <w:tabs>
                <w:tab w:val="left" w:pos="223"/>
              </w:tabs>
              <w:spacing w:before="0"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申请受理（办理）</w:t>
            </w:r>
            <w:r>
              <w:rPr>
                <w:rFonts w:hint="eastAsia" w:ascii="仿宋_GB2312" w:hAnsi="仿宋_GB2312" w:eastAsia="仿宋_GB2312" w:cs="仿宋_GB2312"/>
                <w:color w:val="auto"/>
                <w:spacing w:val="-17"/>
                <w:sz w:val="18"/>
                <w:szCs w:val="18"/>
                <w:highlight w:val="none"/>
              </w:rPr>
              <w:t>机</w:t>
            </w:r>
            <w:r>
              <w:rPr>
                <w:rFonts w:hint="eastAsia" w:ascii="仿宋_GB2312" w:hAnsi="仿宋_GB2312" w:eastAsia="仿宋_GB2312" w:cs="仿宋_GB2312"/>
                <w:color w:val="auto"/>
                <w:sz w:val="18"/>
                <w:szCs w:val="18"/>
                <w:highlight w:val="none"/>
              </w:rPr>
              <w:t>构</w:t>
            </w:r>
          </w:p>
          <w:p>
            <w:pPr>
              <w:pStyle w:val="21"/>
              <w:numPr>
                <w:ilvl w:val="0"/>
                <w:numId w:val="40"/>
              </w:numPr>
              <w:tabs>
                <w:tab w:val="left" w:pos="223"/>
              </w:tabs>
              <w:spacing w:before="0" w:after="0" w:line="222"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受理地点</w:t>
            </w:r>
          </w:p>
          <w:p>
            <w:pPr>
              <w:pStyle w:val="21"/>
              <w:numPr>
                <w:ilvl w:val="0"/>
                <w:numId w:val="40"/>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咨询电话监督电话等</w:t>
            </w:r>
          </w:p>
        </w:tc>
        <w:tc>
          <w:tcPr>
            <w:tcW w:w="294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5"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《中共中央办公厅国务院办公厅印发〈关于全面推进政务公开工作的意见〉的通知》</w:t>
            </w:r>
          </w:p>
          <w:p>
            <w:pPr>
              <w:pStyle w:val="21"/>
              <w:spacing w:line="235" w:lineRule="auto"/>
              <w:ind w:left="39" w:righ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《国务院关于加快推进“互联网+ 政务服务”工作的指导意见》</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3"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numPr>
                <w:ilvl w:val="0"/>
                <w:numId w:val="41"/>
              </w:numPr>
              <w:tabs>
                <w:tab w:val="left" w:pos="222"/>
                <w:tab w:val="left" w:pos="1579"/>
              </w:tabs>
              <w:spacing w:before="158"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6"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numPr>
                <w:ilvl w:val="0"/>
                <w:numId w:val="0"/>
              </w:numPr>
              <w:tabs>
                <w:tab w:val="left" w:pos="222"/>
                <w:tab w:val="left" w:pos="1576"/>
              </w:tabs>
              <w:spacing w:before="0" w:after="0" w:line="224"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numPr>
                <w:ilvl w:val="0"/>
                <w:numId w:val="0"/>
              </w:numPr>
              <w:tabs>
                <w:tab w:val="left" w:pos="222"/>
                <w:tab w:val="left" w:pos="1576"/>
              </w:tabs>
              <w:spacing w:before="0" w:after="0" w:line="225"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default" w:ascii="仿宋_GB2312" w:hAnsi="仿宋_GB2312" w:eastAsia="仿宋_GB2312" w:cs="仿宋_GB2312"/>
                <w:color w:val="auto"/>
                <w:sz w:val="18"/>
                <w:szCs w:val="18"/>
                <w:highlight w:val="none"/>
                <w:lang w:val="en-US" w:eastAsia="zh-CN"/>
              </w:rPr>
            </w:pPr>
          </w:p>
          <w:p>
            <w:pPr>
              <w:pStyle w:val="21"/>
              <w:rPr>
                <w:rFonts w:hint="default" w:ascii="仿宋_GB2312" w:hAnsi="仿宋_GB2312" w:eastAsia="仿宋_GB2312" w:cs="仿宋_GB2312"/>
                <w:color w:val="auto"/>
                <w:sz w:val="18"/>
                <w:szCs w:val="18"/>
                <w:highlight w:val="none"/>
                <w:lang w:val="en-US" w:eastAsia="zh-CN"/>
              </w:rPr>
            </w:pPr>
          </w:p>
          <w:p>
            <w:pPr>
              <w:pStyle w:val="21"/>
              <w:rPr>
                <w:rFonts w:hint="default" w:ascii="仿宋_GB2312" w:hAnsi="仿宋_GB2312" w:eastAsia="仿宋_GB2312" w:cs="仿宋_GB2312"/>
                <w:color w:val="auto"/>
                <w:sz w:val="18"/>
                <w:szCs w:val="18"/>
                <w:highlight w:val="none"/>
                <w:lang w:val="en-US" w:eastAsia="zh-CN"/>
              </w:rPr>
            </w:pPr>
          </w:p>
          <w:p>
            <w:pPr>
              <w:pStyle w:val="21"/>
              <w:spacing w:before="7"/>
              <w:rPr>
                <w:rFonts w:hint="eastAsia" w:ascii="仿宋_GB2312" w:hAnsi="仿宋_GB2312" w:eastAsia="仿宋_GB2312" w:cs="仿宋_GB2312"/>
                <w:color w:val="auto"/>
                <w:sz w:val="18"/>
                <w:szCs w:val="18"/>
                <w:highlight w:val="none"/>
              </w:rPr>
            </w:pPr>
          </w:p>
          <w:p>
            <w:pPr>
              <w:pStyle w:val="21"/>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4"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34</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办事指南</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合同备案</w:t>
            </w:r>
          </w:p>
        </w:tc>
        <w:tc>
          <w:tcPr>
            <w:tcW w:w="2041" w:type="dxa"/>
          </w:tcPr>
          <w:p>
            <w:pPr>
              <w:pStyle w:val="21"/>
              <w:numPr>
                <w:ilvl w:val="0"/>
                <w:numId w:val="42"/>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合同范本</w:t>
            </w:r>
          </w:p>
          <w:p>
            <w:pPr>
              <w:pStyle w:val="21"/>
              <w:numPr>
                <w:ilvl w:val="0"/>
                <w:numId w:val="42"/>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备案机构</w:t>
            </w:r>
          </w:p>
          <w:p>
            <w:pPr>
              <w:pStyle w:val="21"/>
              <w:numPr>
                <w:ilvl w:val="0"/>
                <w:numId w:val="42"/>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受理地点</w:t>
            </w:r>
          </w:p>
          <w:p>
            <w:pPr>
              <w:pStyle w:val="21"/>
              <w:numPr>
                <w:ilvl w:val="0"/>
                <w:numId w:val="42"/>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咨询电话等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35</w:t>
            </w:r>
          </w:p>
        </w:tc>
        <w:tc>
          <w:tcPr>
            <w:tcW w:w="554" w:type="dxa"/>
          </w:tcPr>
          <w:p>
            <w:pPr>
              <w:pStyle w:val="21"/>
              <w:spacing w:before="1"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办事指南</w:t>
            </w:r>
          </w:p>
        </w:tc>
        <w:tc>
          <w:tcPr>
            <w:tcW w:w="554" w:type="dxa"/>
          </w:tcPr>
          <w:p>
            <w:pPr>
              <w:pStyle w:val="21"/>
              <w:spacing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申请租金减免</w:t>
            </w:r>
          </w:p>
        </w:tc>
        <w:tc>
          <w:tcPr>
            <w:tcW w:w="2041" w:type="dxa"/>
          </w:tcPr>
          <w:p>
            <w:pPr>
              <w:pStyle w:val="21"/>
              <w:numPr>
                <w:ilvl w:val="0"/>
                <w:numId w:val="43"/>
              </w:numPr>
              <w:tabs>
                <w:tab w:val="left" w:pos="223"/>
              </w:tabs>
              <w:spacing w:before="27" w:after="0" w:line="235" w:lineRule="auto"/>
              <w:ind w:left="221" w:right="19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申请所需材料及范</w:t>
            </w:r>
            <w:r>
              <w:rPr>
                <w:rFonts w:hint="eastAsia" w:ascii="仿宋_GB2312" w:hAnsi="仿宋_GB2312" w:eastAsia="仿宋_GB2312" w:cs="仿宋_GB2312"/>
                <w:color w:val="auto"/>
                <w:sz w:val="18"/>
                <w:szCs w:val="18"/>
                <w:highlight w:val="none"/>
              </w:rPr>
              <w:t>本</w:t>
            </w:r>
          </w:p>
          <w:p>
            <w:pPr>
              <w:pStyle w:val="21"/>
              <w:numPr>
                <w:ilvl w:val="0"/>
                <w:numId w:val="43"/>
              </w:numPr>
              <w:tabs>
                <w:tab w:val="left" w:pos="223"/>
              </w:tabs>
              <w:spacing w:before="0" w:after="0" w:line="235" w:lineRule="auto"/>
              <w:ind w:left="221" w:right="19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申请流程和办理时</w:t>
            </w:r>
            <w:r>
              <w:rPr>
                <w:rFonts w:hint="eastAsia" w:ascii="仿宋_GB2312" w:hAnsi="仿宋_GB2312" w:eastAsia="仿宋_GB2312" w:cs="仿宋_GB2312"/>
                <w:color w:val="auto"/>
                <w:sz w:val="18"/>
                <w:szCs w:val="18"/>
                <w:highlight w:val="none"/>
              </w:rPr>
              <w:t>限</w:t>
            </w:r>
          </w:p>
          <w:p>
            <w:pPr>
              <w:pStyle w:val="21"/>
              <w:numPr>
                <w:ilvl w:val="0"/>
                <w:numId w:val="43"/>
              </w:numPr>
              <w:tabs>
                <w:tab w:val="left" w:pos="223"/>
              </w:tabs>
              <w:spacing w:before="0"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申请受理（办理）</w:t>
            </w:r>
            <w:r>
              <w:rPr>
                <w:rFonts w:hint="eastAsia" w:ascii="仿宋_GB2312" w:hAnsi="仿宋_GB2312" w:eastAsia="仿宋_GB2312" w:cs="仿宋_GB2312"/>
                <w:color w:val="auto"/>
                <w:spacing w:val="-17"/>
                <w:sz w:val="18"/>
                <w:szCs w:val="18"/>
                <w:highlight w:val="none"/>
              </w:rPr>
              <w:t>机</w:t>
            </w:r>
            <w:r>
              <w:rPr>
                <w:rFonts w:hint="eastAsia" w:ascii="仿宋_GB2312" w:hAnsi="仿宋_GB2312" w:eastAsia="仿宋_GB2312" w:cs="仿宋_GB2312"/>
                <w:color w:val="auto"/>
                <w:sz w:val="18"/>
                <w:szCs w:val="18"/>
                <w:highlight w:val="none"/>
              </w:rPr>
              <w:t>构</w:t>
            </w:r>
          </w:p>
          <w:p>
            <w:pPr>
              <w:pStyle w:val="21"/>
              <w:numPr>
                <w:ilvl w:val="0"/>
                <w:numId w:val="43"/>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受理地点</w:t>
            </w:r>
          </w:p>
          <w:p>
            <w:pPr>
              <w:pStyle w:val="21"/>
              <w:numPr>
                <w:ilvl w:val="0"/>
                <w:numId w:val="43"/>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咨询电话监督电话等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0"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36</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7"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办事指南</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7"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缴纳租金</w:t>
            </w:r>
          </w:p>
        </w:tc>
        <w:tc>
          <w:tcPr>
            <w:tcW w:w="2041" w:type="dxa"/>
          </w:tcPr>
          <w:p>
            <w:pPr>
              <w:pStyle w:val="21"/>
              <w:spacing w:before="5"/>
              <w:rPr>
                <w:rFonts w:hint="eastAsia" w:ascii="仿宋_GB2312" w:hAnsi="仿宋_GB2312" w:eastAsia="仿宋_GB2312" w:cs="仿宋_GB2312"/>
                <w:color w:val="auto"/>
                <w:sz w:val="18"/>
                <w:szCs w:val="18"/>
                <w:highlight w:val="none"/>
              </w:rPr>
            </w:pPr>
          </w:p>
          <w:p>
            <w:pPr>
              <w:pStyle w:val="21"/>
              <w:numPr>
                <w:ilvl w:val="0"/>
                <w:numId w:val="44"/>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租金标准</w:t>
            </w:r>
          </w:p>
          <w:p>
            <w:pPr>
              <w:pStyle w:val="21"/>
              <w:numPr>
                <w:ilvl w:val="0"/>
                <w:numId w:val="44"/>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缴纳方式时限</w:t>
            </w:r>
          </w:p>
          <w:p>
            <w:pPr>
              <w:pStyle w:val="21"/>
              <w:numPr>
                <w:ilvl w:val="0"/>
                <w:numId w:val="44"/>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受理（办理）机构</w:t>
            </w:r>
          </w:p>
          <w:p>
            <w:pPr>
              <w:pStyle w:val="21"/>
              <w:numPr>
                <w:ilvl w:val="0"/>
                <w:numId w:val="44"/>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咨询电话监督电话等</w:t>
            </w:r>
          </w:p>
        </w:tc>
        <w:tc>
          <w:tcPr>
            <w:tcW w:w="294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before="1" w:line="235"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《中共中央办公厅国务院办公厅印发〈关于全面推进政务公开工作的意见〉的通知》</w:t>
            </w:r>
          </w:p>
          <w:p>
            <w:pPr>
              <w:pStyle w:val="21"/>
              <w:spacing w:line="235" w:lineRule="auto"/>
              <w:ind w:left="39" w:righ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《国务院关于加快推进“互联网+ 政务服务”工作的指导意见》</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3"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before="1" w:line="235"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numPr>
                <w:ilvl w:val="0"/>
                <w:numId w:val="45"/>
              </w:numPr>
              <w:tabs>
                <w:tab w:val="left" w:pos="222"/>
                <w:tab w:val="left" w:pos="1579"/>
              </w:tabs>
              <w:spacing w:before="0"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6"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5"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numPr>
                <w:ilvl w:val="0"/>
                <w:numId w:val="0"/>
              </w:numPr>
              <w:tabs>
                <w:tab w:val="left" w:pos="222"/>
                <w:tab w:val="left" w:pos="1576"/>
              </w:tabs>
              <w:spacing w:before="0" w:after="0" w:line="224"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numPr>
                <w:ilvl w:val="0"/>
                <w:numId w:val="0"/>
              </w:numPr>
              <w:tabs>
                <w:tab w:val="left" w:pos="222"/>
                <w:tab w:val="left" w:pos="1576"/>
              </w:tabs>
              <w:spacing w:before="0" w:after="0" w:line="225"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2"/>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2"/>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2"/>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2"/>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16"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37</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5"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办事指南</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8"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保障性住房调换</w:t>
            </w:r>
          </w:p>
        </w:tc>
        <w:tc>
          <w:tcPr>
            <w:tcW w:w="2041" w:type="dxa"/>
          </w:tcPr>
          <w:p>
            <w:pPr>
              <w:pStyle w:val="21"/>
              <w:numPr>
                <w:ilvl w:val="0"/>
                <w:numId w:val="46"/>
              </w:numPr>
              <w:tabs>
                <w:tab w:val="left" w:pos="223"/>
              </w:tabs>
              <w:spacing w:before="73" w:after="0" w:line="232" w:lineRule="auto"/>
              <w:ind w:left="221" w:right="19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申请所需材料及范</w:t>
            </w:r>
            <w:r>
              <w:rPr>
                <w:rFonts w:hint="eastAsia" w:ascii="仿宋_GB2312" w:hAnsi="仿宋_GB2312" w:eastAsia="仿宋_GB2312" w:cs="仿宋_GB2312"/>
                <w:color w:val="auto"/>
                <w:sz w:val="18"/>
                <w:szCs w:val="18"/>
                <w:highlight w:val="none"/>
              </w:rPr>
              <w:t>本</w:t>
            </w:r>
          </w:p>
          <w:p>
            <w:pPr>
              <w:pStyle w:val="21"/>
              <w:numPr>
                <w:ilvl w:val="0"/>
                <w:numId w:val="46"/>
              </w:numPr>
              <w:tabs>
                <w:tab w:val="left" w:pos="223"/>
              </w:tabs>
              <w:spacing w:before="0" w:after="0" w:line="225"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申请方式流程</w:t>
            </w:r>
          </w:p>
          <w:p>
            <w:pPr>
              <w:pStyle w:val="21"/>
              <w:numPr>
                <w:ilvl w:val="0"/>
                <w:numId w:val="46"/>
              </w:numPr>
              <w:tabs>
                <w:tab w:val="left" w:pos="223"/>
              </w:tabs>
              <w:spacing w:before="1"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申请受理（办理）</w:t>
            </w:r>
            <w:r>
              <w:rPr>
                <w:rFonts w:hint="eastAsia" w:ascii="仿宋_GB2312" w:hAnsi="仿宋_GB2312" w:eastAsia="仿宋_GB2312" w:cs="仿宋_GB2312"/>
                <w:color w:val="auto"/>
                <w:spacing w:val="-17"/>
                <w:sz w:val="18"/>
                <w:szCs w:val="18"/>
                <w:highlight w:val="none"/>
              </w:rPr>
              <w:t>机</w:t>
            </w:r>
            <w:r>
              <w:rPr>
                <w:rFonts w:hint="eastAsia" w:ascii="仿宋_GB2312" w:hAnsi="仿宋_GB2312" w:eastAsia="仿宋_GB2312" w:cs="仿宋_GB2312"/>
                <w:color w:val="auto"/>
                <w:sz w:val="18"/>
                <w:szCs w:val="18"/>
                <w:highlight w:val="none"/>
              </w:rPr>
              <w:t>构</w:t>
            </w:r>
          </w:p>
          <w:p>
            <w:pPr>
              <w:pStyle w:val="21"/>
              <w:numPr>
                <w:ilvl w:val="0"/>
                <w:numId w:val="46"/>
              </w:numPr>
              <w:tabs>
                <w:tab w:val="left" w:pos="223"/>
              </w:tabs>
              <w:spacing w:before="0" w:after="0" w:line="221"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受理地点</w:t>
            </w:r>
          </w:p>
          <w:p>
            <w:pPr>
              <w:pStyle w:val="21"/>
              <w:numPr>
                <w:ilvl w:val="0"/>
                <w:numId w:val="46"/>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咨询电话监督电话等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9"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38</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8"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办事指南</w:t>
            </w:r>
          </w:p>
        </w:tc>
        <w:tc>
          <w:tcPr>
            <w:tcW w:w="55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8"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自愿退出</w:t>
            </w:r>
          </w:p>
        </w:tc>
        <w:tc>
          <w:tcPr>
            <w:tcW w:w="2041" w:type="dxa"/>
          </w:tcPr>
          <w:p>
            <w:pPr>
              <w:pStyle w:val="21"/>
              <w:numPr>
                <w:ilvl w:val="0"/>
                <w:numId w:val="47"/>
              </w:numPr>
              <w:tabs>
                <w:tab w:val="left" w:pos="223"/>
              </w:tabs>
              <w:spacing w:before="90" w:after="0" w:line="235" w:lineRule="auto"/>
              <w:ind w:left="221" w:right="19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申请所需材料及范</w:t>
            </w:r>
            <w:r>
              <w:rPr>
                <w:rFonts w:hint="eastAsia" w:ascii="仿宋_GB2312" w:hAnsi="仿宋_GB2312" w:eastAsia="仿宋_GB2312" w:cs="仿宋_GB2312"/>
                <w:color w:val="auto"/>
                <w:sz w:val="18"/>
                <w:szCs w:val="18"/>
                <w:highlight w:val="none"/>
              </w:rPr>
              <w:t>本</w:t>
            </w:r>
          </w:p>
          <w:p>
            <w:pPr>
              <w:pStyle w:val="21"/>
              <w:numPr>
                <w:ilvl w:val="0"/>
                <w:numId w:val="47"/>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申请方式流程</w:t>
            </w:r>
          </w:p>
          <w:p>
            <w:pPr>
              <w:pStyle w:val="21"/>
              <w:numPr>
                <w:ilvl w:val="0"/>
                <w:numId w:val="47"/>
              </w:numPr>
              <w:tabs>
                <w:tab w:val="left" w:pos="223"/>
              </w:tabs>
              <w:spacing w:before="3"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申请受理（办理）</w:t>
            </w:r>
            <w:r>
              <w:rPr>
                <w:rFonts w:hint="eastAsia" w:ascii="仿宋_GB2312" w:hAnsi="仿宋_GB2312" w:eastAsia="仿宋_GB2312" w:cs="仿宋_GB2312"/>
                <w:color w:val="auto"/>
                <w:spacing w:val="-17"/>
                <w:sz w:val="18"/>
                <w:szCs w:val="18"/>
                <w:highlight w:val="none"/>
              </w:rPr>
              <w:t>机</w:t>
            </w:r>
            <w:r>
              <w:rPr>
                <w:rFonts w:hint="eastAsia" w:ascii="仿宋_GB2312" w:hAnsi="仿宋_GB2312" w:eastAsia="仿宋_GB2312" w:cs="仿宋_GB2312"/>
                <w:color w:val="auto"/>
                <w:sz w:val="18"/>
                <w:szCs w:val="18"/>
                <w:highlight w:val="none"/>
              </w:rPr>
              <w:t>构</w:t>
            </w:r>
          </w:p>
          <w:p>
            <w:pPr>
              <w:pStyle w:val="21"/>
              <w:numPr>
                <w:ilvl w:val="0"/>
                <w:numId w:val="47"/>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受理地点</w:t>
            </w:r>
          </w:p>
          <w:p>
            <w:pPr>
              <w:pStyle w:val="21"/>
              <w:numPr>
                <w:ilvl w:val="0"/>
                <w:numId w:val="47"/>
              </w:numPr>
              <w:tabs>
                <w:tab w:val="left" w:pos="223"/>
              </w:tabs>
              <w:spacing w:before="0"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咨询电话监督电话等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1"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39</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政策解读</w:t>
            </w:r>
          </w:p>
        </w:tc>
        <w:tc>
          <w:tcPr>
            <w:tcW w:w="554" w:type="dxa"/>
          </w:tcPr>
          <w:p>
            <w:pPr>
              <w:pStyle w:val="21"/>
              <w:spacing w:before="6"/>
              <w:rPr>
                <w:rFonts w:hint="eastAsia" w:ascii="仿宋_GB2312" w:hAnsi="仿宋_GB2312" w:eastAsia="仿宋_GB2312" w:cs="仿宋_GB2312"/>
                <w:color w:val="auto"/>
                <w:sz w:val="18"/>
                <w:szCs w:val="18"/>
                <w:highlight w:val="none"/>
              </w:rPr>
            </w:pPr>
          </w:p>
          <w:p>
            <w:pPr>
              <w:pStyle w:val="21"/>
              <w:spacing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本级政策解读</w:t>
            </w:r>
          </w:p>
        </w:tc>
        <w:tc>
          <w:tcPr>
            <w:tcW w:w="2041" w:type="dxa"/>
          </w:tcPr>
          <w:p>
            <w:pPr>
              <w:pStyle w:val="21"/>
              <w:spacing w:before="2"/>
              <w:rPr>
                <w:rFonts w:hint="eastAsia" w:ascii="仿宋_GB2312" w:hAnsi="仿宋_GB2312" w:eastAsia="仿宋_GB2312" w:cs="仿宋_GB2312"/>
                <w:color w:val="auto"/>
                <w:sz w:val="18"/>
                <w:szCs w:val="18"/>
                <w:highlight w:val="none"/>
              </w:rPr>
            </w:pPr>
          </w:p>
          <w:p>
            <w:pPr>
              <w:pStyle w:val="21"/>
              <w:numPr>
                <w:ilvl w:val="0"/>
                <w:numId w:val="48"/>
              </w:numPr>
              <w:tabs>
                <w:tab w:val="left" w:pos="223"/>
              </w:tabs>
              <w:spacing w:before="1" w:after="0" w:line="228"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解读主体</w:t>
            </w:r>
          </w:p>
          <w:p>
            <w:pPr>
              <w:pStyle w:val="21"/>
              <w:numPr>
                <w:ilvl w:val="0"/>
                <w:numId w:val="48"/>
              </w:numPr>
              <w:tabs>
                <w:tab w:val="left" w:pos="223"/>
              </w:tabs>
              <w:spacing w:before="0" w:after="0" w:line="226"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解读内容</w:t>
            </w:r>
          </w:p>
          <w:p>
            <w:pPr>
              <w:pStyle w:val="21"/>
              <w:numPr>
                <w:ilvl w:val="0"/>
                <w:numId w:val="48"/>
              </w:numPr>
              <w:tabs>
                <w:tab w:val="left" w:pos="223"/>
              </w:tabs>
              <w:spacing w:before="0" w:after="0" w:line="224"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解读方式</w:t>
            </w:r>
          </w:p>
          <w:p>
            <w:pPr>
              <w:pStyle w:val="21"/>
              <w:numPr>
                <w:ilvl w:val="0"/>
                <w:numId w:val="48"/>
              </w:numPr>
              <w:tabs>
                <w:tab w:val="left" w:pos="223"/>
              </w:tabs>
              <w:spacing w:before="0" w:after="0" w:line="227" w:lineRule="exact"/>
              <w:ind w:left="222"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解读时间等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4"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40</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回应关切</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主动回应</w:t>
            </w:r>
          </w:p>
        </w:tc>
        <w:tc>
          <w:tcPr>
            <w:tcW w:w="2041" w:type="dxa"/>
          </w:tcPr>
          <w:p>
            <w:pPr>
              <w:pStyle w:val="21"/>
              <w:numPr>
                <w:ilvl w:val="0"/>
                <w:numId w:val="49"/>
              </w:numPr>
              <w:tabs>
                <w:tab w:val="left" w:pos="223"/>
              </w:tabs>
              <w:spacing w:before="157" w:after="0" w:line="232"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公众提出的意见建议</w:t>
            </w:r>
            <w:r>
              <w:rPr>
                <w:rFonts w:hint="eastAsia" w:ascii="仿宋_GB2312" w:hAnsi="仿宋_GB2312" w:eastAsia="仿宋_GB2312" w:cs="仿宋_GB2312"/>
                <w:color w:val="auto"/>
                <w:sz w:val="18"/>
                <w:szCs w:val="18"/>
                <w:highlight w:val="none"/>
              </w:rPr>
              <w:t>及回复情况</w:t>
            </w:r>
          </w:p>
          <w:p>
            <w:pPr>
              <w:pStyle w:val="21"/>
              <w:numPr>
                <w:ilvl w:val="0"/>
                <w:numId w:val="49"/>
              </w:numPr>
              <w:tabs>
                <w:tab w:val="left" w:pos="223"/>
              </w:tabs>
              <w:spacing w:before="0"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公开突发事件应对情</w:t>
            </w:r>
            <w:r>
              <w:rPr>
                <w:rFonts w:hint="eastAsia" w:ascii="仿宋_GB2312" w:hAnsi="仿宋_GB2312" w:eastAsia="仿宋_GB2312" w:cs="仿宋_GB2312"/>
                <w:color w:val="auto"/>
                <w:sz w:val="18"/>
                <w:szCs w:val="18"/>
                <w:highlight w:val="none"/>
              </w:rPr>
              <w:t>况等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0"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41</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before="1"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回应关切</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before="1" w:line="232"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互动回应</w:t>
            </w:r>
          </w:p>
        </w:tc>
        <w:tc>
          <w:tcPr>
            <w:tcW w:w="2041" w:type="dxa"/>
          </w:tcPr>
          <w:p>
            <w:pPr>
              <w:pStyle w:val="21"/>
              <w:numPr>
                <w:ilvl w:val="0"/>
                <w:numId w:val="50"/>
              </w:numPr>
              <w:tabs>
                <w:tab w:val="left" w:pos="223"/>
              </w:tabs>
              <w:spacing w:before="64" w:after="0" w:line="235" w:lineRule="auto"/>
              <w:ind w:left="221" w:right="10" w:hanging="18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在收集分析研判舆情的基础上，针对舆论关注的焦点热点和关键问题的互动回应内</w:t>
            </w:r>
            <w:r>
              <w:rPr>
                <w:rFonts w:hint="eastAsia" w:ascii="仿宋_GB2312" w:hAnsi="仿宋_GB2312" w:eastAsia="仿宋_GB2312" w:cs="仿宋_GB2312"/>
                <w:color w:val="auto"/>
                <w:sz w:val="18"/>
                <w:szCs w:val="18"/>
                <w:highlight w:val="none"/>
              </w:rPr>
              <w:t>容</w:t>
            </w:r>
          </w:p>
        </w:tc>
        <w:tc>
          <w:tcPr>
            <w:tcW w:w="294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2" w:lineRule="auto"/>
              <w:ind w:left="39" w:right="13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《中共中央办公厅国务院办公厅印发〈关于全面推进政务公开工作的意见〉的通知》</w:t>
            </w:r>
          </w:p>
          <w:p>
            <w:pPr>
              <w:pStyle w:val="21"/>
              <w:spacing w:before="3" w:line="232" w:lineRule="auto"/>
              <w:ind w:left="39" w:right="1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《国务院办公厅关于推进公共资</w:t>
            </w:r>
            <w:r>
              <w:rPr>
                <w:rFonts w:hint="eastAsia" w:ascii="仿宋_GB2312" w:hAnsi="仿宋_GB2312" w:eastAsia="仿宋_GB2312" w:cs="仿宋_GB2312"/>
                <w:color w:val="auto"/>
                <w:sz w:val="18"/>
                <w:szCs w:val="18"/>
                <w:highlight w:val="none"/>
              </w:rPr>
              <w:t>源配置领域政府信息公开的意 见》</w:t>
            </w:r>
          </w:p>
          <w:p>
            <w:pPr>
              <w:pStyle w:val="21"/>
              <w:spacing w:before="2" w:line="235" w:lineRule="auto"/>
              <w:ind w:left="39" w:right="12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《国务院办公厅关于印发2018年政务公开工作要点的通知》</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28" w:lineRule="exact"/>
              <w:ind w:left="4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3" w:line="232" w:lineRule="auto"/>
              <w:ind w:left="42" w:right="7"/>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 20个工作日内</w:t>
            </w:r>
          </w:p>
        </w:tc>
        <w:tc>
          <w:tcPr>
            <w:tcW w:w="79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2" w:lineRule="auto"/>
              <w:ind w:left="42" w:right="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区住房和城乡建设局</w:t>
            </w:r>
          </w:p>
        </w:tc>
        <w:tc>
          <w:tcPr>
            <w:tcW w:w="3005"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numPr>
                <w:ilvl w:val="0"/>
                <w:numId w:val="51"/>
              </w:numPr>
              <w:tabs>
                <w:tab w:val="left" w:pos="222"/>
                <w:tab w:val="left" w:pos="1579"/>
              </w:tabs>
              <w:spacing w:before="134" w:after="0" w:line="228" w:lineRule="exact"/>
              <w:ind w:left="221"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numPr>
                <w:ilvl w:val="0"/>
                <w:numId w:val="0"/>
              </w:numPr>
              <w:tabs>
                <w:tab w:val="left" w:pos="222"/>
                <w:tab w:val="left" w:pos="1579"/>
              </w:tabs>
              <w:spacing w:before="0" w:after="0" w:line="226" w:lineRule="exact"/>
              <w:ind w:left="39"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579"/>
              </w:tabs>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576"/>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576"/>
              </w:tabs>
              <w:spacing w:line="224"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■社区/企事业单位公示栏（电子屏）</w:t>
            </w:r>
          </w:p>
          <w:p>
            <w:pPr>
              <w:pStyle w:val="21"/>
              <w:spacing w:line="228" w:lineRule="exact"/>
              <w:ind w:left="4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19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20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4" w:type="dxa"/>
            <w:vMerge w:val="restart"/>
          </w:tcPr>
          <w:p>
            <w:pPr>
              <w:pStyle w:val="21"/>
              <w:rPr>
                <w:rFonts w:hint="eastAsia" w:ascii="仿宋_GB2312" w:hAnsi="仿宋_GB2312" w:eastAsia="仿宋_GB2312" w:cs="仿宋_GB2312"/>
                <w:color w:val="auto"/>
                <w:sz w:val="18"/>
                <w:szCs w:val="18"/>
                <w:highlight w:val="none"/>
              </w:rPr>
            </w:pP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19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73"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3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42</w:t>
            </w:r>
          </w:p>
        </w:tc>
        <w:tc>
          <w:tcPr>
            <w:tcW w:w="55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5" w:lineRule="auto"/>
              <w:ind w:left="105" w:right="6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评价结果</w:t>
            </w:r>
          </w:p>
        </w:tc>
        <w:tc>
          <w:tcPr>
            <w:tcW w:w="554" w:type="dxa"/>
          </w:tcPr>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2" w:lineRule="auto"/>
              <w:ind w:left="105" w:right="6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上级评价表彰情况</w:t>
            </w:r>
          </w:p>
        </w:tc>
        <w:tc>
          <w:tcPr>
            <w:tcW w:w="2041" w:type="dxa"/>
          </w:tcPr>
          <w:p>
            <w:pPr>
              <w:pStyle w:val="21"/>
              <w:numPr>
                <w:ilvl w:val="0"/>
                <w:numId w:val="52"/>
              </w:numPr>
              <w:tabs>
                <w:tab w:val="left" w:pos="223"/>
              </w:tabs>
              <w:spacing w:before="150" w:after="0" w:line="232" w:lineRule="auto"/>
              <w:ind w:left="221" w:right="10" w:hanging="18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上级对本地区保障性住房领域年度工作完成情况的评价通报排</w:t>
            </w:r>
            <w:r>
              <w:rPr>
                <w:rFonts w:hint="eastAsia" w:ascii="仿宋_GB2312" w:hAnsi="仿宋_GB2312" w:eastAsia="仿宋_GB2312" w:cs="仿宋_GB2312"/>
                <w:color w:val="auto"/>
                <w:sz w:val="18"/>
                <w:szCs w:val="18"/>
                <w:highlight w:val="none"/>
              </w:rPr>
              <w:t>名</w:t>
            </w:r>
          </w:p>
          <w:p>
            <w:pPr>
              <w:pStyle w:val="21"/>
              <w:numPr>
                <w:ilvl w:val="0"/>
                <w:numId w:val="52"/>
              </w:numPr>
              <w:tabs>
                <w:tab w:val="left" w:pos="223"/>
              </w:tabs>
              <w:spacing w:before="3" w:after="0" w:line="235" w:lineRule="auto"/>
              <w:ind w:left="221" w:right="10" w:hanging="18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获上级表彰入围上级</w:t>
            </w:r>
            <w:r>
              <w:rPr>
                <w:rFonts w:hint="eastAsia" w:ascii="仿宋_GB2312" w:hAnsi="仿宋_GB2312" w:eastAsia="仿宋_GB2312" w:cs="仿宋_GB2312"/>
                <w:color w:val="auto"/>
                <w:sz w:val="18"/>
                <w:szCs w:val="18"/>
                <w:highlight w:val="none"/>
              </w:rPr>
              <w:t>推广示范情况等</w:t>
            </w:r>
          </w:p>
        </w:tc>
        <w:tc>
          <w:tcPr>
            <w:tcW w:w="294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79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005"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5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73" w:type="dxa"/>
            <w:vMerge w:val="continue"/>
            <w:tcBorders>
              <w:top w:val="nil"/>
            </w:tcBorders>
          </w:tcPr>
          <w:p>
            <w:pPr>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77" w:hRule="atLeast"/>
        </w:trPr>
        <w:tc>
          <w:tcPr>
            <w:tcW w:w="397" w:type="dxa"/>
          </w:tcPr>
          <w:p>
            <w:pPr>
              <w:pStyle w:val="21"/>
              <w:ind w:left="105" w:right="65"/>
              <w:jc w:val="center"/>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43</w:t>
            </w:r>
          </w:p>
        </w:tc>
        <w:tc>
          <w:tcPr>
            <w:tcW w:w="554"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554" w:type="dxa"/>
          </w:tcPr>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社会评价情况</w:t>
            </w:r>
          </w:p>
        </w:tc>
        <w:tc>
          <w:tcPr>
            <w:tcW w:w="2041" w:type="dxa"/>
          </w:tcPr>
          <w:p>
            <w:pPr>
              <w:pStyle w:val="21"/>
              <w:spacing w:before="2"/>
              <w:rPr>
                <w:rFonts w:hint="eastAsia" w:ascii="仿宋_GB2312" w:hAnsi="仿宋_GB2312" w:eastAsia="仿宋_GB2312" w:cs="仿宋_GB2312"/>
                <w:color w:val="auto"/>
                <w:sz w:val="18"/>
                <w:szCs w:val="18"/>
                <w:highlight w:val="none"/>
              </w:rPr>
            </w:pPr>
          </w:p>
          <w:p>
            <w:pPr>
              <w:pStyle w:val="21"/>
              <w:ind w:left="105" w:right="65"/>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2"/>
                <w:sz w:val="18"/>
                <w:szCs w:val="18"/>
                <w:highlight w:val="none"/>
              </w:rPr>
              <w:t>公众对保障性住房工</w:t>
            </w:r>
            <w:r>
              <w:rPr>
                <w:rFonts w:hint="eastAsia" w:ascii="仿宋_GB2312" w:hAnsi="仿宋_GB2312" w:eastAsia="仿宋_GB2312" w:cs="仿宋_GB2312"/>
                <w:color w:val="auto"/>
                <w:sz w:val="18"/>
                <w:szCs w:val="18"/>
                <w:highlight w:val="none"/>
              </w:rPr>
              <w:t>作满意度评价</w:t>
            </w:r>
          </w:p>
        </w:tc>
        <w:tc>
          <w:tcPr>
            <w:tcW w:w="2948"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794"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794"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3005"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554"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554"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554"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554"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554"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c>
          <w:tcPr>
            <w:tcW w:w="873" w:type="dxa"/>
            <w:vMerge w:val="continue"/>
          </w:tcPr>
          <w:p>
            <w:pPr>
              <w:pStyle w:val="21"/>
              <w:ind w:left="105" w:right="65"/>
              <w:jc w:val="center"/>
              <w:rPr>
                <w:rFonts w:hint="eastAsia" w:ascii="仿宋_GB2312" w:hAnsi="仿宋_GB2312" w:eastAsia="仿宋_GB2312" w:cs="仿宋_GB2312"/>
                <w:color w:val="auto"/>
                <w:sz w:val="18"/>
                <w:szCs w:val="18"/>
                <w:highlight w:val="none"/>
              </w:rPr>
            </w:pPr>
          </w:p>
        </w:tc>
      </w:tr>
    </w:tbl>
    <w:p>
      <w:pPr>
        <w:rPr>
          <w:rFonts w:hint="eastAsia" w:ascii="黑体" w:hAnsi="黑体" w:eastAsia="黑体" w:cs="黑体"/>
          <w:b w:val="0"/>
          <w:bCs w:val="0"/>
          <w:color w:val="auto"/>
          <w:sz w:val="36"/>
          <w:szCs w:val="36"/>
          <w:highlight w:val="none"/>
          <w:lang w:val="en-US" w:eastAsia="zh-CN"/>
        </w:rPr>
      </w:pPr>
    </w:p>
    <w:p>
      <w:pPr>
        <w:rPr>
          <w:rFonts w:hint="eastAsia" w:ascii="黑体" w:hAnsi="黑体" w:eastAsia="黑体" w:cs="黑体"/>
          <w:b w:val="0"/>
          <w:bCs w:val="0"/>
          <w:color w:val="auto"/>
          <w:sz w:val="36"/>
          <w:szCs w:val="36"/>
          <w:highlight w:val="none"/>
          <w:lang w:val="en-US" w:eastAsia="zh-CN"/>
        </w:rPr>
      </w:pPr>
    </w:p>
    <w:p>
      <w:pPr>
        <w:rPr>
          <w:rFonts w:hint="eastAsia" w:ascii="黑体" w:hAnsi="黑体" w:eastAsia="黑体" w:cs="黑体"/>
          <w:b w:val="0"/>
          <w:bCs w:val="0"/>
          <w:color w:val="auto"/>
          <w:sz w:val="36"/>
          <w:szCs w:val="36"/>
          <w:highlight w:val="none"/>
          <w:lang w:val="en-US" w:eastAsia="zh-CN"/>
        </w:rPr>
      </w:pPr>
    </w:p>
    <w:p>
      <w:pPr>
        <w:rPr>
          <w:rFonts w:hint="eastAsia" w:ascii="黑体" w:hAnsi="黑体" w:eastAsia="黑体" w:cs="黑体"/>
          <w:b w:val="0"/>
          <w:bCs w:val="0"/>
          <w:color w:val="auto"/>
          <w:sz w:val="36"/>
          <w:szCs w:val="36"/>
          <w:highlight w:val="none"/>
          <w:lang w:val="en-US" w:eastAsia="zh-CN"/>
        </w:rPr>
      </w:pPr>
    </w:p>
    <w:p>
      <w:pPr>
        <w:rPr>
          <w:rFonts w:hint="eastAsia" w:ascii="黑体" w:hAnsi="黑体" w:eastAsia="黑体" w:cs="黑体"/>
          <w:b w:val="0"/>
          <w:bCs w:val="0"/>
          <w:color w:val="auto"/>
          <w:sz w:val="36"/>
          <w:szCs w:val="36"/>
          <w:highlight w:val="none"/>
          <w:lang w:val="en-US" w:eastAsia="zh-CN"/>
        </w:rPr>
      </w:pPr>
      <w:r>
        <w:rPr>
          <w:rFonts w:hint="eastAsia" w:ascii="黑体" w:hAnsi="黑体" w:eastAsia="黑体" w:cs="黑体"/>
          <w:b w:val="0"/>
          <w:bCs w:val="0"/>
          <w:color w:val="auto"/>
          <w:sz w:val="36"/>
          <w:szCs w:val="36"/>
          <w:highlight w:val="none"/>
          <w:lang w:val="en-US" w:eastAsia="zh-CN"/>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ind w:firstLine="1800" w:firstLineChars="500"/>
        <w:jc w:val="both"/>
        <w:textAlignment w:val="auto"/>
        <w:rPr>
          <w:rFonts w:hint="eastAsia" w:ascii="黑体" w:hAnsi="黑体" w:eastAsia="黑体" w:cs="黑体"/>
          <w:b w:val="0"/>
          <w:bCs w:val="0"/>
          <w:color w:val="auto"/>
          <w:sz w:val="36"/>
          <w:szCs w:val="36"/>
          <w:highlight w:val="none"/>
        </w:rPr>
      </w:pPr>
      <w:r>
        <w:rPr>
          <w:rFonts w:hint="eastAsia" w:ascii="黑体" w:hAnsi="黑体" w:eastAsia="黑体" w:cs="黑体"/>
          <w:b w:val="0"/>
          <w:bCs w:val="0"/>
          <w:color w:val="auto"/>
          <w:sz w:val="36"/>
          <w:szCs w:val="36"/>
          <w:highlight w:val="none"/>
          <w:lang w:val="en-US" w:eastAsia="zh-CN"/>
        </w:rPr>
        <w:t>双台子区</w:t>
      </w:r>
      <w:r>
        <w:rPr>
          <w:rFonts w:hint="eastAsia" w:ascii="黑体" w:hAnsi="黑体" w:eastAsia="黑体" w:cs="黑体"/>
          <w:b w:val="0"/>
          <w:bCs w:val="0"/>
          <w:color w:val="auto"/>
          <w:sz w:val="36"/>
          <w:szCs w:val="36"/>
          <w:highlight w:val="none"/>
        </w:rPr>
        <w:t>国有土地上房屋征收与补偿领域基层政务公开标准目录</w:t>
      </w:r>
    </w:p>
    <w:tbl>
      <w:tblPr>
        <w:tblStyle w:val="7"/>
        <w:tblW w:w="15480"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48"/>
        <w:gridCol w:w="692"/>
        <w:gridCol w:w="1881"/>
        <w:gridCol w:w="2928"/>
        <w:gridCol w:w="1118"/>
        <w:gridCol w:w="764"/>
        <w:gridCol w:w="3368"/>
        <w:gridCol w:w="491"/>
        <w:gridCol w:w="655"/>
        <w:gridCol w:w="477"/>
        <w:gridCol w:w="586"/>
        <w:gridCol w:w="51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序号</w:t>
            </w:r>
          </w:p>
        </w:tc>
        <w:tc>
          <w:tcPr>
            <w:tcW w:w="1440" w:type="dxa"/>
            <w:gridSpan w:val="2"/>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公开事项</w:t>
            </w:r>
          </w:p>
        </w:tc>
        <w:tc>
          <w:tcPr>
            <w:tcW w:w="1881" w:type="dxa"/>
            <w:vMerge w:val="restart"/>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公开内容（要素）</w:t>
            </w:r>
          </w:p>
        </w:tc>
        <w:tc>
          <w:tcPr>
            <w:tcW w:w="2928" w:type="dxa"/>
            <w:vMerge w:val="restart"/>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公开依据</w:t>
            </w:r>
          </w:p>
        </w:tc>
        <w:tc>
          <w:tcPr>
            <w:tcW w:w="1118" w:type="dxa"/>
            <w:vMerge w:val="restart"/>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公开时限</w:t>
            </w:r>
          </w:p>
        </w:tc>
        <w:tc>
          <w:tcPr>
            <w:tcW w:w="764" w:type="dxa"/>
            <w:vMerge w:val="restart"/>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公开主体</w:t>
            </w:r>
          </w:p>
        </w:tc>
        <w:tc>
          <w:tcPr>
            <w:tcW w:w="3368" w:type="dxa"/>
            <w:vMerge w:val="restart"/>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公开渠道和载体</w:t>
            </w:r>
          </w:p>
        </w:tc>
        <w:tc>
          <w:tcPr>
            <w:tcW w:w="1146" w:type="dxa"/>
            <w:gridSpan w:val="2"/>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公开对象</w:t>
            </w:r>
          </w:p>
        </w:tc>
        <w:tc>
          <w:tcPr>
            <w:tcW w:w="1063" w:type="dxa"/>
            <w:gridSpan w:val="2"/>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公开方式</w:t>
            </w:r>
          </w:p>
        </w:tc>
        <w:tc>
          <w:tcPr>
            <w:tcW w:w="1232" w:type="dxa"/>
            <w:gridSpan w:val="2"/>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jc w:val="left"/>
              <w:rPr>
                <w:rFonts w:hint="eastAsia" w:ascii="仿宋_GB2312" w:hAnsi="仿宋_GB2312" w:eastAsia="仿宋_GB2312" w:cs="仿宋_GB2312"/>
                <w:b/>
                <w:color w:val="auto"/>
                <w:kern w:val="0"/>
                <w:sz w:val="18"/>
                <w:szCs w:val="18"/>
                <w:highlight w:val="none"/>
              </w:rPr>
            </w:pPr>
          </w:p>
        </w:tc>
        <w:tc>
          <w:tcPr>
            <w:tcW w:w="748" w:type="dxa"/>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一级事项</w:t>
            </w:r>
          </w:p>
        </w:tc>
        <w:tc>
          <w:tcPr>
            <w:tcW w:w="692" w:type="dxa"/>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二级事项</w:t>
            </w:r>
          </w:p>
        </w:tc>
        <w:tc>
          <w:tcPr>
            <w:tcW w:w="1881" w:type="dxa"/>
            <w:vMerge w:val="continue"/>
            <w:vAlign w:val="center"/>
          </w:tcPr>
          <w:p>
            <w:pPr>
              <w:widowControl/>
              <w:jc w:val="left"/>
              <w:rPr>
                <w:rFonts w:hint="eastAsia" w:ascii="仿宋_GB2312" w:hAnsi="仿宋_GB2312" w:eastAsia="仿宋_GB2312" w:cs="仿宋_GB2312"/>
                <w:b/>
                <w:color w:val="auto"/>
                <w:kern w:val="0"/>
                <w:sz w:val="18"/>
                <w:szCs w:val="18"/>
                <w:highlight w:val="none"/>
              </w:rPr>
            </w:pPr>
          </w:p>
        </w:tc>
        <w:tc>
          <w:tcPr>
            <w:tcW w:w="2928" w:type="dxa"/>
            <w:vMerge w:val="continue"/>
            <w:vAlign w:val="center"/>
          </w:tcPr>
          <w:p>
            <w:pPr>
              <w:widowControl/>
              <w:jc w:val="left"/>
              <w:rPr>
                <w:rFonts w:hint="eastAsia" w:ascii="仿宋_GB2312" w:hAnsi="仿宋_GB2312" w:eastAsia="仿宋_GB2312" w:cs="仿宋_GB2312"/>
                <w:b/>
                <w:color w:val="auto"/>
                <w:kern w:val="0"/>
                <w:sz w:val="18"/>
                <w:szCs w:val="18"/>
                <w:highlight w:val="none"/>
              </w:rPr>
            </w:pPr>
          </w:p>
        </w:tc>
        <w:tc>
          <w:tcPr>
            <w:tcW w:w="1118" w:type="dxa"/>
            <w:vMerge w:val="continue"/>
            <w:vAlign w:val="center"/>
          </w:tcPr>
          <w:p>
            <w:pPr>
              <w:widowControl/>
              <w:jc w:val="left"/>
              <w:rPr>
                <w:rFonts w:hint="eastAsia" w:ascii="仿宋_GB2312" w:hAnsi="仿宋_GB2312" w:eastAsia="仿宋_GB2312" w:cs="仿宋_GB2312"/>
                <w:b/>
                <w:color w:val="auto"/>
                <w:kern w:val="0"/>
                <w:sz w:val="18"/>
                <w:szCs w:val="18"/>
                <w:highlight w:val="none"/>
              </w:rPr>
            </w:pPr>
          </w:p>
        </w:tc>
        <w:tc>
          <w:tcPr>
            <w:tcW w:w="764" w:type="dxa"/>
            <w:vMerge w:val="continue"/>
            <w:vAlign w:val="center"/>
          </w:tcPr>
          <w:p>
            <w:pPr>
              <w:widowControl/>
              <w:jc w:val="left"/>
              <w:rPr>
                <w:rFonts w:hint="eastAsia" w:ascii="仿宋_GB2312" w:hAnsi="仿宋_GB2312" w:eastAsia="仿宋_GB2312" w:cs="仿宋_GB2312"/>
                <w:b/>
                <w:color w:val="auto"/>
                <w:kern w:val="0"/>
                <w:sz w:val="18"/>
                <w:szCs w:val="18"/>
                <w:highlight w:val="none"/>
              </w:rPr>
            </w:pPr>
          </w:p>
        </w:tc>
        <w:tc>
          <w:tcPr>
            <w:tcW w:w="3368" w:type="dxa"/>
            <w:vMerge w:val="continue"/>
            <w:vAlign w:val="center"/>
          </w:tcPr>
          <w:p>
            <w:pPr>
              <w:widowControl/>
              <w:jc w:val="left"/>
              <w:rPr>
                <w:rFonts w:hint="eastAsia" w:ascii="仿宋_GB2312" w:hAnsi="仿宋_GB2312" w:eastAsia="仿宋_GB2312" w:cs="仿宋_GB2312"/>
                <w:b/>
                <w:color w:val="auto"/>
                <w:kern w:val="0"/>
                <w:sz w:val="18"/>
                <w:szCs w:val="18"/>
                <w:highlight w:val="none"/>
              </w:rPr>
            </w:pPr>
          </w:p>
        </w:tc>
        <w:tc>
          <w:tcPr>
            <w:tcW w:w="491" w:type="dxa"/>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全社会</w:t>
            </w:r>
          </w:p>
        </w:tc>
        <w:tc>
          <w:tcPr>
            <w:tcW w:w="655" w:type="dxa"/>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特定群众</w:t>
            </w:r>
          </w:p>
        </w:tc>
        <w:tc>
          <w:tcPr>
            <w:tcW w:w="477" w:type="dxa"/>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主动</w:t>
            </w:r>
          </w:p>
        </w:tc>
        <w:tc>
          <w:tcPr>
            <w:tcW w:w="586" w:type="dxa"/>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依申请公开</w:t>
            </w:r>
          </w:p>
        </w:tc>
        <w:tc>
          <w:tcPr>
            <w:tcW w:w="512" w:type="dxa"/>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县级</w:t>
            </w:r>
          </w:p>
        </w:tc>
        <w:tc>
          <w:tcPr>
            <w:tcW w:w="720" w:type="dxa"/>
            <w:vAlign w:val="center"/>
          </w:tcPr>
          <w:p>
            <w:pPr>
              <w:widowControl/>
              <w:jc w:val="center"/>
              <w:rPr>
                <w:rFonts w:hint="eastAsia" w:ascii="仿宋_GB2312" w:hAnsi="仿宋_GB2312" w:eastAsia="仿宋_GB2312" w:cs="仿宋_GB2312"/>
                <w:b/>
                <w:color w:val="auto"/>
                <w:kern w:val="0"/>
                <w:sz w:val="18"/>
                <w:szCs w:val="18"/>
                <w:highlight w:val="none"/>
              </w:rPr>
            </w:pPr>
            <w:r>
              <w:rPr>
                <w:rFonts w:hint="eastAsia" w:ascii="仿宋_GB2312" w:hAnsi="仿宋_GB2312" w:eastAsia="仿宋_GB2312" w:cs="仿宋_GB2312"/>
                <w:b/>
                <w:color w:val="auto"/>
                <w:kern w:val="0"/>
                <w:sz w:val="18"/>
                <w:szCs w:val="18"/>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748"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法规政策</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国家层面法规政策</w:t>
            </w:r>
          </w:p>
        </w:tc>
        <w:tc>
          <w:tcPr>
            <w:tcW w:w="1881"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1.《国有土地上房屋征收与补偿条例》；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2.《国有土地上房屋征收评估办法》；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3.《关于推进国有土地上房屋征收与补偿信息公开工作的实施意见》；</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4.《关于进一步加强国有土地上房屋征收与补偿信息公开工作的通知》。</w:t>
            </w:r>
          </w:p>
        </w:tc>
        <w:tc>
          <w:tcPr>
            <w:tcW w:w="2928"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55"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7"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6"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4" w:hRule="atLeas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748"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法规政策</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地方层面法规政策</w:t>
            </w:r>
          </w:p>
        </w:tc>
        <w:tc>
          <w:tcPr>
            <w:tcW w:w="1881" w:type="dxa"/>
            <w:vAlign w:val="center"/>
          </w:tcPr>
          <w:p>
            <w:pPr>
              <w:pStyle w:val="20"/>
              <w:numPr>
                <w:ilvl w:val="0"/>
                <w:numId w:val="0"/>
              </w:numPr>
              <w:ind w:lef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rPr>
              <w:t>地方性法规；</w:t>
            </w:r>
          </w:p>
          <w:p>
            <w:pPr>
              <w:pStyle w:val="20"/>
              <w:numPr>
                <w:ilvl w:val="0"/>
                <w:numId w:val="0"/>
              </w:numPr>
              <w:ind w:lef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地方性政府规章；</w:t>
            </w:r>
          </w:p>
          <w:p>
            <w:pPr>
              <w:pStyle w:val="20"/>
              <w:numPr>
                <w:ilvl w:val="0"/>
                <w:numId w:val="0"/>
              </w:numPr>
              <w:ind w:lef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rPr>
              <w:t>规范性文件。</w:t>
            </w:r>
          </w:p>
        </w:tc>
        <w:tc>
          <w:tcPr>
            <w:tcW w:w="2928"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55"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7"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6"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8" w:hRule="atLeas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74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征收</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启动要件</w:t>
            </w:r>
          </w:p>
        </w:tc>
        <w:tc>
          <w:tcPr>
            <w:tcW w:w="1881" w:type="dxa"/>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征收项目符合公共利益的相关材料。</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自收到申请之日起20个工作日内公开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申请人</w:t>
            </w:r>
          </w:p>
        </w:tc>
        <w:tc>
          <w:tcPr>
            <w:tcW w:w="477" w:type="dxa"/>
            <w:vAlign w:val="center"/>
          </w:tcPr>
          <w:p>
            <w:pPr>
              <w:jc w:val="center"/>
              <w:rPr>
                <w:rFonts w:hint="eastAsia" w:ascii="仿宋_GB2312" w:hAnsi="仿宋_GB2312" w:eastAsia="仿宋_GB2312" w:cs="仿宋_GB2312"/>
                <w:color w:val="auto"/>
                <w:sz w:val="18"/>
                <w:szCs w:val="18"/>
                <w:highlight w:val="none"/>
              </w:rPr>
            </w:pPr>
          </w:p>
        </w:tc>
        <w:tc>
          <w:tcPr>
            <w:tcW w:w="586"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748"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征收</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社会稳定风险评估</w:t>
            </w:r>
          </w:p>
        </w:tc>
        <w:tc>
          <w:tcPr>
            <w:tcW w:w="1881"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社会稳定风险评估结果</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自收到申请之日起20个工作日内公开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申</w:t>
            </w:r>
            <w:r>
              <w:rPr>
                <w:rFonts w:hint="eastAsia" w:ascii="仿宋_GB2312" w:hAnsi="仿宋_GB2312" w:eastAsia="仿宋_GB2312" w:cs="仿宋_GB2312"/>
                <w:color w:val="auto"/>
                <w:sz w:val="18"/>
                <w:szCs w:val="18"/>
                <w:highlight w:val="none"/>
              </w:rPr>
              <w:t>请人</w:t>
            </w:r>
          </w:p>
        </w:tc>
        <w:tc>
          <w:tcPr>
            <w:tcW w:w="477" w:type="dxa"/>
            <w:vAlign w:val="center"/>
          </w:tcPr>
          <w:p>
            <w:pPr>
              <w:jc w:val="center"/>
              <w:rPr>
                <w:rFonts w:hint="eastAsia" w:ascii="仿宋_GB2312" w:hAnsi="仿宋_GB2312" w:eastAsia="仿宋_GB2312" w:cs="仿宋_GB2312"/>
                <w:color w:val="auto"/>
                <w:sz w:val="18"/>
                <w:szCs w:val="18"/>
                <w:highlight w:val="none"/>
              </w:rPr>
            </w:pPr>
          </w:p>
        </w:tc>
        <w:tc>
          <w:tcPr>
            <w:tcW w:w="586"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74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征收</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房屋调查登记</w:t>
            </w:r>
          </w:p>
        </w:tc>
        <w:tc>
          <w:tcPr>
            <w:tcW w:w="1881" w:type="dxa"/>
            <w:vAlign w:val="center"/>
          </w:tcPr>
          <w:p>
            <w:pPr>
              <w:pStyle w:val="20"/>
              <w:numPr>
                <w:ilvl w:val="0"/>
                <w:numId w:val="53"/>
              </w:numPr>
              <w:ind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入户调查通知；</w:t>
            </w:r>
          </w:p>
          <w:p>
            <w:pPr>
              <w:pStyle w:val="20"/>
              <w:numPr>
                <w:ilvl w:val="0"/>
                <w:numId w:val="53"/>
              </w:numPr>
              <w:ind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调查结果；</w:t>
            </w:r>
          </w:p>
          <w:p>
            <w:pPr>
              <w:pStyle w:val="20"/>
              <w:numPr>
                <w:ilvl w:val="0"/>
                <w:numId w:val="53"/>
              </w:numPr>
              <w:ind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认定结果。</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《国有土地上房屋征收评估办法》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《关于推进国有土地上房屋征收与补偿信息公开工作的实施意见》</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《关于进一步加强国有土地上房屋征收与补偿信息公开工作的通知》</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在征收范围内向被征收人　</w:t>
            </w:r>
          </w:p>
        </w:tc>
        <w:tc>
          <w:tcPr>
            <w:tcW w:w="477"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6"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748"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征收</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房屋征收补偿方案拟定</w:t>
            </w:r>
          </w:p>
        </w:tc>
        <w:tc>
          <w:tcPr>
            <w:tcW w:w="1881" w:type="dxa"/>
            <w:vAlign w:val="center"/>
          </w:tcPr>
          <w:p>
            <w:pPr>
              <w:pStyle w:val="20"/>
              <w:numPr>
                <w:ilvl w:val="0"/>
                <w:numId w:val="54"/>
              </w:numPr>
              <w:ind w:firstLine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论证结论；</w:t>
            </w:r>
          </w:p>
          <w:p>
            <w:pPr>
              <w:pStyle w:val="20"/>
              <w:numPr>
                <w:ilvl w:val="0"/>
                <w:numId w:val="54"/>
              </w:numPr>
              <w:ind w:firstLine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征求意见情况；</w:t>
            </w:r>
          </w:p>
          <w:p>
            <w:pPr>
              <w:pStyle w:val="20"/>
              <w:numPr>
                <w:ilvl w:val="0"/>
                <w:numId w:val="54"/>
              </w:numPr>
              <w:ind w:firstLine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根据公众意见修改情况。</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《关于推进国有土地上房屋征收与补偿信息公开工作的实施意见》</w:t>
            </w:r>
          </w:p>
          <w:p>
            <w:pPr>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《关于进一步加强国有土地上房屋征收与补偿信息公开工作的通知》</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信息形成或者变更之日起20个工作日内予以公开：征求意见期限不得少于30日</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申请人　</w:t>
            </w:r>
          </w:p>
        </w:tc>
        <w:tc>
          <w:tcPr>
            <w:tcW w:w="477" w:type="dxa"/>
            <w:vAlign w:val="center"/>
          </w:tcPr>
          <w:p>
            <w:pPr>
              <w:jc w:val="center"/>
              <w:rPr>
                <w:rFonts w:hint="eastAsia" w:ascii="仿宋_GB2312" w:hAnsi="仿宋_GB2312" w:eastAsia="仿宋_GB2312" w:cs="仿宋_GB2312"/>
                <w:color w:val="auto"/>
                <w:sz w:val="18"/>
                <w:szCs w:val="18"/>
                <w:highlight w:val="none"/>
              </w:rPr>
            </w:pPr>
          </w:p>
        </w:tc>
        <w:tc>
          <w:tcPr>
            <w:tcW w:w="586"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74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征收</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房屋征收决定</w:t>
            </w:r>
          </w:p>
        </w:tc>
        <w:tc>
          <w:tcPr>
            <w:tcW w:w="1881"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房屋征收决定公告（包括补偿方案和行政复议、行政诉讼权利等事项）。</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《关于推进国有土地上房屋征收与补偿信息公开工作的实施意见》</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《关于进一步加强国有土地上房屋征收与补偿信息公开工作的通知》</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在征收范围内</w:t>
            </w:r>
          </w:p>
        </w:tc>
        <w:tc>
          <w:tcPr>
            <w:tcW w:w="477"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6"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748"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评估</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房地产估价机构确定</w:t>
            </w:r>
          </w:p>
        </w:tc>
        <w:tc>
          <w:tcPr>
            <w:tcW w:w="1881"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房地产估价机构选定或确定通知。</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《国有土地上房屋征收评估办法》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《关于推进国有土地上房屋征收与补偿信息公开工作的实施意见》</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《关于进一步加强国有土地上房屋征收与补偿信息公开工作的通知》</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在征收范围内向被征收人</w:t>
            </w:r>
          </w:p>
        </w:tc>
        <w:tc>
          <w:tcPr>
            <w:tcW w:w="477"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6"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9</w:t>
            </w:r>
          </w:p>
        </w:tc>
        <w:tc>
          <w:tcPr>
            <w:tcW w:w="74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评估</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被征收房屋评估</w:t>
            </w:r>
          </w:p>
        </w:tc>
        <w:tc>
          <w:tcPr>
            <w:tcW w:w="1881"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分户的初步评估结果。</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《国有土地上房屋征收评估办法》</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《关于推进国有土地上房屋征收与补偿信息公开工作的实施意见》</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《关于进一步加强国有土地上房屋征收与补偿信息公开工作的通知》</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在征收范围内向被征收人　</w:t>
            </w:r>
          </w:p>
        </w:tc>
        <w:tc>
          <w:tcPr>
            <w:tcW w:w="477"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6"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10</w:t>
            </w:r>
          </w:p>
        </w:tc>
        <w:tc>
          <w:tcPr>
            <w:tcW w:w="748"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补偿</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分户补偿情况</w:t>
            </w:r>
          </w:p>
        </w:tc>
        <w:tc>
          <w:tcPr>
            <w:tcW w:w="1881"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分户补偿结果。</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《关于推进国有土地上房屋征收与补偿信息公开工作的实施意见》</w:t>
            </w:r>
          </w:p>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《关于进一步加强国有土地上房屋征收与补偿信息公开工作的通知》</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在征收范围内向被征收人　</w:t>
            </w:r>
          </w:p>
        </w:tc>
        <w:tc>
          <w:tcPr>
            <w:tcW w:w="477"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6"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11</w:t>
            </w:r>
          </w:p>
        </w:tc>
        <w:tc>
          <w:tcPr>
            <w:tcW w:w="748"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补偿</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产权调换房屋</w:t>
            </w:r>
          </w:p>
        </w:tc>
        <w:tc>
          <w:tcPr>
            <w:tcW w:w="1881" w:type="dxa"/>
            <w:vAlign w:val="center"/>
          </w:tcPr>
          <w:p>
            <w:pPr>
              <w:pStyle w:val="20"/>
              <w:numPr>
                <w:ilvl w:val="0"/>
                <w:numId w:val="55"/>
              </w:numPr>
              <w:ind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房源信息；</w:t>
            </w:r>
          </w:p>
          <w:p>
            <w:pPr>
              <w:pStyle w:val="20"/>
              <w:numPr>
                <w:ilvl w:val="0"/>
                <w:numId w:val="55"/>
              </w:numPr>
              <w:ind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选房办法；</w:t>
            </w:r>
          </w:p>
          <w:p>
            <w:pPr>
              <w:pStyle w:val="20"/>
              <w:numPr>
                <w:ilvl w:val="0"/>
                <w:numId w:val="55"/>
              </w:numPr>
              <w:ind w:firstLineChars="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选房结果。</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《关于推进国有土地上房屋征收与补偿信息公开工作的实施意见》</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《关于进一步加强国有土地上房屋征收与补偿信息公开工作的通知》</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在征收范围内向被征收人　</w:t>
            </w:r>
          </w:p>
        </w:tc>
        <w:tc>
          <w:tcPr>
            <w:tcW w:w="477"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6"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trPr>
        <w:tc>
          <w:tcPr>
            <w:tcW w:w="540"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12</w:t>
            </w:r>
          </w:p>
        </w:tc>
        <w:tc>
          <w:tcPr>
            <w:tcW w:w="74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补偿</w:t>
            </w:r>
          </w:p>
        </w:tc>
        <w:tc>
          <w:tcPr>
            <w:tcW w:w="69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房屋征收补偿决定</w:t>
            </w:r>
          </w:p>
        </w:tc>
        <w:tc>
          <w:tcPr>
            <w:tcW w:w="1881"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房屋征收补偿决定公告。</w:t>
            </w:r>
          </w:p>
        </w:tc>
        <w:tc>
          <w:tcPr>
            <w:tcW w:w="292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《国有土地上房屋征收与补偿条例》</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《关于推进国有土地上房屋征收与补偿信息公开工作的实施意见》</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《关于进一步加强国有土地上房屋征收与补偿信息公开工作的通知》</w:t>
            </w:r>
          </w:p>
        </w:tc>
        <w:tc>
          <w:tcPr>
            <w:tcW w:w="111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信息形成或者变更之日起20个工作日内予以公开</w:t>
            </w:r>
          </w:p>
        </w:tc>
        <w:tc>
          <w:tcPr>
            <w:tcW w:w="764"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区房屋征收中心</w:t>
            </w:r>
          </w:p>
        </w:tc>
        <w:tc>
          <w:tcPr>
            <w:tcW w:w="3368"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   □政府公报</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   □发布会/听证会</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□广播电视   □纸质媒体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□公开查阅点 □政务服务中心                                                                                                                                                                                                  □便民服务站  ■入户/现场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□社区/企事业单位/村公示栏（电子屏） </w:t>
            </w:r>
          </w:p>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精准推送    □其他                                                                                                                                                                                   </w:t>
            </w:r>
          </w:p>
        </w:tc>
        <w:tc>
          <w:tcPr>
            <w:tcW w:w="491" w:type="dxa"/>
            <w:vAlign w:val="center"/>
          </w:tcPr>
          <w:p>
            <w:pPr>
              <w:jc w:val="center"/>
              <w:rPr>
                <w:rFonts w:hint="eastAsia" w:ascii="仿宋_GB2312" w:hAnsi="仿宋_GB2312" w:eastAsia="仿宋_GB2312" w:cs="仿宋_GB2312"/>
                <w:color w:val="auto"/>
                <w:sz w:val="18"/>
                <w:szCs w:val="18"/>
                <w:highlight w:val="none"/>
              </w:rPr>
            </w:pPr>
          </w:p>
        </w:tc>
        <w:tc>
          <w:tcPr>
            <w:tcW w:w="655"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在征收范围内向被征收人　</w:t>
            </w:r>
          </w:p>
        </w:tc>
        <w:tc>
          <w:tcPr>
            <w:tcW w:w="477"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6" w:type="dxa"/>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512" w:type="dxa"/>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20" w:type="dxa"/>
            <w:vAlign w:val="center"/>
          </w:tcPr>
          <w:p>
            <w:pPr>
              <w:jc w:val="center"/>
              <w:rPr>
                <w:rFonts w:hint="eastAsia" w:ascii="仿宋_GB2312" w:hAnsi="仿宋_GB2312" w:eastAsia="仿宋_GB2312" w:cs="仿宋_GB2312"/>
                <w:color w:val="auto"/>
                <w:sz w:val="18"/>
                <w:szCs w:val="18"/>
                <w:highlight w:val="none"/>
              </w:rPr>
            </w:pPr>
          </w:p>
        </w:tc>
      </w:tr>
    </w:tbl>
    <w:p>
      <w:pPr>
        <w:rPr>
          <w:color w:val="auto"/>
          <w:sz w:val="12"/>
          <w:highlight w:val="none"/>
        </w:rPr>
      </w:pPr>
      <w:r>
        <w:rPr>
          <w:color w:val="auto"/>
          <w:sz w:val="12"/>
          <w:highlight w:val="none"/>
        </w:rPr>
        <w:br w:type="page"/>
      </w:r>
    </w:p>
    <w:p>
      <w:pPr>
        <w:pStyle w:val="3"/>
        <w:spacing w:before="55"/>
        <w:ind w:right="-960" w:rightChars="0"/>
        <w:jc w:val="center"/>
        <w:rPr>
          <w:rFonts w:hint="eastAsia" w:ascii="黑体" w:hAnsi="黑体" w:eastAsia="黑体" w:cs="黑体"/>
          <w:color w:val="auto"/>
          <w:sz w:val="36"/>
          <w:szCs w:val="36"/>
          <w:highlight w:val="none"/>
          <w:lang w:val="en-US" w:eastAsia="zh-CN"/>
        </w:rPr>
      </w:pPr>
      <w:r>
        <w:rPr>
          <w:rFonts w:hint="eastAsia" w:cs="黑体"/>
          <w:color w:val="auto"/>
          <w:sz w:val="36"/>
          <w:szCs w:val="36"/>
          <w:highlight w:val="none"/>
          <w:lang w:val="en-US" w:eastAsia="zh-CN"/>
        </w:rPr>
        <w:t>双台子区农村危房改造领域基层政务公开标准目录</w:t>
      </w:r>
    </w:p>
    <w:tbl>
      <w:tblPr>
        <w:tblStyle w:val="7"/>
        <w:tblpPr w:leftFromText="180" w:rightFromText="180" w:vertAnchor="text" w:horzAnchor="page" w:tblpXSpec="center" w:tblpY="196"/>
        <w:tblOverlap w:val="never"/>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02"/>
        <w:gridCol w:w="831"/>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jc w:val="center"/>
        </w:trPr>
        <w:tc>
          <w:tcPr>
            <w:tcW w:w="497"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ind w:left="7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序号</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2" w:lineRule="auto"/>
              <w:ind w:left="90" w:right="5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过程</w:t>
            </w:r>
          </w:p>
        </w:tc>
        <w:tc>
          <w:tcPr>
            <w:tcW w:w="1160" w:type="dxa"/>
            <w:gridSpan w:val="2"/>
          </w:tcPr>
          <w:p>
            <w:pPr>
              <w:pStyle w:val="21"/>
              <w:spacing w:before="8"/>
              <w:rPr>
                <w:rFonts w:hint="eastAsia" w:ascii="仿宋_GB2312" w:hAnsi="仿宋_GB2312" w:eastAsia="仿宋_GB2312" w:cs="仿宋_GB2312"/>
                <w:color w:val="auto"/>
                <w:sz w:val="18"/>
                <w:szCs w:val="18"/>
                <w:highlight w:val="none"/>
              </w:rPr>
            </w:pPr>
          </w:p>
          <w:p>
            <w:pPr>
              <w:pStyle w:val="21"/>
              <w:ind w:left="22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公开事项</w:t>
            </w:r>
          </w:p>
        </w:tc>
        <w:tc>
          <w:tcPr>
            <w:tcW w:w="118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ind w:left="23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公开内容</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ind w:left="990" w:right="96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公开依据</w:t>
            </w:r>
          </w:p>
        </w:tc>
        <w:tc>
          <w:tcPr>
            <w:tcW w:w="1102"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ind w:left="20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公开时限</w:t>
            </w:r>
          </w:p>
        </w:tc>
        <w:tc>
          <w:tcPr>
            <w:tcW w:w="831"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ind w:left="4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公开主体</w:t>
            </w:r>
          </w:p>
        </w:tc>
        <w:tc>
          <w:tcPr>
            <w:tcW w:w="3382" w:type="dxa"/>
            <w:vMerge w:val="restart"/>
          </w:tcPr>
          <w:p>
            <w:pPr>
              <w:pStyle w:val="21"/>
              <w:spacing w:before="5"/>
              <w:rPr>
                <w:rFonts w:hint="eastAsia" w:ascii="仿宋_GB2312" w:hAnsi="仿宋_GB2312" w:eastAsia="仿宋_GB2312" w:cs="仿宋_GB2312"/>
                <w:color w:val="auto"/>
                <w:sz w:val="18"/>
                <w:szCs w:val="18"/>
                <w:highlight w:val="none"/>
              </w:rPr>
            </w:pPr>
          </w:p>
          <w:p>
            <w:pPr>
              <w:pStyle w:val="21"/>
              <w:spacing w:line="228" w:lineRule="exact"/>
              <w:ind w:left="88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公开渠道和载体</w:t>
            </w:r>
          </w:p>
          <w:p>
            <w:pPr>
              <w:pStyle w:val="21"/>
              <w:spacing w:before="1" w:line="235" w:lineRule="auto"/>
              <w:ind w:left="37" w:right="23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（“■”表示必选项，“□”表示可选项）</w:t>
            </w:r>
          </w:p>
        </w:tc>
        <w:tc>
          <w:tcPr>
            <w:tcW w:w="968" w:type="dxa"/>
            <w:gridSpan w:val="2"/>
          </w:tcPr>
          <w:p>
            <w:pPr>
              <w:pStyle w:val="21"/>
              <w:spacing w:before="8"/>
              <w:rPr>
                <w:rFonts w:hint="eastAsia" w:ascii="仿宋_GB2312" w:hAnsi="仿宋_GB2312" w:eastAsia="仿宋_GB2312" w:cs="仿宋_GB2312"/>
                <w:color w:val="auto"/>
                <w:sz w:val="18"/>
                <w:szCs w:val="18"/>
                <w:highlight w:val="none"/>
              </w:rPr>
            </w:pPr>
          </w:p>
          <w:p>
            <w:pPr>
              <w:pStyle w:val="21"/>
              <w:ind w:left="12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公开对象</w:t>
            </w:r>
          </w:p>
        </w:tc>
        <w:tc>
          <w:tcPr>
            <w:tcW w:w="1244" w:type="dxa"/>
            <w:gridSpan w:val="2"/>
          </w:tcPr>
          <w:p>
            <w:pPr>
              <w:pStyle w:val="21"/>
              <w:spacing w:before="8"/>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公开方式</w:t>
            </w:r>
          </w:p>
        </w:tc>
        <w:tc>
          <w:tcPr>
            <w:tcW w:w="1244" w:type="dxa"/>
            <w:gridSpan w:val="2"/>
          </w:tcPr>
          <w:p>
            <w:pPr>
              <w:pStyle w:val="21"/>
              <w:spacing w:before="8"/>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497"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tcPr>
          <w:p>
            <w:pPr>
              <w:pStyle w:val="21"/>
              <w:spacing w:before="128" w:line="235" w:lineRule="auto"/>
              <w:ind w:left="135" w:right="10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一级事项</w:t>
            </w:r>
          </w:p>
        </w:tc>
        <w:tc>
          <w:tcPr>
            <w:tcW w:w="538" w:type="dxa"/>
          </w:tcPr>
          <w:p>
            <w:pPr>
              <w:pStyle w:val="21"/>
              <w:spacing w:before="128" w:line="235" w:lineRule="auto"/>
              <w:ind w:left="94" w:right="59"/>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二级事项</w:t>
            </w:r>
          </w:p>
        </w:tc>
        <w:tc>
          <w:tcPr>
            <w:tcW w:w="118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0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31"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38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tcPr>
          <w:p>
            <w:pPr>
              <w:pStyle w:val="21"/>
              <w:spacing w:before="11" w:line="226" w:lineRule="exact"/>
              <w:ind w:left="87" w:right="56"/>
              <w:jc w:val="both"/>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全社会</w:t>
            </w:r>
          </w:p>
        </w:tc>
        <w:tc>
          <w:tcPr>
            <w:tcW w:w="622" w:type="dxa"/>
          </w:tcPr>
          <w:p>
            <w:pPr>
              <w:pStyle w:val="21"/>
              <w:spacing w:before="128" w:line="235" w:lineRule="auto"/>
              <w:ind w:left="132" w:right="10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特定群体</w:t>
            </w:r>
          </w:p>
        </w:tc>
        <w:tc>
          <w:tcPr>
            <w:tcW w:w="622" w:type="dxa"/>
          </w:tcPr>
          <w:p>
            <w:pPr>
              <w:pStyle w:val="21"/>
              <w:spacing w:before="7"/>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主动</w:t>
            </w:r>
          </w:p>
        </w:tc>
        <w:tc>
          <w:tcPr>
            <w:tcW w:w="622" w:type="dxa"/>
          </w:tcPr>
          <w:p>
            <w:pPr>
              <w:pStyle w:val="21"/>
              <w:spacing w:before="7"/>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依申请</w:t>
            </w:r>
          </w:p>
        </w:tc>
        <w:tc>
          <w:tcPr>
            <w:tcW w:w="622" w:type="dxa"/>
          </w:tcPr>
          <w:p>
            <w:pPr>
              <w:pStyle w:val="21"/>
              <w:spacing w:before="7"/>
              <w:rPr>
                <w:rFonts w:hint="eastAsia" w:ascii="仿宋_GB2312" w:hAnsi="仿宋_GB2312" w:eastAsia="仿宋_GB2312" w:cs="仿宋_GB2312"/>
                <w:color w:val="auto"/>
                <w:sz w:val="18"/>
                <w:szCs w:val="18"/>
                <w:highlight w:val="none"/>
              </w:rPr>
            </w:pPr>
          </w:p>
          <w:p>
            <w:pPr>
              <w:pStyle w:val="21"/>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县级</w:t>
            </w:r>
          </w:p>
        </w:tc>
        <w:tc>
          <w:tcPr>
            <w:tcW w:w="622" w:type="dxa"/>
          </w:tcPr>
          <w:p>
            <w:pPr>
              <w:pStyle w:val="21"/>
              <w:spacing w:before="12" w:line="228"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乡</w:t>
            </w:r>
          </w:p>
          <w:p>
            <w:pPr>
              <w:pStyle w:val="21"/>
              <w:spacing w:line="226" w:lineRule="exact"/>
              <w:ind w:left="22"/>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（镇）</w:t>
            </w:r>
          </w:p>
          <w:p>
            <w:pPr>
              <w:pStyle w:val="21"/>
              <w:spacing w:line="197"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3" w:hRule="atLeast"/>
          <w:jc w:val="center"/>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
              <w:rPr>
                <w:rFonts w:hint="eastAsia" w:ascii="仿宋_GB2312" w:hAnsi="仿宋_GB2312" w:eastAsia="仿宋_GB2312" w:cs="仿宋_GB2312"/>
                <w:color w:val="auto"/>
                <w:sz w:val="18"/>
                <w:szCs w:val="18"/>
                <w:highlight w:val="none"/>
              </w:rPr>
            </w:pPr>
          </w:p>
          <w:p>
            <w:pPr>
              <w:pStyle w:val="21"/>
              <w:spacing w:line="235" w:lineRule="auto"/>
              <w:ind w:left="90" w:right="5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决策</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5" w:lineRule="auto"/>
              <w:ind w:left="138" w:right="10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部门文件</w:t>
            </w:r>
          </w:p>
        </w:tc>
        <w:tc>
          <w:tcPr>
            <w:tcW w:w="538"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农村危房改造相关文件</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before="1" w:line="235" w:lineRule="auto"/>
              <w:ind w:left="36" w:right="4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文件分类生成日期标题文号有效性关键词和具体内容等</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before="1" w:line="228" w:lineRule="exact"/>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《政府信息公开条例》</w:t>
            </w:r>
          </w:p>
          <w:p>
            <w:pPr>
              <w:pStyle w:val="21"/>
              <w:spacing w:before="1" w:line="235" w:lineRule="auto"/>
              <w:ind w:left="36" w:right="15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《中共中央办公厅国务院办公厅印发〈关于全面推进政务公开工作的意见〉的通知》</w:t>
            </w:r>
          </w:p>
          <w:p>
            <w:pPr>
              <w:pStyle w:val="21"/>
              <w:spacing w:line="235" w:lineRule="auto"/>
              <w:ind w:left="36" w:right="6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 国务院办公厅关于建立健全信息发布和政策解读机制的意见》</w:t>
            </w:r>
          </w:p>
          <w:p>
            <w:pPr>
              <w:pStyle w:val="21"/>
              <w:spacing w:line="232" w:lineRule="auto"/>
              <w:ind w:left="36" w:right="15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《国务院办公厅印发〈关于全面推进政务公开工作的意见〉实施细则的通知》</w:t>
            </w:r>
          </w:p>
        </w:tc>
        <w:tc>
          <w:tcPr>
            <w:tcW w:w="110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
              <w:rPr>
                <w:rFonts w:hint="eastAsia" w:ascii="仿宋_GB2312" w:hAnsi="仿宋_GB2312" w:eastAsia="仿宋_GB2312" w:cs="仿宋_GB2312"/>
                <w:color w:val="auto"/>
                <w:sz w:val="18"/>
                <w:szCs w:val="18"/>
                <w:highlight w:val="none"/>
              </w:rPr>
            </w:pPr>
          </w:p>
          <w:p>
            <w:pPr>
              <w:pStyle w:val="21"/>
              <w:spacing w:line="235"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3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before="1" w:line="235" w:lineRule="auto"/>
              <w:ind w:left="35" w:right="36"/>
              <w:jc w:val="both"/>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spacing w:before="8"/>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0" w:after="0" w:line="227"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9" w:hRule="atLeast"/>
          <w:jc w:val="center"/>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1" w:line="235" w:lineRule="auto"/>
              <w:ind w:left="138" w:right="10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政策解读</w:t>
            </w: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
              <w:rPr>
                <w:rFonts w:hint="eastAsia" w:ascii="仿宋_GB2312" w:hAnsi="仿宋_GB2312" w:eastAsia="仿宋_GB2312" w:cs="仿宋_GB2312"/>
                <w:color w:val="auto"/>
                <w:sz w:val="18"/>
                <w:szCs w:val="18"/>
                <w:highlight w:val="none"/>
              </w:rPr>
            </w:pPr>
          </w:p>
          <w:p>
            <w:pPr>
              <w:pStyle w:val="21"/>
              <w:spacing w:line="232"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上级政策解读</w:t>
            </w:r>
          </w:p>
        </w:tc>
        <w:tc>
          <w:tcPr>
            <w:tcW w:w="118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36" w:right="4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着重解读政策措施的背景依据目标任务主要内容涉及范围执行标准， 以及注意事项关键词诠释惠民利民举措新旧政策差异等</w:t>
            </w: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0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
              <w:rPr>
                <w:rFonts w:hint="eastAsia" w:ascii="仿宋_GB2312" w:hAnsi="仿宋_GB2312" w:eastAsia="仿宋_GB2312" w:cs="仿宋_GB2312"/>
                <w:color w:val="auto"/>
                <w:sz w:val="18"/>
                <w:szCs w:val="18"/>
                <w:highlight w:val="none"/>
              </w:rPr>
            </w:pPr>
          </w:p>
          <w:p>
            <w:pPr>
              <w:pStyle w:val="21"/>
              <w:spacing w:line="232"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3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2"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spacing w:before="4"/>
              <w:rPr>
                <w:rFonts w:hint="eastAsia" w:ascii="仿宋_GB2312" w:hAnsi="仿宋_GB2312" w:eastAsia="仿宋_GB2312" w:cs="仿宋_GB2312"/>
                <w:color w:val="auto"/>
                <w:sz w:val="18"/>
                <w:szCs w:val="18"/>
                <w:highlight w:val="none"/>
              </w:rPr>
            </w:pPr>
          </w:p>
          <w:p>
            <w:pPr>
              <w:pStyle w:val="21"/>
              <w:numPr>
                <w:ilvl w:val="0"/>
                <w:numId w:val="2"/>
              </w:numPr>
              <w:tabs>
                <w:tab w:val="left" w:pos="219"/>
                <w:tab w:val="left" w:pos="1482"/>
              </w:tabs>
              <w:spacing w:before="0" w:after="0" w:line="228" w:lineRule="exact"/>
              <w:ind w:left="218"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90" w:hRule="atLeast"/>
          <w:jc w:val="center"/>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2"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本级政策解读</w:t>
            </w:r>
          </w:p>
        </w:tc>
        <w:tc>
          <w:tcPr>
            <w:tcW w:w="118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0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2"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31"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2"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spacing w:before="7"/>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0" w:after="0" w:line="228"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bl>
    <w:p>
      <w:pPr>
        <w:spacing w:after="0"/>
        <w:jc w:val="right"/>
        <w:rPr>
          <w:color w:val="auto"/>
          <w:sz w:val="18"/>
          <w:highlight w:val="none"/>
        </w:rPr>
        <w:sectPr>
          <w:footerReference r:id="rId6" w:type="default"/>
          <w:pgSz w:w="16840" w:h="11910" w:orient="landscape"/>
          <w:pgMar w:top="763" w:right="1320" w:bottom="1067" w:left="1260" w:header="720" w:footer="533" w:gutter="0"/>
          <w:pgBorders>
            <w:top w:val="none" w:sz="0" w:space="0"/>
            <w:left w:val="none" w:sz="0" w:space="0"/>
            <w:bottom w:val="none" w:sz="0" w:space="0"/>
            <w:right w:val="none" w:sz="0" w:space="0"/>
          </w:pgBorders>
          <w:pgNumType w:fmt="numberInDash" w:start="1"/>
          <w:cols w:equalWidth="0" w:num="1">
            <w:col w:w="14960"/>
          </w:cols>
        </w:sectPr>
      </w:pPr>
    </w:p>
    <w:p>
      <w:pPr>
        <w:pStyle w:val="3"/>
        <w:rPr>
          <w:rFonts w:ascii="Times New Roman"/>
          <w:color w:val="auto"/>
          <w:sz w:val="26"/>
          <w:highlight w:val="none"/>
        </w:rPr>
      </w:pPr>
    </w:p>
    <w:tbl>
      <w:tblPr>
        <w:tblStyle w:val="7"/>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7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序号</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90" w:right="5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过程</w:t>
            </w:r>
          </w:p>
        </w:tc>
        <w:tc>
          <w:tcPr>
            <w:tcW w:w="1160"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2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公开事项</w:t>
            </w:r>
          </w:p>
        </w:tc>
        <w:tc>
          <w:tcPr>
            <w:tcW w:w="118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3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公开内容</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990" w:right="96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公开依据</w:t>
            </w:r>
          </w:p>
        </w:tc>
        <w:tc>
          <w:tcPr>
            <w:tcW w:w="1119"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0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公开时限</w:t>
            </w:r>
          </w:p>
        </w:tc>
        <w:tc>
          <w:tcPr>
            <w:tcW w:w="81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4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公开主体</w:t>
            </w:r>
          </w:p>
        </w:tc>
        <w:tc>
          <w:tcPr>
            <w:tcW w:w="3382" w:type="dxa"/>
            <w:vMerge w:val="restart"/>
          </w:tcPr>
          <w:p>
            <w:pPr>
              <w:pStyle w:val="21"/>
              <w:rPr>
                <w:rFonts w:hint="eastAsia" w:ascii="仿宋_GB2312" w:hAnsi="仿宋_GB2312" w:eastAsia="仿宋_GB2312" w:cs="仿宋_GB2312"/>
                <w:color w:val="auto"/>
                <w:sz w:val="18"/>
                <w:szCs w:val="18"/>
                <w:highlight w:val="none"/>
              </w:rPr>
            </w:pPr>
          </w:p>
          <w:p>
            <w:pPr>
              <w:pStyle w:val="21"/>
              <w:spacing w:before="106" w:line="228" w:lineRule="exact"/>
              <w:ind w:left="88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公开渠道和载体</w:t>
            </w:r>
          </w:p>
          <w:p>
            <w:pPr>
              <w:pStyle w:val="21"/>
              <w:spacing w:before="1" w:line="235" w:lineRule="auto"/>
              <w:ind w:left="37" w:right="23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（“■”表示必选项，“□”表示可选项）</w:t>
            </w:r>
          </w:p>
        </w:tc>
        <w:tc>
          <w:tcPr>
            <w:tcW w:w="968"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12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公开对象</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公开方式</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tcPr>
          <w:p>
            <w:pPr>
              <w:pStyle w:val="21"/>
              <w:spacing w:before="129" w:line="235" w:lineRule="auto"/>
              <w:ind w:left="135" w:right="10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一级事项</w:t>
            </w:r>
          </w:p>
        </w:tc>
        <w:tc>
          <w:tcPr>
            <w:tcW w:w="538" w:type="dxa"/>
          </w:tcPr>
          <w:p>
            <w:pPr>
              <w:pStyle w:val="21"/>
              <w:spacing w:before="129" w:line="235" w:lineRule="auto"/>
              <w:ind w:left="94" w:right="59"/>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二级事项</w:t>
            </w:r>
          </w:p>
        </w:tc>
        <w:tc>
          <w:tcPr>
            <w:tcW w:w="118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1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38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tcPr>
          <w:p>
            <w:pPr>
              <w:pStyle w:val="21"/>
              <w:spacing w:before="16" w:line="235" w:lineRule="auto"/>
              <w:ind w:left="87" w:right="56"/>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全社</w:t>
            </w:r>
          </w:p>
          <w:p>
            <w:pPr>
              <w:pStyle w:val="21"/>
              <w:spacing w:line="195" w:lineRule="exact"/>
              <w:ind w:left="8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会</w:t>
            </w:r>
          </w:p>
        </w:tc>
        <w:tc>
          <w:tcPr>
            <w:tcW w:w="622" w:type="dxa"/>
          </w:tcPr>
          <w:p>
            <w:pPr>
              <w:pStyle w:val="21"/>
              <w:spacing w:before="129" w:line="235" w:lineRule="auto"/>
              <w:ind w:left="132" w:right="10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特定群体</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134"/>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主动</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依申请</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13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县级</w:t>
            </w:r>
          </w:p>
        </w:tc>
        <w:tc>
          <w:tcPr>
            <w:tcW w:w="622" w:type="dxa"/>
          </w:tcPr>
          <w:p>
            <w:pPr>
              <w:pStyle w:val="21"/>
              <w:spacing w:before="12" w:line="228"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乡</w:t>
            </w:r>
          </w:p>
          <w:p>
            <w:pPr>
              <w:pStyle w:val="21"/>
              <w:spacing w:line="226" w:lineRule="exact"/>
              <w:ind w:left="22"/>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（镇）</w:t>
            </w:r>
          </w:p>
          <w:p>
            <w:pPr>
              <w:pStyle w:val="21"/>
              <w:spacing w:line="197"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8"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90" w:right="5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执行</w:t>
            </w:r>
          </w:p>
        </w:tc>
        <w:tc>
          <w:tcPr>
            <w:tcW w:w="622"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229" w:right="10" w:hanging="18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计划实施</w:t>
            </w: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2" w:line="235" w:lineRule="auto"/>
              <w:ind w:left="96" w:right="5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任务分配</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2" w:lineRule="auto"/>
              <w:ind w:left="36" w:right="4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及时公开农村危房改造补助农户名单</w:t>
            </w:r>
          </w:p>
        </w:tc>
        <w:tc>
          <w:tcPr>
            <w:tcW w:w="273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36" w:right="15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《住房城乡建设部 财政部 国务院扶贫办关于加强和完善建档立卡贫困户等重点对象农村危房改造若干问题的通知》等</w:t>
            </w: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2"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分配结果确定后20个工作日内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6" w:line="235"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0" w:after="0" w:line="228"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right="7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ind w:lef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1"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0" w:line="235" w:lineRule="auto"/>
              <w:ind w:left="96" w:right="5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组织培训</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2" w:lineRule="auto"/>
              <w:ind w:left="36" w:right="4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组织开展农村建筑工匠培训文件</w:t>
            </w:r>
          </w:p>
        </w:tc>
        <w:tc>
          <w:tcPr>
            <w:tcW w:w="273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2" w:lineRule="auto"/>
              <w:ind w:left="36" w:right="15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《住房城乡建设部 财政部 国务院扶贫办关于决战决胜脱贫攻坚进一步做好农村危房改造的通知</w:t>
            </w:r>
          </w:p>
          <w:p>
            <w:pPr>
              <w:pStyle w:val="21"/>
              <w:spacing w:line="228" w:lineRule="exact"/>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2"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2"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numPr>
                <w:ilvl w:val="0"/>
                <w:numId w:val="5"/>
              </w:numPr>
              <w:tabs>
                <w:tab w:val="left" w:pos="219"/>
                <w:tab w:val="left" w:pos="1482"/>
              </w:tabs>
              <w:spacing w:before="0" w:after="0" w:line="228" w:lineRule="exact"/>
              <w:ind w:left="218"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ind w:right="74"/>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ind w:lef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ind w:left="3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bl>
    <w:p>
      <w:pPr>
        <w:spacing w:after="0"/>
        <w:rPr>
          <w:color w:val="auto"/>
          <w:sz w:val="18"/>
          <w:highlight w:val="none"/>
        </w:rPr>
        <w:sectPr>
          <w:pgSz w:w="16840" w:h="11910" w:orient="landscape"/>
          <w:pgMar w:top="1100" w:right="1000" w:bottom="720" w:left="880" w:header="0" w:footer="533" w:gutter="0"/>
          <w:pgBorders>
            <w:top w:val="none" w:sz="0" w:space="0"/>
            <w:left w:val="none" w:sz="0" w:space="0"/>
            <w:bottom w:val="none" w:sz="0" w:space="0"/>
            <w:right w:val="none" w:sz="0" w:space="0"/>
          </w:pgBorders>
          <w:pgNumType w:fmt="numberInDash"/>
          <w:cols w:equalWidth="0" w:num="1">
            <w:col w:w="14960"/>
          </w:cols>
        </w:sectPr>
      </w:pPr>
    </w:p>
    <w:p>
      <w:pPr>
        <w:pStyle w:val="3"/>
        <w:rPr>
          <w:rFonts w:ascii="Times New Roman"/>
          <w:color w:val="auto"/>
          <w:sz w:val="26"/>
          <w:highlight w:val="none"/>
        </w:rPr>
      </w:pPr>
    </w:p>
    <w:tbl>
      <w:tblPr>
        <w:tblStyle w:val="7"/>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7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序号</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90" w:right="5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过程</w:t>
            </w:r>
          </w:p>
        </w:tc>
        <w:tc>
          <w:tcPr>
            <w:tcW w:w="1160"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2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公开事项</w:t>
            </w:r>
          </w:p>
        </w:tc>
        <w:tc>
          <w:tcPr>
            <w:tcW w:w="118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3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公开内容</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990" w:right="96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公开依据</w:t>
            </w:r>
          </w:p>
        </w:tc>
        <w:tc>
          <w:tcPr>
            <w:tcW w:w="1119"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0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公开时限</w:t>
            </w:r>
          </w:p>
        </w:tc>
        <w:tc>
          <w:tcPr>
            <w:tcW w:w="81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4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公开主体</w:t>
            </w:r>
          </w:p>
        </w:tc>
        <w:tc>
          <w:tcPr>
            <w:tcW w:w="3382" w:type="dxa"/>
            <w:vMerge w:val="restart"/>
          </w:tcPr>
          <w:p>
            <w:pPr>
              <w:pStyle w:val="21"/>
              <w:rPr>
                <w:rFonts w:hint="eastAsia" w:ascii="仿宋_GB2312" w:hAnsi="仿宋_GB2312" w:eastAsia="仿宋_GB2312" w:cs="仿宋_GB2312"/>
                <w:color w:val="auto"/>
                <w:sz w:val="18"/>
                <w:szCs w:val="18"/>
                <w:highlight w:val="none"/>
              </w:rPr>
            </w:pPr>
          </w:p>
          <w:p>
            <w:pPr>
              <w:pStyle w:val="21"/>
              <w:spacing w:before="106" w:line="228" w:lineRule="exact"/>
              <w:ind w:left="88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公开渠道和载体</w:t>
            </w:r>
          </w:p>
          <w:p>
            <w:pPr>
              <w:pStyle w:val="21"/>
              <w:spacing w:before="1" w:line="235" w:lineRule="auto"/>
              <w:ind w:left="37" w:right="23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（“■”表示必选项，“□”表示可选项）</w:t>
            </w:r>
          </w:p>
        </w:tc>
        <w:tc>
          <w:tcPr>
            <w:tcW w:w="968"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12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公开对象</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公开方式</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tcPr>
          <w:p>
            <w:pPr>
              <w:pStyle w:val="21"/>
              <w:spacing w:before="129" w:line="235" w:lineRule="auto"/>
              <w:ind w:left="135" w:right="10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一级事项</w:t>
            </w:r>
          </w:p>
        </w:tc>
        <w:tc>
          <w:tcPr>
            <w:tcW w:w="538" w:type="dxa"/>
          </w:tcPr>
          <w:p>
            <w:pPr>
              <w:pStyle w:val="21"/>
              <w:spacing w:before="129" w:line="235" w:lineRule="auto"/>
              <w:ind w:left="94" w:right="59"/>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二级事项</w:t>
            </w:r>
          </w:p>
        </w:tc>
        <w:tc>
          <w:tcPr>
            <w:tcW w:w="118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1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38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tcPr>
          <w:p>
            <w:pPr>
              <w:pStyle w:val="21"/>
              <w:spacing w:before="16" w:line="235" w:lineRule="auto"/>
              <w:ind w:left="87" w:right="56"/>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全社</w:t>
            </w:r>
          </w:p>
          <w:p>
            <w:pPr>
              <w:pStyle w:val="21"/>
              <w:spacing w:line="195" w:lineRule="exact"/>
              <w:ind w:left="8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会</w:t>
            </w:r>
          </w:p>
        </w:tc>
        <w:tc>
          <w:tcPr>
            <w:tcW w:w="622" w:type="dxa"/>
          </w:tcPr>
          <w:p>
            <w:pPr>
              <w:pStyle w:val="21"/>
              <w:spacing w:before="129" w:line="235" w:lineRule="auto"/>
              <w:ind w:left="132" w:right="10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特定群体</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主动</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依申请</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县级</w:t>
            </w:r>
          </w:p>
        </w:tc>
        <w:tc>
          <w:tcPr>
            <w:tcW w:w="622" w:type="dxa"/>
          </w:tcPr>
          <w:p>
            <w:pPr>
              <w:pStyle w:val="21"/>
              <w:spacing w:before="12" w:line="228"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乡</w:t>
            </w:r>
          </w:p>
          <w:p>
            <w:pPr>
              <w:pStyle w:val="21"/>
              <w:spacing w:line="226" w:lineRule="exact"/>
              <w:ind w:left="22"/>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（镇）</w:t>
            </w:r>
          </w:p>
          <w:p>
            <w:pPr>
              <w:pStyle w:val="21"/>
              <w:spacing w:line="197"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6"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0"/>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spacing w:line="232" w:lineRule="auto"/>
              <w:ind w:left="90" w:right="5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管理</w:t>
            </w:r>
          </w:p>
        </w:tc>
        <w:tc>
          <w:tcPr>
            <w:tcW w:w="622"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2" w:lineRule="auto"/>
              <w:ind w:left="138" w:right="10" w:hanging="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条件与标准</w:t>
            </w:r>
          </w:p>
        </w:tc>
        <w:tc>
          <w:tcPr>
            <w:tcW w:w="538" w:type="dxa"/>
          </w:tcPr>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5"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农村危房等级评定标准</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36" w:right="4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农村危房等级评定相关标准</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8" w:line="228" w:lineRule="exact"/>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《中华人民共和国预算法》</w:t>
            </w:r>
          </w:p>
          <w:p>
            <w:pPr>
              <w:pStyle w:val="21"/>
              <w:spacing w:line="226" w:lineRule="exact"/>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《政府信息公开条例》</w:t>
            </w:r>
          </w:p>
          <w:p>
            <w:pPr>
              <w:pStyle w:val="21"/>
              <w:spacing w:before="3" w:line="232" w:lineRule="auto"/>
              <w:ind w:left="36" w:right="6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《住房城乡建设部 财政部关于印发农村危房改造脱贫攻坚三年行动方案的通知》</w:t>
            </w:r>
          </w:p>
          <w:p>
            <w:pPr>
              <w:pStyle w:val="21"/>
              <w:spacing w:before="3" w:line="232" w:lineRule="auto"/>
              <w:ind w:left="36" w:right="15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《住房城乡建设部 财政部 国务院扶贫办关于加强和完善建档立卡贫困户等重点对象农村危房改造若干问题的通知》等</w:t>
            </w: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0" w:line="232"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0" w:line="232"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spacing w:before="9"/>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1" w:after="0" w:line="228"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0"/>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0"/>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0"/>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0"/>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9"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6" w:line="235"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农村危房改造对象申请条件</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36" w:right="4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农村危房改造农户申请条件</w:t>
            </w: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2"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2"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0" w:after="0" w:line="228"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430"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7" w:line="235"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农村危房改造资金补助标准</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36" w:right="4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农村危房改造资金补助标准</w:t>
            </w: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8" w:line="232"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0" w:after="0" w:line="227"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7"/>
              <w:rPr>
                <w:rFonts w:hint="eastAsia" w:ascii="仿宋_GB2312" w:hAnsi="仿宋_GB2312" w:eastAsia="仿宋_GB2312" w:cs="仿宋_GB2312"/>
                <w:color w:val="auto"/>
                <w:sz w:val="18"/>
                <w:szCs w:val="18"/>
                <w:highlight w:val="none"/>
              </w:rPr>
            </w:pPr>
          </w:p>
          <w:p>
            <w:pPr>
              <w:pStyle w:val="2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bl>
    <w:p>
      <w:pPr>
        <w:spacing w:after="0"/>
        <w:jc w:val="right"/>
        <w:rPr>
          <w:color w:val="auto"/>
          <w:sz w:val="18"/>
          <w:highlight w:val="none"/>
        </w:rPr>
        <w:sectPr>
          <w:pgSz w:w="16840" w:h="11910" w:orient="landscape"/>
          <w:pgMar w:top="1100" w:right="1000" w:bottom="720" w:left="880" w:header="0" w:footer="533" w:gutter="0"/>
          <w:pgBorders>
            <w:top w:val="none" w:sz="0" w:space="0"/>
            <w:left w:val="none" w:sz="0" w:space="0"/>
            <w:bottom w:val="none" w:sz="0" w:space="0"/>
            <w:right w:val="none" w:sz="0" w:space="0"/>
          </w:pgBorders>
          <w:pgNumType w:fmt="numberInDash"/>
          <w:cols w:equalWidth="0" w:num="1">
            <w:col w:w="14960"/>
          </w:cols>
        </w:sectPr>
      </w:pPr>
    </w:p>
    <w:p>
      <w:pPr>
        <w:pStyle w:val="3"/>
        <w:rPr>
          <w:rFonts w:ascii="Times New Roman"/>
          <w:color w:val="auto"/>
          <w:sz w:val="26"/>
          <w:highlight w:val="none"/>
        </w:rPr>
      </w:pPr>
    </w:p>
    <w:tbl>
      <w:tblPr>
        <w:tblStyle w:val="7"/>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7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序号</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90" w:right="5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过程</w:t>
            </w:r>
          </w:p>
        </w:tc>
        <w:tc>
          <w:tcPr>
            <w:tcW w:w="1160"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2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公开事项</w:t>
            </w:r>
          </w:p>
        </w:tc>
        <w:tc>
          <w:tcPr>
            <w:tcW w:w="118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3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公开内容</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990" w:right="96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公开依据</w:t>
            </w:r>
          </w:p>
        </w:tc>
        <w:tc>
          <w:tcPr>
            <w:tcW w:w="1119"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0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公开时限</w:t>
            </w:r>
          </w:p>
        </w:tc>
        <w:tc>
          <w:tcPr>
            <w:tcW w:w="81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4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公开主体</w:t>
            </w:r>
          </w:p>
        </w:tc>
        <w:tc>
          <w:tcPr>
            <w:tcW w:w="3382" w:type="dxa"/>
            <w:vMerge w:val="restart"/>
          </w:tcPr>
          <w:p>
            <w:pPr>
              <w:pStyle w:val="21"/>
              <w:rPr>
                <w:rFonts w:hint="eastAsia" w:ascii="仿宋_GB2312" w:hAnsi="仿宋_GB2312" w:eastAsia="仿宋_GB2312" w:cs="仿宋_GB2312"/>
                <w:color w:val="auto"/>
                <w:sz w:val="18"/>
                <w:szCs w:val="18"/>
                <w:highlight w:val="none"/>
              </w:rPr>
            </w:pPr>
          </w:p>
          <w:p>
            <w:pPr>
              <w:pStyle w:val="21"/>
              <w:spacing w:before="106" w:line="228" w:lineRule="exact"/>
              <w:ind w:left="88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公开渠道和载体</w:t>
            </w:r>
          </w:p>
          <w:p>
            <w:pPr>
              <w:pStyle w:val="21"/>
              <w:spacing w:before="1" w:line="235" w:lineRule="auto"/>
              <w:ind w:left="37" w:right="23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（“■”表示必选项，“□”表示可选项）</w:t>
            </w:r>
          </w:p>
        </w:tc>
        <w:tc>
          <w:tcPr>
            <w:tcW w:w="968"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12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公开对象</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公开方式</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tcPr>
          <w:p>
            <w:pPr>
              <w:pStyle w:val="21"/>
              <w:spacing w:before="129" w:line="235" w:lineRule="auto"/>
              <w:ind w:left="135" w:right="10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一级事项</w:t>
            </w:r>
          </w:p>
        </w:tc>
        <w:tc>
          <w:tcPr>
            <w:tcW w:w="538" w:type="dxa"/>
          </w:tcPr>
          <w:p>
            <w:pPr>
              <w:pStyle w:val="21"/>
              <w:spacing w:before="129" w:line="235" w:lineRule="auto"/>
              <w:ind w:left="94" w:right="59"/>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二级事项</w:t>
            </w:r>
          </w:p>
        </w:tc>
        <w:tc>
          <w:tcPr>
            <w:tcW w:w="118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1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38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tcPr>
          <w:p>
            <w:pPr>
              <w:pStyle w:val="21"/>
              <w:spacing w:before="16" w:line="235" w:lineRule="auto"/>
              <w:ind w:left="87" w:right="56"/>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全社</w:t>
            </w:r>
          </w:p>
          <w:p>
            <w:pPr>
              <w:pStyle w:val="21"/>
              <w:spacing w:line="195" w:lineRule="exact"/>
              <w:ind w:left="8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会</w:t>
            </w:r>
          </w:p>
        </w:tc>
        <w:tc>
          <w:tcPr>
            <w:tcW w:w="622" w:type="dxa"/>
          </w:tcPr>
          <w:p>
            <w:pPr>
              <w:pStyle w:val="21"/>
              <w:spacing w:before="129" w:line="235" w:lineRule="auto"/>
              <w:ind w:left="132" w:right="10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特定群体</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主动</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依申请</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县级</w:t>
            </w:r>
          </w:p>
        </w:tc>
        <w:tc>
          <w:tcPr>
            <w:tcW w:w="622" w:type="dxa"/>
          </w:tcPr>
          <w:p>
            <w:pPr>
              <w:pStyle w:val="21"/>
              <w:spacing w:before="12" w:line="228"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乡</w:t>
            </w:r>
          </w:p>
          <w:p>
            <w:pPr>
              <w:pStyle w:val="21"/>
              <w:spacing w:line="226" w:lineRule="exact"/>
              <w:ind w:left="22"/>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（镇）</w:t>
            </w:r>
          </w:p>
          <w:p>
            <w:pPr>
              <w:pStyle w:val="21"/>
              <w:spacing w:line="197"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9"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9</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5" w:lineRule="auto"/>
              <w:ind w:left="90" w:right="5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管理</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138" w:right="10" w:hanging="8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条件与标准</w:t>
            </w:r>
          </w:p>
        </w:tc>
        <w:tc>
          <w:tcPr>
            <w:tcW w:w="538" w:type="dxa"/>
          </w:tcPr>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5"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农村危房改造竣工合格标准</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line="235" w:lineRule="auto"/>
              <w:ind w:left="36" w:right="4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农村危房改造竣工验收要求</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1" w:line="235" w:lineRule="auto"/>
              <w:ind w:left="36" w:right="6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《住房城乡建设部 财政部关于印发农村危房改造脱贫攻坚三年行动方案的通知》</w:t>
            </w:r>
          </w:p>
          <w:p>
            <w:pPr>
              <w:pStyle w:val="21"/>
              <w:spacing w:before="1" w:line="232" w:lineRule="auto"/>
              <w:ind w:left="36" w:right="15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《住房城乡建设部 财政部 国务院扶贫办关于加强和完善建档立卡贫困户等重点对象农村危房改造若干问题的通知》等</w:t>
            </w: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2"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2"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numPr>
                <w:ilvl w:val="0"/>
                <w:numId w:val="9"/>
              </w:numPr>
              <w:tabs>
                <w:tab w:val="left" w:pos="219"/>
                <w:tab w:val="left" w:pos="1482"/>
              </w:tabs>
              <w:spacing w:before="1" w:after="0" w:line="228" w:lineRule="exact"/>
              <w:ind w:left="218"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9"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before="1"/>
              <w:ind w:left="16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10</w:t>
            </w: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spacing w:line="235" w:lineRule="auto"/>
              <w:ind w:left="229" w:right="10" w:hanging="18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对象认定</w:t>
            </w: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4" w:line="235"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危改户认定程序</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3" w:line="235" w:lineRule="auto"/>
              <w:ind w:left="36" w:right="4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农村危房改造申请程序</w:t>
            </w: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before="1" w:line="235"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before="1" w:line="235"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1" w:after="0" w:line="227"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before="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before="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before="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before="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9"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16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11</w:t>
            </w: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line="235" w:lineRule="auto"/>
              <w:ind w:left="96" w:right="5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认定结果</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认定结果</w:t>
            </w: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line="235"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line="235"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乡镇人民政府村委会</w:t>
            </w:r>
          </w:p>
        </w:tc>
        <w:tc>
          <w:tcPr>
            <w:tcW w:w="3382" w:type="dxa"/>
          </w:tcPr>
          <w:p>
            <w:pPr>
              <w:pStyle w:val="21"/>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149" w:after="0" w:line="228"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7"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bl>
    <w:p>
      <w:pPr>
        <w:spacing w:after="0"/>
        <w:jc w:val="right"/>
        <w:rPr>
          <w:color w:val="auto"/>
          <w:sz w:val="18"/>
          <w:highlight w:val="none"/>
        </w:rPr>
        <w:sectPr>
          <w:pgSz w:w="16840" w:h="11910" w:orient="landscape"/>
          <w:pgMar w:top="1100" w:right="1000" w:bottom="720" w:left="880" w:header="0" w:footer="533" w:gutter="0"/>
          <w:pgBorders>
            <w:top w:val="none" w:sz="0" w:space="0"/>
            <w:left w:val="none" w:sz="0" w:space="0"/>
            <w:bottom w:val="none" w:sz="0" w:space="0"/>
            <w:right w:val="none" w:sz="0" w:space="0"/>
          </w:pgBorders>
          <w:pgNumType w:fmt="numberInDash"/>
          <w:cols w:equalWidth="0" w:num="1">
            <w:col w:w="14960"/>
          </w:cols>
        </w:sectPr>
      </w:pPr>
    </w:p>
    <w:p>
      <w:pPr>
        <w:pStyle w:val="3"/>
        <w:rPr>
          <w:rFonts w:ascii="Times New Roman"/>
          <w:color w:val="auto"/>
          <w:sz w:val="26"/>
          <w:highlight w:val="none"/>
        </w:rPr>
      </w:pPr>
    </w:p>
    <w:tbl>
      <w:tblPr>
        <w:tblStyle w:val="7"/>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7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序号</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90" w:right="5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过程</w:t>
            </w:r>
          </w:p>
        </w:tc>
        <w:tc>
          <w:tcPr>
            <w:tcW w:w="1160"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2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公开事项</w:t>
            </w:r>
          </w:p>
        </w:tc>
        <w:tc>
          <w:tcPr>
            <w:tcW w:w="118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3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公开内容</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990" w:right="96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公开依据</w:t>
            </w:r>
          </w:p>
        </w:tc>
        <w:tc>
          <w:tcPr>
            <w:tcW w:w="1119"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0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公开时限</w:t>
            </w:r>
          </w:p>
        </w:tc>
        <w:tc>
          <w:tcPr>
            <w:tcW w:w="81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4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公开主体</w:t>
            </w:r>
          </w:p>
        </w:tc>
        <w:tc>
          <w:tcPr>
            <w:tcW w:w="3382" w:type="dxa"/>
            <w:vMerge w:val="restart"/>
          </w:tcPr>
          <w:p>
            <w:pPr>
              <w:pStyle w:val="21"/>
              <w:rPr>
                <w:rFonts w:hint="eastAsia" w:ascii="仿宋_GB2312" w:hAnsi="仿宋_GB2312" w:eastAsia="仿宋_GB2312" w:cs="仿宋_GB2312"/>
                <w:color w:val="auto"/>
                <w:sz w:val="18"/>
                <w:szCs w:val="18"/>
                <w:highlight w:val="none"/>
              </w:rPr>
            </w:pPr>
          </w:p>
          <w:p>
            <w:pPr>
              <w:pStyle w:val="21"/>
              <w:spacing w:before="106" w:line="228" w:lineRule="exact"/>
              <w:ind w:left="88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公开渠道和载体</w:t>
            </w:r>
          </w:p>
          <w:p>
            <w:pPr>
              <w:pStyle w:val="21"/>
              <w:spacing w:before="1" w:line="235" w:lineRule="auto"/>
              <w:ind w:left="37" w:right="23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（“■”表示必选项，“□”表示可选项）</w:t>
            </w:r>
          </w:p>
        </w:tc>
        <w:tc>
          <w:tcPr>
            <w:tcW w:w="968"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12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公开对象</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公开方式</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tcPr>
          <w:p>
            <w:pPr>
              <w:pStyle w:val="21"/>
              <w:spacing w:before="129" w:line="235" w:lineRule="auto"/>
              <w:ind w:left="135" w:right="10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一级事项</w:t>
            </w:r>
          </w:p>
        </w:tc>
        <w:tc>
          <w:tcPr>
            <w:tcW w:w="538" w:type="dxa"/>
          </w:tcPr>
          <w:p>
            <w:pPr>
              <w:pStyle w:val="21"/>
              <w:spacing w:before="129" w:line="235" w:lineRule="auto"/>
              <w:ind w:left="94" w:right="59"/>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二级事项</w:t>
            </w:r>
          </w:p>
        </w:tc>
        <w:tc>
          <w:tcPr>
            <w:tcW w:w="118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1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38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tcPr>
          <w:p>
            <w:pPr>
              <w:pStyle w:val="21"/>
              <w:spacing w:before="16" w:line="235" w:lineRule="auto"/>
              <w:ind w:left="87" w:right="56"/>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全社</w:t>
            </w:r>
          </w:p>
          <w:p>
            <w:pPr>
              <w:pStyle w:val="21"/>
              <w:spacing w:line="195" w:lineRule="exact"/>
              <w:ind w:left="8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会</w:t>
            </w:r>
          </w:p>
        </w:tc>
        <w:tc>
          <w:tcPr>
            <w:tcW w:w="622" w:type="dxa"/>
          </w:tcPr>
          <w:p>
            <w:pPr>
              <w:pStyle w:val="21"/>
              <w:spacing w:before="129" w:line="235" w:lineRule="auto"/>
              <w:ind w:left="132" w:right="10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特定群体</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主动</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依申请</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县级</w:t>
            </w:r>
          </w:p>
        </w:tc>
        <w:tc>
          <w:tcPr>
            <w:tcW w:w="622" w:type="dxa"/>
          </w:tcPr>
          <w:p>
            <w:pPr>
              <w:pStyle w:val="21"/>
              <w:spacing w:before="12" w:line="228"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乡</w:t>
            </w:r>
          </w:p>
          <w:p>
            <w:pPr>
              <w:pStyle w:val="21"/>
              <w:spacing w:line="226" w:lineRule="exact"/>
              <w:ind w:left="22"/>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（镇）</w:t>
            </w:r>
          </w:p>
          <w:p>
            <w:pPr>
              <w:pStyle w:val="21"/>
              <w:spacing w:line="197"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11"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148" w:right="10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12</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7" w:line="235" w:lineRule="auto"/>
              <w:ind w:left="90" w:right="5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管理</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7" w:line="235" w:lineRule="auto"/>
              <w:ind w:left="229" w:right="10" w:hanging="18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预算管理</w:t>
            </w: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5"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预算编制和执行情况</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2" w:lineRule="auto"/>
              <w:ind w:left="36" w:right="4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3"/>
                <w:sz w:val="18"/>
                <w:szCs w:val="18"/>
                <w:highlight w:val="none"/>
              </w:rPr>
              <w:t>预算预算调整决算预算执行情况的报告及</w:t>
            </w:r>
            <w:r>
              <w:rPr>
                <w:rFonts w:hint="eastAsia" w:ascii="仿宋_GB2312" w:hAnsi="仿宋_GB2312" w:eastAsia="仿宋_GB2312" w:cs="仿宋_GB2312"/>
                <w:color w:val="auto"/>
                <w:sz w:val="18"/>
                <w:szCs w:val="18"/>
                <w:highlight w:val="none"/>
              </w:rPr>
              <w:t xml:space="preserve">报表有关内 </w:t>
            </w:r>
            <w:r>
              <w:rPr>
                <w:rFonts w:hint="eastAsia" w:ascii="仿宋_GB2312" w:hAnsi="仿宋_GB2312" w:eastAsia="仿宋_GB2312" w:cs="仿宋_GB2312"/>
                <w:color w:val="auto"/>
                <w:spacing w:val="-3"/>
                <w:sz w:val="18"/>
                <w:szCs w:val="18"/>
                <w:highlight w:val="none"/>
              </w:rPr>
              <w:t>容，部门预算决算及报表有</w:t>
            </w:r>
            <w:r>
              <w:rPr>
                <w:rFonts w:hint="eastAsia" w:ascii="仿宋_GB2312" w:hAnsi="仿宋_GB2312" w:eastAsia="仿宋_GB2312" w:cs="仿宋_GB2312"/>
                <w:color w:val="auto"/>
                <w:sz w:val="18"/>
                <w:szCs w:val="18"/>
                <w:highlight w:val="none"/>
              </w:rPr>
              <w:t>关内容</w:t>
            </w:r>
          </w:p>
        </w:tc>
        <w:tc>
          <w:tcPr>
            <w:tcW w:w="273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3" w:line="228" w:lineRule="exact"/>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《中华人民共和国预算法》</w:t>
            </w:r>
          </w:p>
          <w:p>
            <w:pPr>
              <w:pStyle w:val="21"/>
              <w:spacing w:line="228" w:lineRule="exact"/>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《政府信息公开条例》</w:t>
            </w: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2"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经县级人民代表大会人民代表大会常务委员会批准或财政部门批复后20日内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3" w:line="232"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numPr>
                <w:ilvl w:val="0"/>
                <w:numId w:val="12"/>
              </w:numPr>
              <w:tabs>
                <w:tab w:val="left" w:pos="219"/>
                <w:tab w:val="left" w:pos="1482"/>
              </w:tabs>
              <w:spacing w:before="0" w:after="0" w:line="228" w:lineRule="exact"/>
              <w:ind w:left="218"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7"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9"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148" w:right="10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13</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5" w:lineRule="auto"/>
              <w:ind w:left="90" w:right="5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结果</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3" w:line="235" w:lineRule="auto"/>
              <w:ind w:left="229" w:right="10" w:hanging="18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决策部署</w:t>
            </w: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9" w:line="232"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决策部署落实情况</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3" w:line="235" w:lineRule="auto"/>
              <w:ind w:left="36" w:right="4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决策部署落实情况等</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1" w:line="232" w:lineRule="auto"/>
              <w:ind w:left="36" w:right="15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《中共中央办公厅国务院办公厅印发〈关于全面推进政务公开工作的意见〉的通知》</w:t>
            </w:r>
          </w:p>
          <w:p>
            <w:pPr>
              <w:pStyle w:val="21"/>
              <w:spacing w:before="4" w:line="232" w:lineRule="auto"/>
              <w:ind w:left="36" w:right="15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《国务院办公厅印发〈关于全面推进政务公开工作的意见〉实施细则的通知》</w:t>
            </w: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5"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5"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0" w:after="0" w:line="228"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7"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89"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1"/>
              <w:ind w:left="148" w:right="10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14</w:t>
            </w: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2" w:lineRule="auto"/>
              <w:ind w:left="49" w:right="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年度任务实施</w:t>
            </w: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5"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年度任务执行情况</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32" w:lineRule="auto"/>
              <w:ind w:left="36" w:right="4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年度工作完成情况等</w:t>
            </w: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2"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8"/>
              <w:rPr>
                <w:rFonts w:hint="eastAsia" w:ascii="仿宋_GB2312" w:hAnsi="仿宋_GB2312" w:eastAsia="仿宋_GB2312" w:cs="仿宋_GB2312"/>
                <w:color w:val="auto"/>
                <w:sz w:val="18"/>
                <w:szCs w:val="18"/>
                <w:highlight w:val="none"/>
              </w:rPr>
            </w:pPr>
          </w:p>
          <w:p>
            <w:pPr>
              <w:pStyle w:val="21"/>
              <w:spacing w:line="232"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0" w:after="0" w:line="228"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bl>
    <w:p>
      <w:pPr>
        <w:spacing w:after="0"/>
        <w:jc w:val="right"/>
        <w:rPr>
          <w:color w:val="auto"/>
          <w:sz w:val="18"/>
          <w:highlight w:val="none"/>
        </w:rPr>
        <w:sectPr>
          <w:pgSz w:w="16840" w:h="11910" w:orient="landscape"/>
          <w:pgMar w:top="1100" w:right="1000" w:bottom="720" w:left="880" w:header="0" w:footer="533" w:gutter="0"/>
          <w:pgBorders>
            <w:top w:val="none" w:sz="0" w:space="0"/>
            <w:left w:val="none" w:sz="0" w:space="0"/>
            <w:bottom w:val="none" w:sz="0" w:space="0"/>
            <w:right w:val="none" w:sz="0" w:space="0"/>
          </w:pgBorders>
          <w:pgNumType w:fmt="numberInDash"/>
          <w:cols w:equalWidth="0" w:num="1">
            <w:col w:w="14960"/>
          </w:cols>
        </w:sectPr>
      </w:pPr>
    </w:p>
    <w:p>
      <w:pPr>
        <w:pStyle w:val="3"/>
        <w:rPr>
          <w:rFonts w:ascii="Times New Roman"/>
          <w:color w:val="auto"/>
          <w:sz w:val="26"/>
          <w:highlight w:val="none"/>
        </w:rPr>
      </w:pPr>
    </w:p>
    <w:tbl>
      <w:tblPr>
        <w:tblStyle w:val="7"/>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346"/>
        <w:gridCol w:w="622"/>
        <w:gridCol w:w="538"/>
        <w:gridCol w:w="1188"/>
        <w:gridCol w:w="2734"/>
        <w:gridCol w:w="1119"/>
        <w:gridCol w:w="814"/>
        <w:gridCol w:w="3382"/>
        <w:gridCol w:w="346"/>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497"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7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序号</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line="235" w:lineRule="auto"/>
              <w:ind w:left="90" w:right="5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过程</w:t>
            </w:r>
          </w:p>
        </w:tc>
        <w:tc>
          <w:tcPr>
            <w:tcW w:w="1160"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2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公开事项</w:t>
            </w:r>
          </w:p>
        </w:tc>
        <w:tc>
          <w:tcPr>
            <w:tcW w:w="1188"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3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公开内容</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990" w:right="96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公开依据</w:t>
            </w:r>
          </w:p>
        </w:tc>
        <w:tc>
          <w:tcPr>
            <w:tcW w:w="1119"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20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公开时限</w:t>
            </w:r>
          </w:p>
        </w:tc>
        <w:tc>
          <w:tcPr>
            <w:tcW w:w="81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4"/>
              <w:ind w:left="4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公开主体</w:t>
            </w:r>
          </w:p>
        </w:tc>
        <w:tc>
          <w:tcPr>
            <w:tcW w:w="3382" w:type="dxa"/>
            <w:vMerge w:val="restart"/>
          </w:tcPr>
          <w:p>
            <w:pPr>
              <w:pStyle w:val="21"/>
              <w:rPr>
                <w:rFonts w:hint="eastAsia" w:ascii="仿宋_GB2312" w:hAnsi="仿宋_GB2312" w:eastAsia="仿宋_GB2312" w:cs="仿宋_GB2312"/>
                <w:color w:val="auto"/>
                <w:sz w:val="18"/>
                <w:szCs w:val="18"/>
                <w:highlight w:val="none"/>
              </w:rPr>
            </w:pPr>
          </w:p>
          <w:p>
            <w:pPr>
              <w:pStyle w:val="21"/>
              <w:spacing w:before="106" w:line="228" w:lineRule="exact"/>
              <w:ind w:left="88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公开渠道和载体</w:t>
            </w:r>
          </w:p>
          <w:p>
            <w:pPr>
              <w:pStyle w:val="21"/>
              <w:spacing w:before="1" w:line="235" w:lineRule="auto"/>
              <w:ind w:left="37" w:right="23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（“■”表示必选项，“□”表示可选项）</w:t>
            </w:r>
          </w:p>
        </w:tc>
        <w:tc>
          <w:tcPr>
            <w:tcW w:w="968"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123"/>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公开对象</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公开方式</w:t>
            </w:r>
          </w:p>
        </w:tc>
        <w:tc>
          <w:tcPr>
            <w:tcW w:w="1244" w:type="dxa"/>
            <w:gridSpan w:val="2"/>
          </w:tcPr>
          <w:p>
            <w:pPr>
              <w:pStyle w:val="21"/>
              <w:spacing w:before="4"/>
              <w:rPr>
                <w:rFonts w:hint="eastAsia" w:ascii="仿宋_GB2312" w:hAnsi="仿宋_GB2312" w:eastAsia="仿宋_GB2312" w:cs="仿宋_GB2312"/>
                <w:color w:val="auto"/>
                <w:sz w:val="18"/>
                <w:szCs w:val="18"/>
                <w:highlight w:val="none"/>
              </w:rPr>
            </w:pPr>
          </w:p>
          <w:p>
            <w:pPr>
              <w:pStyle w:val="21"/>
              <w:ind w:left="261"/>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trPr>
        <w:tc>
          <w:tcPr>
            <w:tcW w:w="497"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tcPr>
          <w:p>
            <w:pPr>
              <w:pStyle w:val="21"/>
              <w:spacing w:before="129" w:line="235" w:lineRule="auto"/>
              <w:ind w:left="135" w:right="102"/>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一级事项</w:t>
            </w:r>
          </w:p>
        </w:tc>
        <w:tc>
          <w:tcPr>
            <w:tcW w:w="538" w:type="dxa"/>
          </w:tcPr>
          <w:p>
            <w:pPr>
              <w:pStyle w:val="21"/>
              <w:spacing w:before="129" w:line="235" w:lineRule="auto"/>
              <w:ind w:left="94" w:right="59"/>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二级事项</w:t>
            </w:r>
          </w:p>
        </w:tc>
        <w:tc>
          <w:tcPr>
            <w:tcW w:w="1188"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81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38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346" w:type="dxa"/>
          </w:tcPr>
          <w:p>
            <w:pPr>
              <w:pStyle w:val="21"/>
              <w:spacing w:before="16" w:line="235" w:lineRule="auto"/>
              <w:ind w:left="87" w:right="56"/>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全社</w:t>
            </w:r>
          </w:p>
          <w:p>
            <w:pPr>
              <w:pStyle w:val="21"/>
              <w:spacing w:line="195" w:lineRule="exact"/>
              <w:ind w:left="87"/>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会</w:t>
            </w:r>
          </w:p>
        </w:tc>
        <w:tc>
          <w:tcPr>
            <w:tcW w:w="622" w:type="dxa"/>
          </w:tcPr>
          <w:p>
            <w:pPr>
              <w:pStyle w:val="21"/>
              <w:spacing w:before="129" w:line="235" w:lineRule="auto"/>
              <w:ind w:left="132" w:right="105"/>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特定群体</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主动</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40"/>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依申请</w:t>
            </w:r>
          </w:p>
        </w:tc>
        <w:tc>
          <w:tcPr>
            <w:tcW w:w="622" w:type="dxa"/>
          </w:tcPr>
          <w:p>
            <w:pPr>
              <w:pStyle w:val="21"/>
              <w:spacing w:before="8"/>
              <w:rPr>
                <w:rFonts w:hint="eastAsia" w:ascii="仿宋_GB2312" w:hAnsi="仿宋_GB2312" w:eastAsia="仿宋_GB2312" w:cs="仿宋_GB2312"/>
                <w:color w:val="auto"/>
                <w:sz w:val="18"/>
                <w:szCs w:val="18"/>
                <w:highlight w:val="none"/>
              </w:rPr>
            </w:pPr>
          </w:p>
          <w:p>
            <w:pPr>
              <w:pStyle w:val="21"/>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县级</w:t>
            </w:r>
          </w:p>
        </w:tc>
        <w:tc>
          <w:tcPr>
            <w:tcW w:w="622" w:type="dxa"/>
          </w:tcPr>
          <w:p>
            <w:pPr>
              <w:pStyle w:val="21"/>
              <w:spacing w:before="12" w:line="228"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乡</w:t>
            </w:r>
          </w:p>
          <w:p>
            <w:pPr>
              <w:pStyle w:val="21"/>
              <w:spacing w:line="226" w:lineRule="exact"/>
              <w:ind w:left="22"/>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（镇）</w:t>
            </w:r>
          </w:p>
          <w:p>
            <w:pPr>
              <w:pStyle w:val="21"/>
              <w:spacing w:line="197" w:lineRule="exact"/>
              <w:ind w:left="2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w w:val="99"/>
                <w:sz w:val="18"/>
                <w:szCs w:val="18"/>
                <w:highlight w:val="none"/>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9"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148" w:right="10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15</w:t>
            </w:r>
          </w:p>
        </w:tc>
        <w:tc>
          <w:tcPr>
            <w:tcW w:w="346"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90" w:right="53"/>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回应关切</w:t>
            </w:r>
          </w:p>
        </w:tc>
        <w:tc>
          <w:tcPr>
            <w:tcW w:w="622"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49" w:right="10"/>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舆情收集热点及关键问题回应</w:t>
            </w: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5" w:lineRule="auto"/>
              <w:ind w:left="96" w:right="5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舆情收集回应</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5" w:lineRule="auto"/>
              <w:ind w:left="36" w:right="4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接受投诉咨询建议等联系电话通信地址等</w:t>
            </w:r>
          </w:p>
        </w:tc>
        <w:tc>
          <w:tcPr>
            <w:tcW w:w="2734"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40" w:line="228" w:lineRule="exact"/>
              <w:ind w:left="3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《政府信息公开条例》</w:t>
            </w:r>
          </w:p>
          <w:p>
            <w:pPr>
              <w:pStyle w:val="21"/>
              <w:spacing w:before="2" w:line="235" w:lineRule="auto"/>
              <w:ind w:left="36" w:right="15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《中共中央办公厅国务院办公厅印发〈关于全面推进政务公开工作的意见〉的通知》</w:t>
            </w:r>
          </w:p>
          <w:p>
            <w:pPr>
              <w:pStyle w:val="21"/>
              <w:spacing w:line="235" w:lineRule="auto"/>
              <w:ind w:left="36" w:right="15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《国务院办公厅印发〈关于全面推进政务公开工作的意见〉实施细则的通知》</w:t>
            </w:r>
          </w:p>
        </w:tc>
        <w:tc>
          <w:tcPr>
            <w:tcW w:w="1119"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5" w:lineRule="auto"/>
              <w:ind w:left="38" w:right="15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spacing w:line="235"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spacing w:before="1"/>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0" w:after="0" w:line="228"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7"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9"/>
              <w:rPr>
                <w:rFonts w:hint="eastAsia" w:ascii="仿宋_GB2312" w:hAnsi="仿宋_GB2312" w:eastAsia="仿宋_GB2312" w:cs="仿宋_GB2312"/>
                <w:color w:val="auto"/>
                <w:sz w:val="18"/>
                <w:szCs w:val="18"/>
                <w:highlight w:val="none"/>
              </w:rPr>
            </w:pPr>
          </w:p>
          <w:p>
            <w:pPr>
              <w:pStyle w:val="2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9"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ind w:left="148" w:right="10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16</w:t>
            </w:r>
          </w:p>
        </w:tc>
        <w:tc>
          <w:tcPr>
            <w:tcW w:w="346"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53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26" w:line="232" w:lineRule="auto"/>
              <w:ind w:left="96" w:right="5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互动回应</w:t>
            </w:r>
          </w:p>
        </w:tc>
        <w:tc>
          <w:tcPr>
            <w:tcW w:w="118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before="1" w:line="235" w:lineRule="auto"/>
              <w:ind w:left="36" w:right="49"/>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涉及群众切身利益和舆论关注的焦点热点及关键问题等回应内容</w:t>
            </w:r>
          </w:p>
        </w:tc>
        <w:tc>
          <w:tcPr>
            <w:tcW w:w="2734"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119" w:type="dxa"/>
          </w:tcPr>
          <w:p>
            <w:pPr>
              <w:pStyle w:val="21"/>
              <w:spacing w:before="10"/>
              <w:rPr>
                <w:rFonts w:hint="eastAsia" w:ascii="仿宋_GB2312" w:hAnsi="仿宋_GB2312" w:eastAsia="仿宋_GB2312" w:cs="仿宋_GB2312"/>
                <w:color w:val="auto"/>
                <w:sz w:val="18"/>
                <w:szCs w:val="18"/>
                <w:highlight w:val="none"/>
              </w:rPr>
            </w:pPr>
          </w:p>
          <w:p>
            <w:pPr>
              <w:pStyle w:val="21"/>
              <w:spacing w:before="1" w:line="235" w:lineRule="auto"/>
              <w:ind w:left="38" w:right="15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4"/>
                <w:sz w:val="18"/>
                <w:szCs w:val="18"/>
                <w:highlight w:val="none"/>
              </w:rPr>
              <w:t>及时发布信息；对涉及</w:t>
            </w:r>
            <w:r>
              <w:rPr>
                <w:rFonts w:hint="eastAsia" w:ascii="仿宋_GB2312" w:hAnsi="仿宋_GB2312" w:eastAsia="仿宋_GB2312" w:cs="仿宋_GB2312"/>
                <w:color w:val="auto"/>
                <w:sz w:val="18"/>
                <w:szCs w:val="18"/>
                <w:highlight w:val="none"/>
              </w:rPr>
              <w:t xml:space="preserve">重大舆情 </w:t>
            </w:r>
            <w:r>
              <w:rPr>
                <w:rFonts w:hint="eastAsia" w:ascii="仿宋_GB2312" w:hAnsi="仿宋_GB2312" w:eastAsia="仿宋_GB2312" w:cs="仿宋_GB2312"/>
                <w:color w:val="auto"/>
                <w:spacing w:val="-4"/>
                <w:sz w:val="18"/>
                <w:szCs w:val="18"/>
                <w:highlight w:val="none"/>
              </w:rPr>
              <w:t>的，要快速反应，并根据工作进展情况，持续发布信息。</w:t>
            </w:r>
          </w:p>
        </w:tc>
        <w:tc>
          <w:tcPr>
            <w:tcW w:w="81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3"/>
              <w:rPr>
                <w:rFonts w:hint="eastAsia" w:ascii="仿宋_GB2312" w:hAnsi="仿宋_GB2312" w:eastAsia="仿宋_GB2312" w:cs="仿宋_GB2312"/>
                <w:color w:val="auto"/>
                <w:sz w:val="18"/>
                <w:szCs w:val="18"/>
                <w:highlight w:val="none"/>
              </w:rPr>
            </w:pPr>
          </w:p>
          <w:p>
            <w:pPr>
              <w:pStyle w:val="21"/>
              <w:spacing w:before="1" w:line="235" w:lineRule="auto"/>
              <w:ind w:left="35" w:right="3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区住房和城乡建设局</w:t>
            </w:r>
          </w:p>
        </w:tc>
        <w:tc>
          <w:tcPr>
            <w:tcW w:w="3382"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numPr>
                <w:ilvl w:val="0"/>
                <w:numId w:val="0"/>
              </w:numPr>
              <w:tabs>
                <w:tab w:val="left" w:pos="219"/>
                <w:tab w:val="left" w:pos="1482"/>
              </w:tabs>
              <w:spacing w:before="0" w:after="0" w:line="228" w:lineRule="exact"/>
              <w:ind w:left="36" w:leftChars="0" w:right="0" w:rightChars="0"/>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2"/>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2"/>
              </w:tabs>
              <w:spacing w:line="225"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79"/>
              </w:tabs>
              <w:spacing w:line="224"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79"/>
              </w:tabs>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2"/>
              </w:tabs>
              <w:spacing w:line="228" w:lineRule="exact"/>
              <w:ind w:left="3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346"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ind w:left="29"/>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
              <w:ind w:right="195"/>
              <w:jc w:val="righ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bl>
    <w:p>
      <w:pPr>
        <w:rPr>
          <w:color w:val="auto"/>
          <w:highlight w:val="none"/>
        </w:rPr>
      </w:pPr>
    </w:p>
    <w:p>
      <w:pPr>
        <w:rPr>
          <w:color w:val="auto"/>
          <w:highlight w:val="none"/>
        </w:rPr>
      </w:pPr>
    </w:p>
    <w:p>
      <w:pPr>
        <w:rPr>
          <w:color w:val="auto"/>
          <w:highlight w:val="none"/>
        </w:rPr>
      </w:pPr>
    </w:p>
    <w:p>
      <w:pPr>
        <w:spacing w:before="55"/>
        <w:ind w:right="4413"/>
        <w:jc w:val="right"/>
        <w:rPr>
          <w:rFonts w:hint="eastAsia" w:ascii="黑体" w:eastAsia="黑体"/>
          <w:color w:val="auto"/>
          <w:sz w:val="32"/>
          <w:highlight w:val="none"/>
          <w:lang w:val="en-US" w:eastAsia="zh-CN"/>
        </w:rPr>
        <w:sectPr>
          <w:footerReference r:id="rId7" w:type="default"/>
          <w:pgSz w:w="16840" w:h="11910" w:orient="landscape"/>
          <w:pgMar w:top="1100" w:right="1960" w:bottom="720" w:left="880" w:header="720" w:footer="533" w:gutter="0"/>
          <w:pgBorders>
            <w:top w:val="none" w:sz="0" w:space="0"/>
            <w:left w:val="none" w:sz="0" w:space="0"/>
            <w:bottom w:val="none" w:sz="0" w:space="0"/>
            <w:right w:val="none" w:sz="0" w:space="0"/>
          </w:pgBorders>
          <w:pgNumType w:fmt="numberInDash"/>
          <w:cols w:equalWidth="0" w:num="1">
            <w:col w:w="14000"/>
          </w:cols>
        </w:sectPr>
      </w:pPr>
    </w:p>
    <w:p>
      <w:pPr>
        <w:spacing w:before="55"/>
        <w:ind w:right="140" w:rightChars="0"/>
        <w:jc w:val="center"/>
        <w:rPr>
          <w:rFonts w:hint="eastAsia" w:ascii="黑体" w:eastAsia="黑体"/>
          <w:color w:val="auto"/>
          <w:sz w:val="36"/>
          <w:szCs w:val="36"/>
          <w:highlight w:val="none"/>
        </w:rPr>
      </w:pPr>
      <w:r>
        <w:rPr>
          <w:rFonts w:hint="eastAsia" w:ascii="黑体" w:eastAsia="黑体"/>
          <w:color w:val="auto"/>
          <w:sz w:val="36"/>
          <w:szCs w:val="36"/>
          <w:highlight w:val="none"/>
          <w:lang w:val="en-US" w:eastAsia="zh-CN"/>
        </w:rPr>
        <w:t>双台子区</w:t>
      </w:r>
      <w:r>
        <w:rPr>
          <w:rFonts w:hint="eastAsia" w:ascii="黑体" w:eastAsia="黑体"/>
          <w:color w:val="auto"/>
          <w:sz w:val="36"/>
          <w:szCs w:val="36"/>
          <w:highlight w:val="none"/>
        </w:rPr>
        <w:t>市政服务领域基层政务公开标准目录</w:t>
      </w:r>
    </w:p>
    <w:p>
      <w:pPr>
        <w:pStyle w:val="3"/>
        <w:spacing w:before="5"/>
        <w:rPr>
          <w:rFonts w:ascii="黑体"/>
          <w:color w:val="auto"/>
          <w:sz w:val="12"/>
          <w:highlight w:val="none"/>
        </w:rPr>
      </w:pPr>
    </w:p>
    <w:tbl>
      <w:tblPr>
        <w:tblStyle w:val="7"/>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97"/>
        <w:gridCol w:w="622"/>
        <w:gridCol w:w="1008"/>
        <w:gridCol w:w="1333"/>
        <w:gridCol w:w="1180"/>
        <w:gridCol w:w="994"/>
        <w:gridCol w:w="994"/>
        <w:gridCol w:w="3382"/>
        <w:gridCol w:w="622"/>
        <w:gridCol w:w="622"/>
        <w:gridCol w:w="622"/>
        <w:gridCol w:w="622"/>
        <w:gridCol w:w="622"/>
        <w:gridCol w:w="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 w:hRule="atLeast"/>
          <w:tblHeader/>
        </w:trPr>
        <w:tc>
          <w:tcPr>
            <w:tcW w:w="497" w:type="dxa"/>
            <w:vMerge w:val="restart"/>
            <w:vAlign w:val="center"/>
          </w:tcPr>
          <w:p>
            <w:pPr>
              <w:pStyle w:val="21"/>
              <w:ind w:left="7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序号</w:t>
            </w:r>
          </w:p>
        </w:tc>
        <w:tc>
          <w:tcPr>
            <w:tcW w:w="1630" w:type="dxa"/>
            <w:gridSpan w:val="2"/>
            <w:vAlign w:val="center"/>
          </w:tcPr>
          <w:p>
            <w:pPr>
              <w:pStyle w:val="21"/>
              <w:ind w:left="457" w:leftChars="0" w:hanging="457" w:hangingChars="25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公开事项</w:t>
            </w:r>
          </w:p>
        </w:tc>
        <w:tc>
          <w:tcPr>
            <w:tcW w:w="1333" w:type="dxa"/>
            <w:vMerge w:val="restart"/>
            <w:vAlign w:val="center"/>
          </w:tcPr>
          <w:p>
            <w:pPr>
              <w:pStyle w:val="21"/>
              <w:spacing w:line="227" w:lineRule="exact"/>
              <w:ind w:left="16" w:leftChars="0" w:hanging="16" w:hangingChars="9"/>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公开内容</w:t>
            </w:r>
          </w:p>
          <w:p>
            <w:pPr>
              <w:pStyle w:val="21"/>
              <w:spacing w:line="227" w:lineRule="exact"/>
              <w:ind w:left="237" w:leftChars="0" w:hanging="237" w:hangingChars="13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w:t>
            </w:r>
            <w:r>
              <w:rPr>
                <w:rFonts w:hint="eastAsia" w:ascii="仿宋_GB2312" w:hAnsi="仿宋_GB2312" w:eastAsia="仿宋_GB2312" w:cs="仿宋_GB2312"/>
                <w:b/>
                <w:color w:val="auto"/>
                <w:spacing w:val="1"/>
                <w:sz w:val="18"/>
                <w:szCs w:val="18"/>
                <w:highlight w:val="none"/>
              </w:rPr>
              <w:t>要素</w:t>
            </w:r>
            <w:r>
              <w:rPr>
                <w:rFonts w:hint="eastAsia" w:ascii="仿宋_GB2312" w:hAnsi="仿宋_GB2312" w:eastAsia="仿宋_GB2312" w:cs="仿宋_GB2312"/>
                <w:b/>
                <w:color w:val="auto"/>
                <w:sz w:val="18"/>
                <w:szCs w:val="18"/>
                <w:highlight w:val="none"/>
              </w:rPr>
              <w:t>）</w:t>
            </w:r>
          </w:p>
        </w:tc>
        <w:tc>
          <w:tcPr>
            <w:tcW w:w="1180" w:type="dxa"/>
            <w:vMerge w:val="restart"/>
            <w:vAlign w:val="center"/>
          </w:tcPr>
          <w:p>
            <w:pPr>
              <w:pStyle w:val="21"/>
              <w:ind w:left="307" w:leftChars="0" w:hanging="307" w:hangingChars="170"/>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公开依据</w:t>
            </w:r>
          </w:p>
        </w:tc>
        <w:tc>
          <w:tcPr>
            <w:tcW w:w="994" w:type="dxa"/>
            <w:vMerge w:val="restart"/>
            <w:vAlign w:val="center"/>
          </w:tcPr>
          <w:p>
            <w:pPr>
              <w:pStyle w:val="21"/>
              <w:ind w:left="139" w:leftChars="0" w:hanging="139" w:hangingChars="77"/>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公开时限</w:t>
            </w:r>
          </w:p>
        </w:tc>
        <w:tc>
          <w:tcPr>
            <w:tcW w:w="994" w:type="dxa"/>
            <w:vMerge w:val="restart"/>
            <w:vAlign w:val="center"/>
          </w:tcPr>
          <w:p>
            <w:pPr>
              <w:pStyle w:val="21"/>
              <w:ind w:left="139" w:leftChars="0" w:hanging="139" w:hangingChars="77"/>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公开主体</w:t>
            </w:r>
          </w:p>
        </w:tc>
        <w:tc>
          <w:tcPr>
            <w:tcW w:w="3382" w:type="dxa"/>
            <w:vMerge w:val="restart"/>
            <w:vAlign w:val="center"/>
          </w:tcPr>
          <w:p>
            <w:pPr>
              <w:pStyle w:val="21"/>
              <w:spacing w:line="228" w:lineRule="exact"/>
              <w:ind w:left="0" w:leftChars="0" w:hanging="5" w:firstLineChars="0"/>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公开渠道和载体</w:t>
            </w:r>
          </w:p>
          <w:p>
            <w:pPr>
              <w:pStyle w:val="21"/>
              <w:spacing w:before="1" w:line="235" w:lineRule="auto"/>
              <w:ind w:left="38" w:right="23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（“■”表示必选项，</w:t>
            </w:r>
          </w:p>
          <w:p>
            <w:pPr>
              <w:pStyle w:val="21"/>
              <w:spacing w:before="1" w:line="235" w:lineRule="auto"/>
              <w:ind w:left="38" w:right="231"/>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“□”表示可选项）</w:t>
            </w:r>
          </w:p>
        </w:tc>
        <w:tc>
          <w:tcPr>
            <w:tcW w:w="1244" w:type="dxa"/>
            <w:gridSpan w:val="2"/>
            <w:vAlign w:val="center"/>
          </w:tcPr>
          <w:p>
            <w:pPr>
              <w:pStyle w:val="21"/>
              <w:ind w:left="264" w:leftChars="0" w:hanging="264" w:hangingChars="146"/>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公开对象</w:t>
            </w:r>
          </w:p>
        </w:tc>
        <w:tc>
          <w:tcPr>
            <w:tcW w:w="1244" w:type="dxa"/>
            <w:gridSpan w:val="2"/>
            <w:vAlign w:val="center"/>
          </w:tcPr>
          <w:p>
            <w:pPr>
              <w:pStyle w:val="21"/>
              <w:ind w:left="264" w:leftChars="0" w:hanging="264" w:hangingChars="146"/>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公开方式</w:t>
            </w:r>
          </w:p>
        </w:tc>
        <w:tc>
          <w:tcPr>
            <w:tcW w:w="1244" w:type="dxa"/>
            <w:gridSpan w:val="2"/>
            <w:vAlign w:val="center"/>
          </w:tcPr>
          <w:p>
            <w:pPr>
              <w:pStyle w:val="21"/>
              <w:ind w:left="262" w:leftChars="0" w:hanging="262" w:hangingChars="145"/>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8" w:hRule="atLeast"/>
          <w:tblHeader/>
        </w:trPr>
        <w:tc>
          <w:tcPr>
            <w:tcW w:w="497" w:type="dxa"/>
            <w:vMerge w:val="continue"/>
            <w:tcBorders>
              <w:top w:val="nil"/>
            </w:tcBorders>
            <w:vAlign w:val="center"/>
          </w:tcPr>
          <w:p>
            <w:pPr>
              <w:jc w:val="center"/>
              <w:rPr>
                <w:rFonts w:hint="eastAsia" w:ascii="仿宋_GB2312" w:hAnsi="仿宋_GB2312" w:eastAsia="仿宋_GB2312" w:cs="仿宋_GB2312"/>
                <w:color w:val="auto"/>
                <w:sz w:val="18"/>
                <w:szCs w:val="18"/>
                <w:highlight w:val="none"/>
              </w:rPr>
            </w:pPr>
          </w:p>
        </w:tc>
        <w:tc>
          <w:tcPr>
            <w:tcW w:w="622"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一级事项</w:t>
            </w:r>
          </w:p>
        </w:tc>
        <w:tc>
          <w:tcPr>
            <w:tcW w:w="1008" w:type="dxa"/>
            <w:vAlign w:val="center"/>
          </w:tcPr>
          <w:p>
            <w:pPr>
              <w:pStyle w:val="21"/>
              <w:ind w:left="147"/>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二级事项</w:t>
            </w:r>
          </w:p>
        </w:tc>
        <w:tc>
          <w:tcPr>
            <w:tcW w:w="1333" w:type="dxa"/>
            <w:vMerge w:val="continue"/>
            <w:tcBorders>
              <w:top w:val="nil"/>
            </w:tcBorders>
            <w:vAlign w:val="center"/>
          </w:tcPr>
          <w:p>
            <w:pPr>
              <w:jc w:val="center"/>
              <w:rPr>
                <w:rFonts w:hint="eastAsia" w:ascii="仿宋_GB2312" w:hAnsi="仿宋_GB2312" w:eastAsia="仿宋_GB2312" w:cs="仿宋_GB2312"/>
                <w:color w:val="auto"/>
                <w:sz w:val="18"/>
                <w:szCs w:val="18"/>
                <w:highlight w:val="none"/>
              </w:rPr>
            </w:pPr>
          </w:p>
        </w:tc>
        <w:tc>
          <w:tcPr>
            <w:tcW w:w="1180" w:type="dxa"/>
            <w:vMerge w:val="continue"/>
            <w:tcBorders>
              <w:top w:val="nil"/>
            </w:tcBorders>
            <w:vAlign w:val="center"/>
          </w:tcPr>
          <w:p>
            <w:pPr>
              <w:jc w:val="center"/>
              <w:rPr>
                <w:rFonts w:hint="eastAsia" w:ascii="仿宋_GB2312" w:hAnsi="仿宋_GB2312" w:eastAsia="仿宋_GB2312" w:cs="仿宋_GB2312"/>
                <w:color w:val="auto"/>
                <w:sz w:val="18"/>
                <w:szCs w:val="18"/>
                <w:highlight w:val="none"/>
              </w:rPr>
            </w:pPr>
          </w:p>
        </w:tc>
        <w:tc>
          <w:tcPr>
            <w:tcW w:w="994" w:type="dxa"/>
            <w:vMerge w:val="continue"/>
            <w:tcBorders>
              <w:top w:val="nil"/>
            </w:tcBorders>
            <w:vAlign w:val="center"/>
          </w:tcPr>
          <w:p>
            <w:pPr>
              <w:jc w:val="center"/>
              <w:rPr>
                <w:rFonts w:hint="eastAsia" w:ascii="仿宋_GB2312" w:hAnsi="仿宋_GB2312" w:eastAsia="仿宋_GB2312" w:cs="仿宋_GB2312"/>
                <w:color w:val="auto"/>
                <w:sz w:val="18"/>
                <w:szCs w:val="18"/>
                <w:highlight w:val="none"/>
              </w:rPr>
            </w:pPr>
          </w:p>
        </w:tc>
        <w:tc>
          <w:tcPr>
            <w:tcW w:w="994" w:type="dxa"/>
            <w:vMerge w:val="continue"/>
            <w:tcBorders>
              <w:top w:val="nil"/>
            </w:tcBorders>
            <w:vAlign w:val="center"/>
          </w:tcPr>
          <w:p>
            <w:pPr>
              <w:jc w:val="center"/>
              <w:rPr>
                <w:rFonts w:hint="eastAsia" w:ascii="仿宋_GB2312" w:hAnsi="仿宋_GB2312" w:eastAsia="仿宋_GB2312" w:cs="仿宋_GB2312"/>
                <w:color w:val="auto"/>
                <w:sz w:val="18"/>
                <w:szCs w:val="18"/>
                <w:highlight w:val="none"/>
              </w:rPr>
            </w:pPr>
          </w:p>
        </w:tc>
        <w:tc>
          <w:tcPr>
            <w:tcW w:w="3382" w:type="dxa"/>
            <w:vMerge w:val="continue"/>
            <w:tcBorders>
              <w:top w:val="nil"/>
            </w:tcBorders>
            <w:vAlign w:val="center"/>
          </w:tcPr>
          <w:p>
            <w:pPr>
              <w:jc w:val="center"/>
              <w:rPr>
                <w:rFonts w:hint="eastAsia" w:ascii="仿宋_GB2312" w:hAnsi="仿宋_GB2312" w:eastAsia="仿宋_GB2312" w:cs="仿宋_GB2312"/>
                <w:color w:val="auto"/>
                <w:sz w:val="18"/>
                <w:szCs w:val="18"/>
                <w:highlight w:val="none"/>
              </w:rPr>
            </w:pPr>
          </w:p>
        </w:tc>
        <w:tc>
          <w:tcPr>
            <w:tcW w:w="622" w:type="dxa"/>
            <w:vAlign w:val="center"/>
          </w:tcPr>
          <w:p>
            <w:pPr>
              <w:pStyle w:val="21"/>
              <w:ind w:left="3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全社会</w:t>
            </w:r>
          </w:p>
        </w:tc>
        <w:tc>
          <w:tcPr>
            <w:tcW w:w="622"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特定</w:t>
            </w:r>
          </w:p>
          <w:p>
            <w:pPr>
              <w:pStyle w:val="21"/>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群体</w:t>
            </w:r>
          </w:p>
        </w:tc>
        <w:tc>
          <w:tcPr>
            <w:tcW w:w="622" w:type="dxa"/>
            <w:vAlign w:val="center"/>
          </w:tcPr>
          <w:p>
            <w:pPr>
              <w:pStyle w:val="21"/>
              <w:ind w:left="27"/>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主动</w:t>
            </w:r>
          </w:p>
        </w:tc>
        <w:tc>
          <w:tcPr>
            <w:tcW w:w="622" w:type="dxa"/>
            <w:vAlign w:val="center"/>
          </w:tcPr>
          <w:p>
            <w:pPr>
              <w:pStyle w:val="21"/>
              <w:ind w:left="133"/>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申请</w:t>
            </w:r>
          </w:p>
        </w:tc>
        <w:tc>
          <w:tcPr>
            <w:tcW w:w="622" w:type="dxa"/>
            <w:vAlign w:val="center"/>
          </w:tcPr>
          <w:p>
            <w:pPr>
              <w:pStyle w:val="21"/>
              <w:ind w:left="25"/>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县级</w:t>
            </w:r>
          </w:p>
        </w:tc>
        <w:tc>
          <w:tcPr>
            <w:tcW w:w="622" w:type="dxa"/>
            <w:vAlign w:val="center"/>
          </w:tcPr>
          <w:p>
            <w:pPr>
              <w:pStyle w:val="21"/>
              <w:ind w:left="134"/>
              <w:jc w:val="center"/>
              <w:rPr>
                <w:rFonts w:hint="eastAsia" w:ascii="仿宋_GB2312" w:hAnsi="仿宋_GB2312" w:eastAsia="仿宋_GB2312" w:cs="仿宋_GB2312"/>
                <w:b/>
                <w:color w:val="auto"/>
                <w:sz w:val="18"/>
                <w:szCs w:val="18"/>
                <w:highlight w:val="none"/>
              </w:rPr>
            </w:pPr>
            <w:r>
              <w:rPr>
                <w:rFonts w:hint="eastAsia" w:ascii="仿宋_GB2312" w:hAnsi="仿宋_GB2312" w:eastAsia="仿宋_GB2312" w:cs="仿宋_GB2312"/>
                <w:b/>
                <w:color w:val="auto"/>
                <w:sz w:val="18"/>
                <w:szCs w:val="18"/>
                <w:highlight w:val="none"/>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622"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35" w:lineRule="auto"/>
              <w:ind w:left="37" w:right="2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城镇燃气管理</w:t>
            </w:r>
          </w:p>
        </w:tc>
        <w:tc>
          <w:tcPr>
            <w:tcW w:w="1008" w:type="dxa"/>
          </w:tcPr>
          <w:p>
            <w:pPr>
              <w:pStyle w:val="21"/>
              <w:spacing w:line="235" w:lineRule="auto"/>
              <w:ind w:left="39" w:right="46"/>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燃气经营许可证核发</w:t>
            </w:r>
          </w:p>
        </w:tc>
        <w:tc>
          <w:tcPr>
            <w:tcW w:w="1333" w:type="dxa"/>
          </w:tcPr>
          <w:p>
            <w:pPr>
              <w:pStyle w:val="21"/>
              <w:spacing w:line="232" w:lineRule="auto"/>
              <w:ind w:left="241" w:right="22" w:firstLine="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申请条件、申请材料、申请流程、法定依据</w:t>
            </w:r>
          </w:p>
        </w:tc>
        <w:tc>
          <w:tcPr>
            <w:tcW w:w="1180" w:type="dxa"/>
          </w:tcPr>
          <w:p>
            <w:pPr>
              <w:pStyle w:val="21"/>
              <w:spacing w:line="235" w:lineRule="auto"/>
              <w:ind w:left="39" w:right="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《城镇燃气管理条例》</w:t>
            </w:r>
          </w:p>
        </w:tc>
        <w:tc>
          <w:tcPr>
            <w:tcW w:w="994" w:type="dxa"/>
          </w:tcPr>
          <w:p>
            <w:pPr>
              <w:pStyle w:val="21"/>
              <w:rPr>
                <w:rFonts w:hint="eastAsia" w:ascii="仿宋_GB2312" w:hAnsi="仿宋_GB2312" w:eastAsia="仿宋_GB2312" w:cs="仿宋_GB2312"/>
                <w:color w:val="auto"/>
                <w:sz w:val="18"/>
                <w:szCs w:val="18"/>
                <w:highlight w:val="none"/>
              </w:rPr>
            </w:pPr>
          </w:p>
          <w:p>
            <w:pPr>
              <w:pStyle w:val="21"/>
              <w:ind w:left="36"/>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20个工作日</w:t>
            </w:r>
          </w:p>
        </w:tc>
        <w:tc>
          <w:tcPr>
            <w:tcW w:w="994" w:type="dxa"/>
          </w:tcPr>
          <w:p>
            <w:pPr>
              <w:pStyle w:val="21"/>
              <w:spacing w:before="115" w:line="235" w:lineRule="auto"/>
              <w:ind w:left="36" w:right="35"/>
              <w:jc w:val="both"/>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区行政审批局</w:t>
            </w:r>
          </w:p>
        </w:tc>
        <w:tc>
          <w:tcPr>
            <w:tcW w:w="3382" w:type="dxa"/>
          </w:tcPr>
          <w:p>
            <w:pPr>
              <w:pStyle w:val="21"/>
              <w:numPr>
                <w:ilvl w:val="0"/>
                <w:numId w:val="1"/>
              </w:numPr>
              <w:tabs>
                <w:tab w:val="left" w:pos="220"/>
                <w:tab w:val="left" w:pos="1483"/>
              </w:tabs>
              <w:spacing w:before="125" w:after="0" w:line="228" w:lineRule="exact"/>
              <w:ind w:left="219"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5"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6"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5"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7"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7"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008" w:type="dxa"/>
          </w:tcPr>
          <w:p>
            <w:pPr>
              <w:pStyle w:val="21"/>
              <w:rPr>
                <w:rFonts w:hint="eastAsia" w:ascii="仿宋_GB2312" w:hAnsi="仿宋_GB2312" w:eastAsia="仿宋_GB2312" w:cs="仿宋_GB2312"/>
                <w:color w:val="auto"/>
                <w:sz w:val="18"/>
                <w:szCs w:val="18"/>
                <w:highlight w:val="none"/>
              </w:rPr>
            </w:pPr>
          </w:p>
          <w:p>
            <w:pPr>
              <w:pStyle w:val="21"/>
              <w:spacing w:before="116" w:line="235" w:lineRule="auto"/>
              <w:ind w:left="39" w:right="4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燃气经营者改动市政燃气设施审批</w:t>
            </w:r>
          </w:p>
        </w:tc>
        <w:tc>
          <w:tcPr>
            <w:tcW w:w="1333" w:type="dxa"/>
          </w:tcPr>
          <w:p>
            <w:pPr>
              <w:pStyle w:val="21"/>
              <w:rPr>
                <w:rFonts w:hint="eastAsia" w:ascii="仿宋_GB2312" w:hAnsi="仿宋_GB2312" w:eastAsia="仿宋_GB2312" w:cs="仿宋_GB2312"/>
                <w:color w:val="auto"/>
                <w:sz w:val="18"/>
                <w:szCs w:val="18"/>
                <w:highlight w:val="none"/>
              </w:rPr>
            </w:pPr>
          </w:p>
          <w:p>
            <w:pPr>
              <w:pStyle w:val="21"/>
              <w:spacing w:line="235" w:lineRule="auto"/>
              <w:ind w:left="241" w:right="22" w:firstLine="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申请条件、申请材料、申请流程、法定依据</w:t>
            </w:r>
          </w:p>
        </w:tc>
        <w:tc>
          <w:tcPr>
            <w:tcW w:w="1180" w:type="dxa"/>
          </w:tcPr>
          <w:p>
            <w:pPr>
              <w:pStyle w:val="21"/>
              <w:rPr>
                <w:rFonts w:hint="eastAsia" w:ascii="仿宋_GB2312" w:hAnsi="仿宋_GB2312" w:eastAsia="仿宋_GB2312" w:cs="仿宋_GB2312"/>
                <w:color w:val="auto"/>
                <w:sz w:val="18"/>
                <w:szCs w:val="18"/>
                <w:highlight w:val="none"/>
              </w:rPr>
            </w:pPr>
          </w:p>
          <w:p>
            <w:pPr>
              <w:pStyle w:val="21"/>
              <w:spacing w:before="10"/>
              <w:rPr>
                <w:rFonts w:hint="eastAsia" w:ascii="仿宋_GB2312" w:hAnsi="仿宋_GB2312" w:eastAsia="仿宋_GB2312" w:cs="仿宋_GB2312"/>
                <w:color w:val="auto"/>
                <w:sz w:val="18"/>
                <w:szCs w:val="18"/>
                <w:highlight w:val="none"/>
              </w:rPr>
            </w:pPr>
          </w:p>
          <w:p>
            <w:pPr>
              <w:pStyle w:val="21"/>
              <w:spacing w:line="235" w:lineRule="auto"/>
              <w:ind w:left="39" w:right="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《城镇燃气管理条例》</w:t>
            </w:r>
          </w:p>
        </w:tc>
        <w:tc>
          <w:tcPr>
            <w:tcW w:w="994"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36"/>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20个工作日</w:t>
            </w:r>
          </w:p>
        </w:tc>
        <w:tc>
          <w:tcPr>
            <w:tcW w:w="994" w:type="dxa"/>
          </w:tcPr>
          <w:p>
            <w:pPr>
              <w:pStyle w:val="21"/>
              <w:rPr>
                <w:rFonts w:hint="eastAsia" w:ascii="仿宋_GB2312" w:hAnsi="仿宋_GB2312" w:eastAsia="仿宋_GB2312" w:cs="仿宋_GB2312"/>
                <w:color w:val="auto"/>
                <w:sz w:val="18"/>
                <w:szCs w:val="18"/>
                <w:highlight w:val="none"/>
              </w:rPr>
            </w:pPr>
          </w:p>
          <w:p>
            <w:pPr>
              <w:pStyle w:val="21"/>
              <w:spacing w:before="116" w:line="235" w:lineRule="auto"/>
              <w:ind w:left="36" w:right="3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区行政审批局</w:t>
            </w:r>
          </w:p>
        </w:tc>
        <w:tc>
          <w:tcPr>
            <w:tcW w:w="3382" w:type="dxa"/>
          </w:tcPr>
          <w:p>
            <w:pPr>
              <w:pStyle w:val="21"/>
              <w:numPr>
                <w:ilvl w:val="0"/>
                <w:numId w:val="2"/>
              </w:numPr>
              <w:tabs>
                <w:tab w:val="left" w:pos="220"/>
                <w:tab w:val="left" w:pos="1483"/>
              </w:tabs>
              <w:spacing w:before="125" w:after="0" w:line="227" w:lineRule="exact"/>
              <w:ind w:left="219"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6"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6"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8"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3"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622" w:type="dxa"/>
            <w:vMerge w:val="restart"/>
          </w:tcPr>
          <w:p>
            <w:pPr>
              <w:pStyle w:val="21"/>
              <w:rPr>
                <w:rFonts w:hint="eastAsia" w:ascii="仿宋_GB2312" w:hAnsi="仿宋_GB2312" w:eastAsia="仿宋_GB2312" w:cs="仿宋_GB2312"/>
                <w:color w:val="auto"/>
                <w:sz w:val="18"/>
                <w:szCs w:val="18"/>
                <w:highlight w:val="none"/>
              </w:rPr>
            </w:pPr>
          </w:p>
          <w:p>
            <w:pPr>
              <w:pStyle w:val="21"/>
              <w:spacing w:before="128" w:line="232" w:lineRule="auto"/>
              <w:ind w:left="37" w:right="2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市政设施建设类审批</w:t>
            </w:r>
          </w:p>
        </w:tc>
        <w:tc>
          <w:tcPr>
            <w:tcW w:w="1008" w:type="dxa"/>
          </w:tcPr>
          <w:p>
            <w:pPr>
              <w:pStyle w:val="21"/>
              <w:spacing w:before="3"/>
              <w:rPr>
                <w:rFonts w:hint="eastAsia" w:ascii="仿宋_GB2312" w:hAnsi="仿宋_GB2312" w:eastAsia="仿宋_GB2312" w:cs="仿宋_GB2312"/>
                <w:color w:val="auto"/>
                <w:sz w:val="18"/>
                <w:szCs w:val="18"/>
                <w:highlight w:val="none"/>
              </w:rPr>
            </w:pPr>
          </w:p>
          <w:p>
            <w:pPr>
              <w:pStyle w:val="21"/>
              <w:spacing w:before="1" w:line="232" w:lineRule="auto"/>
              <w:ind w:left="39" w:right="4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占用、挖掘城市道路审批</w:t>
            </w:r>
          </w:p>
        </w:tc>
        <w:tc>
          <w:tcPr>
            <w:tcW w:w="1333" w:type="dxa"/>
          </w:tcPr>
          <w:p>
            <w:pPr>
              <w:pStyle w:val="21"/>
              <w:spacing w:before="142" w:line="235" w:lineRule="auto"/>
              <w:ind w:left="241" w:right="22" w:firstLine="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申请条件、申请材料、申请流程、法定依据</w:t>
            </w:r>
          </w:p>
        </w:tc>
        <w:tc>
          <w:tcPr>
            <w:tcW w:w="1180" w:type="dxa"/>
          </w:tcPr>
          <w:p>
            <w:pPr>
              <w:pStyle w:val="21"/>
              <w:rPr>
                <w:rFonts w:hint="eastAsia" w:ascii="仿宋_GB2312" w:hAnsi="仿宋_GB2312" w:eastAsia="仿宋_GB2312" w:cs="仿宋_GB2312"/>
                <w:color w:val="auto"/>
                <w:sz w:val="18"/>
                <w:szCs w:val="18"/>
                <w:highlight w:val="none"/>
              </w:rPr>
            </w:pPr>
          </w:p>
          <w:p>
            <w:pPr>
              <w:pStyle w:val="21"/>
              <w:spacing w:before="158" w:line="235" w:lineRule="auto"/>
              <w:ind w:left="39" w:right="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《城市道路管理条例》</w:t>
            </w:r>
          </w:p>
        </w:tc>
        <w:tc>
          <w:tcPr>
            <w:tcW w:w="994"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ind w:left="36"/>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20个工作日</w:t>
            </w:r>
          </w:p>
        </w:tc>
        <w:tc>
          <w:tcPr>
            <w:tcW w:w="994" w:type="dxa"/>
          </w:tcPr>
          <w:p>
            <w:pPr>
              <w:pStyle w:val="21"/>
              <w:rPr>
                <w:rFonts w:hint="eastAsia" w:ascii="仿宋_GB2312" w:hAnsi="仿宋_GB2312" w:eastAsia="仿宋_GB2312" w:cs="仿宋_GB2312"/>
                <w:color w:val="auto"/>
                <w:sz w:val="18"/>
                <w:szCs w:val="18"/>
                <w:highlight w:val="none"/>
              </w:rPr>
            </w:pPr>
          </w:p>
          <w:p>
            <w:pPr>
              <w:pStyle w:val="21"/>
              <w:spacing w:before="158" w:line="235" w:lineRule="auto"/>
              <w:ind w:left="36" w:righ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区行政审批局</w:t>
            </w:r>
          </w:p>
        </w:tc>
        <w:tc>
          <w:tcPr>
            <w:tcW w:w="3382" w:type="dxa"/>
          </w:tcPr>
          <w:p>
            <w:pPr>
              <w:pStyle w:val="21"/>
              <w:numPr>
                <w:ilvl w:val="0"/>
                <w:numId w:val="3"/>
              </w:numPr>
              <w:tabs>
                <w:tab w:val="left" w:pos="220"/>
                <w:tab w:val="left" w:pos="1483"/>
              </w:tabs>
              <w:spacing w:before="0" w:after="0" w:line="228" w:lineRule="exact"/>
              <w:ind w:left="219"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6"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5"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5"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8"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0"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008" w:type="dxa"/>
          </w:tcPr>
          <w:p>
            <w:pPr>
              <w:pStyle w:val="21"/>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依附城市道路建设各种管线及城市桥梁上架设各类市政管线审批</w:t>
            </w:r>
          </w:p>
        </w:tc>
        <w:tc>
          <w:tcPr>
            <w:tcW w:w="1333" w:type="dxa"/>
          </w:tcPr>
          <w:p>
            <w:pPr>
              <w:pStyle w:val="21"/>
              <w:rPr>
                <w:rFonts w:hint="eastAsia" w:ascii="仿宋_GB2312" w:hAnsi="仿宋_GB2312" w:eastAsia="仿宋_GB2312" w:cs="仿宋_GB2312"/>
                <w:color w:val="auto"/>
                <w:sz w:val="18"/>
                <w:szCs w:val="18"/>
                <w:highlight w:val="none"/>
              </w:rPr>
            </w:pPr>
          </w:p>
          <w:p>
            <w:pPr>
              <w:pStyle w:val="21"/>
              <w:keepNext w:val="0"/>
              <w:keepLines w:val="0"/>
              <w:pageBreakBefore w:val="0"/>
              <w:widowControl w:val="0"/>
              <w:kinsoku/>
              <w:wordWrap/>
              <w:overflowPunct/>
              <w:topLinePunct w:val="0"/>
              <w:autoSpaceDE/>
              <w:autoSpaceDN/>
              <w:bidi w:val="0"/>
              <w:adjustRightInd/>
              <w:snapToGrid/>
              <w:spacing w:line="236" w:lineRule="auto"/>
              <w:ind w:left="0" w:right="23" w:firstLine="0"/>
              <w:jc w:val="both"/>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申请条件、申请材料、申请流程、法定依据</w:t>
            </w:r>
          </w:p>
        </w:tc>
        <w:tc>
          <w:tcPr>
            <w:tcW w:w="1180"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39" w:right="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《城市道路管理条例》</w:t>
            </w:r>
          </w:p>
        </w:tc>
        <w:tc>
          <w:tcPr>
            <w:tcW w:w="994" w:type="dxa"/>
          </w:tcPr>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36"/>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20个工作日</w:t>
            </w:r>
          </w:p>
        </w:tc>
        <w:tc>
          <w:tcPr>
            <w:tcW w:w="99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36" w:righ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区行政审批局</w:t>
            </w:r>
          </w:p>
        </w:tc>
        <w:tc>
          <w:tcPr>
            <w:tcW w:w="3382" w:type="dxa"/>
          </w:tcPr>
          <w:p>
            <w:pPr>
              <w:pStyle w:val="21"/>
              <w:numPr>
                <w:ilvl w:val="0"/>
                <w:numId w:val="4"/>
              </w:numPr>
              <w:tabs>
                <w:tab w:val="left" w:pos="220"/>
                <w:tab w:val="left" w:pos="1483"/>
              </w:tabs>
              <w:spacing w:before="149" w:after="0" w:line="227" w:lineRule="exact"/>
              <w:ind w:left="219"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5"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6"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5"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8"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8" w:hRule="atLeast"/>
        </w:trPr>
        <w:tc>
          <w:tcPr>
            <w:tcW w:w="497" w:type="dxa"/>
          </w:tcPr>
          <w:p>
            <w:pPr>
              <w:pStyle w:val="21"/>
              <w:spacing w:before="2"/>
              <w:rPr>
                <w:rFonts w:hint="eastAsia" w:ascii="仿宋_GB2312" w:hAnsi="仿宋_GB2312" w:eastAsia="仿宋_GB2312" w:cs="仿宋_GB2312"/>
                <w:color w:val="auto"/>
                <w:sz w:val="18"/>
                <w:szCs w:val="18"/>
                <w:highlight w:val="none"/>
              </w:rPr>
            </w:pPr>
          </w:p>
          <w:p>
            <w:pPr>
              <w:pStyle w:val="21"/>
              <w:spacing w:before="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008" w:type="dxa"/>
          </w:tcPr>
          <w:p>
            <w:pPr>
              <w:pStyle w:val="21"/>
              <w:spacing w:before="1" w:line="232" w:lineRule="auto"/>
              <w:ind w:left="39" w:right="4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特殊车辆在城市道路上行驶</w:t>
            </w:r>
          </w:p>
        </w:tc>
        <w:tc>
          <w:tcPr>
            <w:tcW w:w="1333" w:type="dxa"/>
          </w:tcPr>
          <w:p>
            <w:pPr>
              <w:pStyle w:val="21"/>
              <w:keepNext w:val="0"/>
              <w:keepLines w:val="0"/>
              <w:pageBreakBefore w:val="0"/>
              <w:widowControl w:val="0"/>
              <w:kinsoku/>
              <w:wordWrap/>
              <w:overflowPunct/>
              <w:topLinePunct w:val="0"/>
              <w:autoSpaceDE/>
              <w:autoSpaceDN/>
              <w:bidi w:val="0"/>
              <w:adjustRightInd/>
              <w:snapToGrid/>
              <w:spacing w:line="236" w:lineRule="auto"/>
              <w:ind w:left="0" w:right="0" w:firstLine="0"/>
              <w:jc w:val="both"/>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申请条件、申请材料、申请流程、法定依据</w:t>
            </w:r>
          </w:p>
        </w:tc>
        <w:tc>
          <w:tcPr>
            <w:tcW w:w="1180" w:type="dxa"/>
          </w:tcPr>
          <w:p>
            <w:pPr>
              <w:pStyle w:val="21"/>
              <w:spacing w:before="158" w:line="235" w:lineRule="auto"/>
              <w:ind w:left="39" w:right="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《城市道路管理条例》</w:t>
            </w:r>
          </w:p>
        </w:tc>
        <w:tc>
          <w:tcPr>
            <w:tcW w:w="994"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ind w:left="36"/>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20个工作日</w:t>
            </w:r>
          </w:p>
        </w:tc>
        <w:tc>
          <w:tcPr>
            <w:tcW w:w="99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58" w:line="235" w:lineRule="auto"/>
              <w:ind w:left="36" w:right="35"/>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区行政审批局</w:t>
            </w:r>
          </w:p>
        </w:tc>
        <w:tc>
          <w:tcPr>
            <w:tcW w:w="3382" w:type="dxa"/>
          </w:tcPr>
          <w:p>
            <w:pPr>
              <w:pStyle w:val="21"/>
              <w:numPr>
                <w:ilvl w:val="0"/>
                <w:numId w:val="5"/>
              </w:numPr>
              <w:tabs>
                <w:tab w:val="left" w:pos="220"/>
                <w:tab w:val="left" w:pos="1483"/>
              </w:tabs>
              <w:spacing w:before="0" w:after="0" w:line="228" w:lineRule="exact"/>
              <w:ind w:left="219"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5"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5"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6"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5"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8"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before="1"/>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2"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9"/>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622"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spacing w:line="232" w:lineRule="auto"/>
              <w:ind w:left="49" w:right="10"/>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城市园林绿化管理</w:t>
            </w:r>
          </w:p>
        </w:tc>
        <w:tc>
          <w:tcPr>
            <w:tcW w:w="100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line="235" w:lineRule="auto"/>
              <w:ind w:left="61" w:right="2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城市园林绿化行政审批</w:t>
            </w:r>
          </w:p>
        </w:tc>
        <w:tc>
          <w:tcPr>
            <w:tcW w:w="1333"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exact"/>
              <w:ind w:left="0"/>
              <w:jc w:val="lef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对临时占用城市绿化用地，砍 伐 城市树木，迁移古树名木，改变绿化规划绿化用地的使用性质等审批事项申请条件申请材料申请流程法定依据受理机构办理结果。</w:t>
            </w:r>
          </w:p>
        </w:tc>
        <w:tc>
          <w:tcPr>
            <w:tcW w:w="1180" w:type="dxa"/>
          </w:tcPr>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《中华人民共和国政府信息公开条例》</w:t>
            </w:r>
          </w:p>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《城市绿化条例》</w:t>
            </w:r>
          </w:p>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《国务院对确需保留的行政审批项目设定行政许可的决定》</w:t>
            </w:r>
          </w:p>
        </w:tc>
        <w:tc>
          <w:tcPr>
            <w:tcW w:w="994" w:type="dxa"/>
          </w:tcPr>
          <w:p>
            <w:pPr>
              <w:pStyle w:val="21"/>
              <w:spacing w:before="10"/>
              <w:rPr>
                <w:rFonts w:hint="eastAsia" w:ascii="仿宋_GB2312" w:hAnsi="仿宋_GB2312" w:eastAsia="仿宋_GB2312" w:cs="仿宋_GB2312"/>
                <w:color w:val="auto"/>
                <w:sz w:val="18"/>
                <w:szCs w:val="18"/>
                <w:highlight w:val="none"/>
              </w:rPr>
            </w:pPr>
          </w:p>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1"/>
                <w:sz w:val="18"/>
                <w:szCs w:val="18"/>
                <w:highlight w:val="none"/>
              </w:rPr>
              <w:t>信息形成</w:t>
            </w:r>
          </w:p>
          <w:p>
            <w:pPr>
              <w:pStyle w:val="21"/>
              <w:spacing w:before="3" w:line="232" w:lineRule="auto"/>
              <w:ind w:left="39" w:right="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7"/>
                <w:sz w:val="18"/>
                <w:szCs w:val="18"/>
                <w:highlight w:val="none"/>
              </w:rPr>
              <w:t>（变更</w:t>
            </w:r>
            <w:r>
              <w:rPr>
                <w:rFonts w:hint="eastAsia" w:ascii="仿宋_GB2312" w:hAnsi="仿宋_GB2312" w:eastAsia="仿宋_GB2312" w:cs="仿宋_GB2312"/>
                <w:color w:val="auto"/>
                <w:spacing w:val="-4"/>
                <w:sz w:val="18"/>
                <w:szCs w:val="18"/>
                <w:highlight w:val="none"/>
              </w:rPr>
              <w:t xml:space="preserve">）20 </w:t>
            </w:r>
            <w:r>
              <w:rPr>
                <w:rFonts w:hint="eastAsia" w:ascii="仿宋_GB2312" w:hAnsi="仿宋_GB2312" w:eastAsia="仿宋_GB2312" w:cs="仿宋_GB2312"/>
                <w:color w:val="auto"/>
                <w:sz w:val="18"/>
                <w:szCs w:val="18"/>
                <w:highlight w:val="none"/>
              </w:rPr>
              <w:t>个工作日内</w:t>
            </w:r>
          </w:p>
        </w:tc>
        <w:tc>
          <w:tcPr>
            <w:tcW w:w="994"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line="235" w:lineRule="auto"/>
              <w:ind w:left="36" w:right="35"/>
              <w:jc w:val="both"/>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区行政审批局</w:t>
            </w:r>
          </w:p>
        </w:tc>
        <w:tc>
          <w:tcPr>
            <w:tcW w:w="3382" w:type="dxa"/>
            <w:vAlign w:val="center"/>
          </w:tcPr>
          <w:p>
            <w:pPr>
              <w:pStyle w:val="21"/>
              <w:numPr>
                <w:ilvl w:val="0"/>
                <w:numId w:val="6"/>
              </w:numPr>
              <w:tabs>
                <w:tab w:val="left" w:pos="220"/>
                <w:tab w:val="left" w:pos="1483"/>
              </w:tabs>
              <w:spacing w:before="0" w:after="0" w:line="228" w:lineRule="exact"/>
              <w:ind w:left="219"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6" w:lineRule="exact"/>
              <w:ind w:left="38"/>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5" w:lineRule="exact"/>
              <w:ind w:left="38"/>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4" w:lineRule="exact"/>
              <w:ind w:left="38"/>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5" w:lineRule="exact"/>
              <w:ind w:left="38"/>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8"/>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8" w:lineRule="exact"/>
              <w:ind w:left="38"/>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9"/>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9"/>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09"/>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0"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lang w:eastAsia="zh-CN"/>
              </w:rPr>
            </w:pPr>
          </w:p>
          <w:p>
            <w:pPr>
              <w:pStyle w:val="21"/>
              <w:spacing w:before="2"/>
              <w:rPr>
                <w:rFonts w:hint="eastAsia" w:ascii="仿宋_GB2312" w:hAnsi="仿宋_GB2312" w:eastAsia="仿宋_GB2312" w:cs="仿宋_GB2312"/>
                <w:color w:val="auto"/>
                <w:sz w:val="18"/>
                <w:szCs w:val="18"/>
                <w:highlight w:val="none"/>
              </w:rPr>
            </w:pPr>
          </w:p>
          <w:p>
            <w:pPr>
              <w:pStyle w:val="2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008"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34" w:line="235" w:lineRule="auto"/>
              <w:ind w:left="61" w:right="24"/>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城市园林绿化行政处罚</w:t>
            </w:r>
          </w:p>
        </w:tc>
        <w:tc>
          <w:tcPr>
            <w:tcW w:w="1333" w:type="dxa"/>
          </w:tcPr>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对违规占用城市绿化用地砍伐城市树木迁移古树名木等城市绿化违法违规行为的处罚内容处罚依据处罚流程和实施机关。对城市绿化违法违规行为的处罚结果。</w:t>
            </w:r>
          </w:p>
        </w:tc>
        <w:tc>
          <w:tcPr>
            <w:tcW w:w="1180" w:type="dxa"/>
          </w:tcPr>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lang w:eastAsia="zh-CN"/>
              </w:rPr>
            </w:pPr>
          </w:p>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《中华人民共和国政府信息公开条例》</w:t>
            </w:r>
          </w:p>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《城市绿化条例</w:t>
            </w:r>
          </w:p>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p>
        </w:tc>
        <w:tc>
          <w:tcPr>
            <w:tcW w:w="994" w:type="dxa"/>
          </w:tcPr>
          <w:p>
            <w:pPr>
              <w:pStyle w:val="21"/>
              <w:rPr>
                <w:rFonts w:hint="eastAsia" w:ascii="仿宋_GB2312" w:hAnsi="仿宋_GB2312" w:eastAsia="仿宋_GB2312" w:cs="仿宋_GB2312"/>
                <w:color w:val="auto"/>
                <w:sz w:val="18"/>
                <w:szCs w:val="18"/>
                <w:highlight w:val="none"/>
              </w:rPr>
            </w:pPr>
          </w:p>
          <w:p>
            <w:pPr>
              <w:pStyle w:val="21"/>
              <w:spacing w:before="6"/>
              <w:rPr>
                <w:rFonts w:hint="eastAsia" w:ascii="仿宋_GB2312" w:hAnsi="仿宋_GB2312" w:eastAsia="仿宋_GB2312" w:cs="仿宋_GB2312"/>
                <w:color w:val="auto"/>
                <w:sz w:val="18"/>
                <w:szCs w:val="18"/>
                <w:highlight w:val="none"/>
              </w:rPr>
            </w:pPr>
          </w:p>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11"/>
                <w:sz w:val="18"/>
                <w:szCs w:val="18"/>
                <w:highlight w:val="none"/>
              </w:rPr>
              <w:t>信 息 形 成</w:t>
            </w:r>
          </w:p>
          <w:p>
            <w:pPr>
              <w:pStyle w:val="21"/>
              <w:spacing w:before="2" w:line="235" w:lineRule="auto"/>
              <w:ind w:left="39" w:right="2"/>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7"/>
                <w:sz w:val="18"/>
                <w:szCs w:val="18"/>
                <w:highlight w:val="none"/>
              </w:rPr>
              <w:t>（变更</w:t>
            </w:r>
            <w:r>
              <w:rPr>
                <w:rFonts w:hint="eastAsia" w:ascii="仿宋_GB2312" w:hAnsi="仿宋_GB2312" w:eastAsia="仿宋_GB2312" w:cs="仿宋_GB2312"/>
                <w:color w:val="auto"/>
                <w:spacing w:val="-4"/>
                <w:sz w:val="18"/>
                <w:szCs w:val="18"/>
                <w:highlight w:val="none"/>
              </w:rPr>
              <w:t xml:space="preserve">）20 </w:t>
            </w:r>
            <w:r>
              <w:rPr>
                <w:rFonts w:hint="eastAsia" w:ascii="仿宋_GB2312" w:hAnsi="仿宋_GB2312" w:eastAsia="仿宋_GB2312" w:cs="仿宋_GB2312"/>
                <w:color w:val="auto"/>
                <w:sz w:val="18"/>
                <w:szCs w:val="18"/>
                <w:highlight w:val="none"/>
              </w:rPr>
              <w:t>个工作日内</w:t>
            </w:r>
          </w:p>
        </w:tc>
        <w:tc>
          <w:tcPr>
            <w:tcW w:w="99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5" w:line="235" w:lineRule="auto"/>
              <w:ind w:left="36" w:right="35"/>
              <w:jc w:val="both"/>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区城市综合管理执法局</w:t>
            </w:r>
          </w:p>
        </w:tc>
        <w:tc>
          <w:tcPr>
            <w:tcW w:w="3382" w:type="dxa"/>
            <w:vAlign w:val="center"/>
          </w:tcPr>
          <w:p>
            <w:pPr>
              <w:pStyle w:val="21"/>
              <w:numPr>
                <w:ilvl w:val="0"/>
                <w:numId w:val="7"/>
              </w:numPr>
              <w:tabs>
                <w:tab w:val="left" w:pos="220"/>
                <w:tab w:val="left" w:pos="1483"/>
              </w:tabs>
              <w:spacing w:before="0" w:after="0" w:line="228" w:lineRule="exact"/>
              <w:ind w:left="219" w:right="0" w:hanging="18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4"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4"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6"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6"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7"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9"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3"/>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622" w:type="dxa"/>
            <w:vMerge w:val="restart"/>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2" w:line="235" w:lineRule="auto"/>
              <w:ind w:left="37" w:right="2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城市供水、城镇排水与污水处理</w:t>
            </w:r>
          </w:p>
        </w:tc>
        <w:tc>
          <w:tcPr>
            <w:tcW w:w="1008" w:type="dxa"/>
          </w:tcPr>
          <w:p>
            <w:pPr>
              <w:pStyle w:val="21"/>
              <w:spacing w:line="235" w:lineRule="auto"/>
              <w:ind w:left="39" w:right="4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因工程建设需要拆除、改动、迁移供水、排水与污水处理设施审核</w:t>
            </w:r>
          </w:p>
        </w:tc>
        <w:tc>
          <w:tcPr>
            <w:tcW w:w="1333" w:type="dxa"/>
          </w:tcPr>
          <w:p>
            <w:pPr>
              <w:pStyle w:val="21"/>
              <w:rPr>
                <w:rFonts w:hint="eastAsia" w:ascii="仿宋_GB2312" w:hAnsi="仿宋_GB2312" w:eastAsia="仿宋_GB2312" w:cs="仿宋_GB2312"/>
                <w:color w:val="auto"/>
                <w:sz w:val="18"/>
                <w:szCs w:val="18"/>
                <w:highlight w:val="none"/>
              </w:rPr>
            </w:pPr>
          </w:p>
          <w:p>
            <w:pPr>
              <w:pStyle w:val="21"/>
              <w:spacing w:before="1" w:line="232" w:lineRule="auto"/>
              <w:ind w:left="39" w:right="22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申请条件、申请材料、申请流程、法定依据</w:t>
            </w:r>
          </w:p>
        </w:tc>
        <w:tc>
          <w:tcPr>
            <w:tcW w:w="1180" w:type="dxa"/>
          </w:tcPr>
          <w:p>
            <w:pPr>
              <w:pStyle w:val="21"/>
              <w:spacing w:before="41" w:line="227"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《城市供水条例》《城镇排水与污水处理条例》《国务院关于印发清理规范投资项目报建审批事项实施方案的通知》</w:t>
            </w:r>
          </w:p>
        </w:tc>
        <w:tc>
          <w:tcPr>
            <w:tcW w:w="994"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2"/>
              <w:rPr>
                <w:rFonts w:hint="eastAsia" w:ascii="仿宋_GB2312" w:hAnsi="仿宋_GB2312" w:eastAsia="仿宋_GB2312" w:cs="仿宋_GB2312"/>
                <w:color w:val="auto"/>
                <w:sz w:val="18"/>
                <w:szCs w:val="18"/>
                <w:highlight w:val="none"/>
              </w:rPr>
            </w:pPr>
          </w:p>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3" w:line="232" w:lineRule="auto"/>
              <w:ind w:left="39" w:right="3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（变更）20 个工作日内</w:t>
            </w:r>
          </w:p>
        </w:tc>
        <w:tc>
          <w:tcPr>
            <w:tcW w:w="994" w:type="dxa"/>
          </w:tcPr>
          <w:p>
            <w:pPr>
              <w:pStyle w:val="21"/>
              <w:rPr>
                <w:rFonts w:hint="eastAsia" w:ascii="仿宋_GB2312" w:hAnsi="仿宋_GB2312" w:eastAsia="仿宋_GB2312" w:cs="仿宋_GB2312"/>
                <w:color w:val="auto"/>
                <w:sz w:val="18"/>
                <w:szCs w:val="18"/>
                <w:highlight w:val="none"/>
              </w:rPr>
            </w:pPr>
          </w:p>
          <w:p>
            <w:pPr>
              <w:pStyle w:val="21"/>
              <w:spacing w:before="11"/>
              <w:rPr>
                <w:rFonts w:hint="eastAsia" w:ascii="仿宋_GB2312" w:hAnsi="仿宋_GB2312" w:eastAsia="仿宋_GB2312" w:cs="仿宋_GB2312"/>
                <w:color w:val="auto"/>
                <w:sz w:val="18"/>
                <w:szCs w:val="18"/>
                <w:highlight w:val="none"/>
              </w:rPr>
            </w:pPr>
          </w:p>
          <w:p>
            <w:pPr>
              <w:pStyle w:val="21"/>
              <w:spacing w:line="235" w:lineRule="auto"/>
              <w:ind w:left="36" w:right="3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区行政审批局</w:t>
            </w:r>
          </w:p>
        </w:tc>
        <w:tc>
          <w:tcPr>
            <w:tcW w:w="3382" w:type="dxa"/>
            <w:vAlign w:val="center"/>
          </w:tcPr>
          <w:p>
            <w:pPr>
              <w:pStyle w:val="21"/>
              <w:numPr>
                <w:ilvl w:val="0"/>
                <w:numId w:val="8"/>
              </w:numPr>
              <w:tabs>
                <w:tab w:val="left" w:pos="220"/>
                <w:tab w:val="left" w:pos="1483"/>
              </w:tabs>
              <w:spacing w:before="0" w:after="0" w:line="228" w:lineRule="exact"/>
              <w:ind w:left="219" w:right="0" w:hanging="18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6"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5"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4"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5"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6"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8"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3"/>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3"/>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113"/>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1"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before="1"/>
              <w:ind w:left="210"/>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9</w:t>
            </w: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008" w:type="dxa"/>
          </w:tcPr>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因工程施工</w:t>
            </w:r>
          </w:p>
          <w:p>
            <w:pPr>
              <w:pStyle w:val="21"/>
              <w:spacing w:before="3" w:line="232" w:lineRule="auto"/>
              <w:ind w:left="39" w:right="4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pacing w:val="-4"/>
                <w:sz w:val="18"/>
                <w:szCs w:val="18"/>
                <w:highlight w:val="none"/>
              </w:rPr>
              <w:t>、设备维修等确需停止供水的审批</w:t>
            </w:r>
          </w:p>
        </w:tc>
        <w:tc>
          <w:tcPr>
            <w:tcW w:w="1333" w:type="dxa"/>
          </w:tcPr>
          <w:p>
            <w:pPr>
              <w:pStyle w:val="21"/>
              <w:spacing w:line="232" w:lineRule="auto"/>
              <w:ind w:left="39" w:right="22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申请条件、申请材料、申请流程、法定依据</w:t>
            </w:r>
          </w:p>
        </w:tc>
        <w:tc>
          <w:tcPr>
            <w:tcW w:w="1180" w:type="dxa"/>
          </w:tcPr>
          <w:p>
            <w:pPr>
              <w:pStyle w:val="21"/>
              <w:rPr>
                <w:rFonts w:hint="eastAsia" w:ascii="仿宋_GB2312" w:hAnsi="仿宋_GB2312" w:eastAsia="仿宋_GB2312" w:cs="仿宋_GB2312"/>
                <w:color w:val="auto"/>
                <w:sz w:val="18"/>
                <w:szCs w:val="18"/>
                <w:highlight w:val="none"/>
              </w:rPr>
            </w:pPr>
          </w:p>
          <w:p>
            <w:pPr>
              <w:pStyle w:val="21"/>
              <w:spacing w:before="1"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《城市供水条例</w:t>
            </w:r>
          </w:p>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994" w:type="dxa"/>
          </w:tcPr>
          <w:p>
            <w:pPr>
              <w:pStyle w:val="21"/>
              <w:spacing w:before="1"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1" w:line="235" w:lineRule="auto"/>
              <w:ind w:left="39" w:right="3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（变更）20 个工作日内</w:t>
            </w:r>
          </w:p>
        </w:tc>
        <w:tc>
          <w:tcPr>
            <w:tcW w:w="994" w:type="dxa"/>
          </w:tcPr>
          <w:p>
            <w:pPr>
              <w:pStyle w:val="21"/>
              <w:spacing w:line="235" w:lineRule="auto"/>
              <w:ind w:left="36" w:right="35"/>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区住房和城乡建设局</w:t>
            </w:r>
          </w:p>
        </w:tc>
        <w:tc>
          <w:tcPr>
            <w:tcW w:w="3382" w:type="dxa"/>
          </w:tcPr>
          <w:p>
            <w:pPr>
              <w:pStyle w:val="21"/>
              <w:numPr>
                <w:ilvl w:val="0"/>
                <w:numId w:val="9"/>
              </w:numPr>
              <w:tabs>
                <w:tab w:val="left" w:pos="220"/>
                <w:tab w:val="left" w:pos="1483"/>
              </w:tabs>
              <w:spacing w:before="159" w:after="0" w:line="228" w:lineRule="exact"/>
              <w:ind w:left="219" w:right="0" w:hanging="182"/>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6"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6"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入户/现场</w:t>
            </w:r>
          </w:p>
          <w:p>
            <w:pPr>
              <w:pStyle w:val="21"/>
              <w:spacing w:line="224"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7" w:lineRule="exact"/>
              <w:ind w:left="38"/>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before="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before="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4"/>
              <w:rPr>
                <w:rFonts w:hint="eastAsia" w:ascii="仿宋_GB2312" w:hAnsi="仿宋_GB2312" w:eastAsia="仿宋_GB2312" w:cs="仿宋_GB2312"/>
                <w:color w:val="auto"/>
                <w:sz w:val="18"/>
                <w:szCs w:val="18"/>
                <w:highlight w:val="none"/>
              </w:rPr>
            </w:pPr>
          </w:p>
          <w:p>
            <w:pPr>
              <w:pStyle w:val="21"/>
              <w:spacing w:before="1"/>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8" w:hRule="atLeast"/>
        </w:trPr>
        <w:tc>
          <w:tcPr>
            <w:tcW w:w="497" w:type="dxa"/>
          </w:tcPr>
          <w:p>
            <w:pPr>
              <w:pStyle w:val="21"/>
              <w:rPr>
                <w:rFonts w:hint="eastAsia" w:ascii="仿宋_GB2312" w:hAnsi="仿宋_GB2312" w:eastAsia="仿宋_GB2312" w:cs="仿宋_GB2312"/>
                <w:color w:val="auto"/>
                <w:sz w:val="18"/>
                <w:szCs w:val="18"/>
                <w:highlight w:val="none"/>
              </w:rPr>
            </w:pPr>
          </w:p>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167"/>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10</w:t>
            </w:r>
          </w:p>
        </w:tc>
        <w:tc>
          <w:tcPr>
            <w:tcW w:w="622" w:type="dxa"/>
            <w:vMerge w:val="continue"/>
            <w:tcBorders>
              <w:top w:val="nil"/>
            </w:tcBorders>
          </w:tcPr>
          <w:p>
            <w:pPr>
              <w:rPr>
                <w:rFonts w:hint="eastAsia" w:ascii="仿宋_GB2312" w:hAnsi="仿宋_GB2312" w:eastAsia="仿宋_GB2312" w:cs="仿宋_GB2312"/>
                <w:color w:val="auto"/>
                <w:sz w:val="18"/>
                <w:szCs w:val="18"/>
                <w:highlight w:val="none"/>
              </w:rPr>
            </w:pPr>
          </w:p>
        </w:tc>
        <w:tc>
          <w:tcPr>
            <w:tcW w:w="1008" w:type="dxa"/>
          </w:tcPr>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对从事工业</w:t>
            </w:r>
          </w:p>
          <w:p>
            <w:pPr>
              <w:pStyle w:val="21"/>
              <w:keepNext w:val="0"/>
              <w:keepLines w:val="0"/>
              <w:pageBreakBefore w:val="0"/>
              <w:widowControl w:val="0"/>
              <w:kinsoku/>
              <w:wordWrap/>
              <w:overflowPunct/>
              <w:topLinePunct w:val="0"/>
              <w:autoSpaceDE/>
              <w:autoSpaceDN/>
              <w:bidi w:val="0"/>
              <w:adjustRightInd/>
              <w:snapToGrid/>
              <w:spacing w:line="240" w:lineRule="exact"/>
              <w:ind w:left="0"/>
              <w:jc w:val="both"/>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、建筑、餐饮、医疗等活动的企事业单位、个体工商户向城镇排水设施排放污水许可的审批</w:t>
            </w:r>
          </w:p>
        </w:tc>
        <w:tc>
          <w:tcPr>
            <w:tcW w:w="1333" w:type="dxa"/>
          </w:tcPr>
          <w:p>
            <w:pPr>
              <w:pStyle w:val="21"/>
              <w:spacing w:line="235" w:lineRule="auto"/>
              <w:ind w:left="39" w:right="226"/>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申请条件、申请材料、申请流程、法定依据</w:t>
            </w:r>
          </w:p>
        </w:tc>
        <w:tc>
          <w:tcPr>
            <w:tcW w:w="1180" w:type="dxa"/>
          </w:tcPr>
          <w:p>
            <w:pPr>
              <w:pStyle w:val="21"/>
              <w:spacing w:line="235" w:lineRule="auto"/>
              <w:ind w:left="39" w:right="3"/>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《城镇排水与污水处理条例》</w:t>
            </w:r>
          </w:p>
        </w:tc>
        <w:tc>
          <w:tcPr>
            <w:tcW w:w="994" w:type="dxa"/>
          </w:tcPr>
          <w:p>
            <w:pPr>
              <w:pStyle w:val="21"/>
              <w:spacing w:line="228" w:lineRule="exact"/>
              <w:ind w:left="39"/>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w:t>
            </w:r>
          </w:p>
          <w:p>
            <w:pPr>
              <w:pStyle w:val="21"/>
              <w:spacing w:before="1" w:line="235" w:lineRule="auto"/>
              <w:ind w:left="39" w:right="31"/>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（变更）20 个工作日内</w:t>
            </w:r>
          </w:p>
        </w:tc>
        <w:tc>
          <w:tcPr>
            <w:tcW w:w="994" w:type="dxa"/>
          </w:tcPr>
          <w:p>
            <w:pPr>
              <w:pStyle w:val="21"/>
              <w:spacing w:line="235" w:lineRule="auto"/>
              <w:ind w:left="36" w:right="35"/>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区行政审批局</w:t>
            </w:r>
          </w:p>
        </w:tc>
        <w:tc>
          <w:tcPr>
            <w:tcW w:w="3382" w:type="dxa"/>
            <w:vAlign w:val="center"/>
          </w:tcPr>
          <w:p>
            <w:pPr>
              <w:pStyle w:val="21"/>
              <w:numPr>
                <w:ilvl w:val="0"/>
                <w:numId w:val="10"/>
              </w:numPr>
              <w:tabs>
                <w:tab w:val="left" w:pos="220"/>
                <w:tab w:val="left" w:pos="1483"/>
              </w:tabs>
              <w:spacing w:before="158" w:after="0" w:line="228" w:lineRule="exact"/>
              <w:ind w:left="219" w:right="0" w:hanging="182"/>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□政府公报</w:t>
            </w:r>
          </w:p>
          <w:p>
            <w:pPr>
              <w:pStyle w:val="21"/>
              <w:tabs>
                <w:tab w:val="left" w:pos="1483"/>
              </w:tabs>
              <w:spacing w:line="224"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□发布会/听证会</w:t>
            </w:r>
          </w:p>
          <w:p>
            <w:pPr>
              <w:pStyle w:val="21"/>
              <w:tabs>
                <w:tab w:val="left" w:pos="1483"/>
              </w:tabs>
              <w:spacing w:line="224"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□纸质媒体</w:t>
            </w:r>
          </w:p>
          <w:p>
            <w:pPr>
              <w:pStyle w:val="21"/>
              <w:tabs>
                <w:tab w:val="left" w:pos="1481"/>
              </w:tabs>
              <w:spacing w:line="226"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□政务服务中心</w:t>
            </w:r>
          </w:p>
          <w:p>
            <w:pPr>
              <w:pStyle w:val="21"/>
              <w:tabs>
                <w:tab w:val="left" w:pos="1481"/>
              </w:tabs>
              <w:spacing w:line="226"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□入户/现场</w:t>
            </w:r>
          </w:p>
          <w:p>
            <w:pPr>
              <w:pStyle w:val="21"/>
              <w:spacing w:line="224"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□社区/企事业单位/村公示栏（电子屏）</w:t>
            </w:r>
          </w:p>
          <w:p>
            <w:pPr>
              <w:pStyle w:val="21"/>
              <w:tabs>
                <w:tab w:val="left" w:pos="1483"/>
              </w:tabs>
              <w:spacing w:line="227" w:lineRule="exact"/>
              <w:ind w:left="38"/>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tab/>
            </w:r>
            <w:r>
              <w:rPr>
                <w:rFonts w:hint="eastAsia" w:ascii="仿宋_GB2312" w:hAnsi="仿宋_GB2312" w:eastAsia="仿宋_GB2312" w:cs="仿宋_GB2312"/>
                <w:color w:val="auto"/>
                <w:sz w:val="18"/>
                <w:szCs w:val="18"/>
                <w:highlight w:val="none"/>
              </w:rPr>
              <w:t>□其他_</w:t>
            </w: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33"/>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c>
          <w:tcPr>
            <w:tcW w:w="622" w:type="dxa"/>
          </w:tcPr>
          <w:p>
            <w:pPr>
              <w:pStyle w:val="21"/>
              <w:rPr>
                <w:rFonts w:hint="eastAsia" w:ascii="仿宋_GB2312" w:hAnsi="仿宋_GB2312" w:eastAsia="仿宋_GB2312" w:cs="仿宋_GB2312"/>
                <w:color w:val="auto"/>
                <w:sz w:val="18"/>
                <w:szCs w:val="18"/>
                <w:highlight w:val="none"/>
              </w:rPr>
            </w:pPr>
          </w:p>
          <w:p>
            <w:pPr>
              <w:pStyle w:val="21"/>
              <w:spacing w:before="5"/>
              <w:rPr>
                <w:rFonts w:hint="eastAsia" w:ascii="仿宋_GB2312" w:hAnsi="仿宋_GB2312" w:eastAsia="仿宋_GB2312" w:cs="仿宋_GB2312"/>
                <w:color w:val="auto"/>
                <w:sz w:val="18"/>
                <w:szCs w:val="18"/>
                <w:highlight w:val="none"/>
              </w:rPr>
            </w:pPr>
          </w:p>
          <w:p>
            <w:pPr>
              <w:pStyle w:val="21"/>
              <w:ind w:left="31"/>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22" w:type="dxa"/>
          </w:tcPr>
          <w:p>
            <w:pPr>
              <w:pStyle w:val="21"/>
              <w:rPr>
                <w:rFonts w:hint="eastAsia" w:ascii="仿宋_GB2312" w:hAnsi="仿宋_GB2312" w:eastAsia="仿宋_GB2312" w:cs="仿宋_GB2312"/>
                <w:color w:val="auto"/>
                <w:sz w:val="18"/>
                <w:szCs w:val="18"/>
                <w:highlight w:val="none"/>
              </w:rPr>
            </w:pPr>
          </w:p>
        </w:tc>
      </w:tr>
    </w:tbl>
    <w:p>
      <w:pPr>
        <w:rPr>
          <w:color w:val="auto"/>
          <w:highlight w:val="none"/>
        </w:rPr>
      </w:pPr>
    </w:p>
    <w:p>
      <w:pPr>
        <w:rPr>
          <w:color w:val="auto"/>
          <w:highlight w:val="none"/>
        </w:rPr>
      </w:pPr>
    </w:p>
    <w:p>
      <w:pPr>
        <w:rPr>
          <w:color w:val="auto"/>
          <w:highlight w:val="none"/>
        </w:rPr>
      </w:pPr>
      <w:r>
        <w:rPr>
          <w:color w:val="auto"/>
          <w:highlight w:val="none"/>
        </w:rPr>
        <w:br w:type="page"/>
      </w:r>
    </w:p>
    <w:p>
      <w:pPr>
        <w:pStyle w:val="2"/>
        <w:jc w:val="center"/>
        <w:rPr>
          <w:rFonts w:hint="eastAsia" w:ascii="黑体" w:hAnsi="黑体" w:eastAsia="黑体" w:cs="黑体"/>
          <w:b w:val="0"/>
          <w:bCs w:val="0"/>
          <w:color w:val="auto"/>
          <w:sz w:val="36"/>
          <w:szCs w:val="36"/>
          <w:highlight w:val="none"/>
        </w:rPr>
      </w:pPr>
      <w:bookmarkStart w:id="6" w:name="_Toc24724722"/>
      <w:r>
        <w:rPr>
          <w:rFonts w:hint="eastAsia" w:ascii="黑体" w:hAnsi="黑体" w:eastAsia="黑体" w:cs="黑体"/>
          <w:b w:val="0"/>
          <w:bCs w:val="0"/>
          <w:color w:val="auto"/>
          <w:sz w:val="36"/>
          <w:szCs w:val="36"/>
          <w:highlight w:val="none"/>
          <w:lang w:val="en-US" w:eastAsia="zh-CN"/>
        </w:rPr>
        <w:t>双台子区</w:t>
      </w:r>
      <w:r>
        <w:rPr>
          <w:rFonts w:hint="eastAsia" w:ascii="黑体" w:hAnsi="黑体" w:eastAsia="黑体" w:cs="黑体"/>
          <w:b w:val="0"/>
          <w:bCs w:val="0"/>
          <w:color w:val="auto"/>
          <w:sz w:val="36"/>
          <w:szCs w:val="36"/>
          <w:highlight w:val="none"/>
        </w:rPr>
        <w:t>涉农补贴领域基层政务公开标准目录</w:t>
      </w:r>
      <w:bookmarkEnd w:id="6"/>
    </w:p>
    <w:tbl>
      <w:tblPr>
        <w:tblStyle w:val="7"/>
        <w:tblW w:w="15156" w:type="dxa"/>
        <w:jc w:val="center"/>
        <w:tblLayout w:type="fixed"/>
        <w:tblCellMar>
          <w:top w:w="0" w:type="dxa"/>
          <w:left w:w="108" w:type="dxa"/>
          <w:bottom w:w="0" w:type="dxa"/>
          <w:right w:w="108" w:type="dxa"/>
        </w:tblCellMar>
      </w:tblPr>
      <w:tblGrid>
        <w:gridCol w:w="503"/>
        <w:gridCol w:w="714"/>
        <w:gridCol w:w="894"/>
        <w:gridCol w:w="2326"/>
        <w:gridCol w:w="2674"/>
        <w:gridCol w:w="1548"/>
        <w:gridCol w:w="969"/>
        <w:gridCol w:w="1597"/>
        <w:gridCol w:w="714"/>
        <w:gridCol w:w="704"/>
        <w:gridCol w:w="10"/>
        <w:gridCol w:w="537"/>
        <w:gridCol w:w="715"/>
        <w:gridCol w:w="714"/>
        <w:gridCol w:w="537"/>
      </w:tblGrid>
      <w:tr>
        <w:tblPrEx>
          <w:tblCellMar>
            <w:top w:w="0" w:type="dxa"/>
            <w:left w:w="108" w:type="dxa"/>
            <w:bottom w:w="0" w:type="dxa"/>
            <w:right w:w="108" w:type="dxa"/>
          </w:tblCellMar>
        </w:tblPrEx>
        <w:trPr>
          <w:cantSplit/>
          <w:trHeight w:val="599" w:hRule="atLeast"/>
          <w:tblHeader/>
          <w:jc w:val="center"/>
        </w:trPr>
        <w:tc>
          <w:tcPr>
            <w:tcW w:w="5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序号</w:t>
            </w:r>
          </w:p>
        </w:tc>
        <w:tc>
          <w:tcPr>
            <w:tcW w:w="160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公开事项</w:t>
            </w:r>
          </w:p>
        </w:tc>
        <w:tc>
          <w:tcPr>
            <w:tcW w:w="23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公开内容（要素）</w:t>
            </w:r>
          </w:p>
        </w:tc>
        <w:tc>
          <w:tcPr>
            <w:tcW w:w="26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公开依据</w:t>
            </w:r>
          </w:p>
        </w:tc>
        <w:tc>
          <w:tcPr>
            <w:tcW w:w="15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公开时限</w:t>
            </w:r>
          </w:p>
        </w:tc>
        <w:tc>
          <w:tcPr>
            <w:tcW w:w="9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公开主体</w:t>
            </w:r>
          </w:p>
        </w:tc>
        <w:tc>
          <w:tcPr>
            <w:tcW w:w="15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公开渠道</w:t>
            </w:r>
          </w:p>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和载体</w:t>
            </w:r>
          </w:p>
        </w:tc>
        <w:tc>
          <w:tcPr>
            <w:tcW w:w="141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公开对象</w:t>
            </w:r>
          </w:p>
        </w:tc>
        <w:tc>
          <w:tcPr>
            <w:tcW w:w="1262"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公开方式</w:t>
            </w:r>
          </w:p>
        </w:tc>
        <w:tc>
          <w:tcPr>
            <w:tcW w:w="1251"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公开层级</w:t>
            </w:r>
          </w:p>
        </w:tc>
      </w:tr>
      <w:tr>
        <w:tblPrEx>
          <w:tblCellMar>
            <w:top w:w="0" w:type="dxa"/>
            <w:left w:w="108" w:type="dxa"/>
            <w:bottom w:w="0" w:type="dxa"/>
            <w:right w:w="108" w:type="dxa"/>
          </w:tblCellMar>
        </w:tblPrEx>
        <w:trPr>
          <w:cantSplit/>
          <w:trHeight w:val="882" w:hRule="atLeast"/>
          <w:tblHeader/>
          <w:jc w:val="center"/>
        </w:trPr>
        <w:tc>
          <w:tcPr>
            <w:tcW w:w="50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p>
        </w:tc>
        <w:tc>
          <w:tcPr>
            <w:tcW w:w="71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一级事项</w:t>
            </w:r>
          </w:p>
        </w:tc>
        <w:tc>
          <w:tcPr>
            <w:tcW w:w="89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二级事项</w:t>
            </w:r>
          </w:p>
        </w:tc>
        <w:tc>
          <w:tcPr>
            <w:tcW w:w="23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p>
        </w:tc>
        <w:tc>
          <w:tcPr>
            <w:tcW w:w="26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p>
        </w:tc>
        <w:tc>
          <w:tcPr>
            <w:tcW w:w="15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p>
        </w:tc>
        <w:tc>
          <w:tcPr>
            <w:tcW w:w="15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p>
        </w:tc>
        <w:tc>
          <w:tcPr>
            <w:tcW w:w="71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全社会</w:t>
            </w:r>
          </w:p>
        </w:tc>
        <w:tc>
          <w:tcPr>
            <w:tcW w:w="70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特定群众</w:t>
            </w:r>
          </w:p>
        </w:tc>
        <w:tc>
          <w:tcPr>
            <w:tcW w:w="547"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主动</w:t>
            </w:r>
          </w:p>
        </w:tc>
        <w:tc>
          <w:tcPr>
            <w:tcW w:w="71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依申请公开</w:t>
            </w:r>
          </w:p>
        </w:tc>
        <w:tc>
          <w:tcPr>
            <w:tcW w:w="71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县级</w:t>
            </w:r>
          </w:p>
        </w:tc>
        <w:tc>
          <w:tcPr>
            <w:tcW w:w="537"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乡级</w:t>
            </w:r>
          </w:p>
        </w:tc>
      </w:tr>
      <w:tr>
        <w:tblPrEx>
          <w:tblCellMar>
            <w:top w:w="0" w:type="dxa"/>
            <w:left w:w="108" w:type="dxa"/>
            <w:bottom w:w="0" w:type="dxa"/>
            <w:right w:w="108" w:type="dxa"/>
          </w:tblCellMar>
        </w:tblPrEx>
        <w:trPr>
          <w:cantSplit/>
          <w:trHeight w:val="5029"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农业生产发展资金</w:t>
            </w:r>
          </w:p>
        </w:tc>
        <w:tc>
          <w:tcPr>
            <w:tcW w:w="89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农机购置补贴</w:t>
            </w:r>
          </w:p>
        </w:tc>
        <w:tc>
          <w:tcPr>
            <w:tcW w:w="2326"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●政策依据；</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●申请指南：包括补贴对象、补贴范围、补贴标准、申请程序、申请材料、咨询电话、受理单位、办理时限、联系方式等；</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●补贴结果；</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●监督渠道：包括举报电话、地址等。</w:t>
            </w:r>
          </w:p>
        </w:tc>
        <w:tc>
          <w:tcPr>
            <w:tcW w:w="2674"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《中华人民共和国农业机械化促进法》（中华人民共和国主席令 第十六号）、《农业生产发展资金管理办法》（财农﹝2017﹞41号）、《2018-2020年农机购置补贴实施指导意见》（农办财﹝2018﹞13号）、《辽宁省农业农村厅辽宁省财政厅关于印发2018-2020年农机购置补贴实施方案的通知》（辽农机﹝2018﹞90号）、《</w:t>
            </w:r>
            <w:r>
              <w:rPr>
                <w:rFonts w:hint="eastAsia" w:ascii="仿宋_GB2312" w:hAnsi="仿宋_GB2312" w:eastAsia="仿宋_GB2312" w:cs="仿宋_GB2312"/>
                <w:color w:val="auto"/>
                <w:sz w:val="18"/>
                <w:szCs w:val="18"/>
                <w:highlight w:val="none"/>
                <w:lang w:eastAsia="zh-CN"/>
              </w:rPr>
              <w:t>盘锦市双台子区农机事业管理总站</w:t>
            </w:r>
            <w:r>
              <w:rPr>
                <w:rFonts w:hint="eastAsia" w:ascii="仿宋_GB2312" w:hAnsi="仿宋_GB2312" w:eastAsia="仿宋_GB2312" w:cs="仿宋_GB2312"/>
                <w:color w:val="auto"/>
                <w:sz w:val="18"/>
                <w:szCs w:val="18"/>
                <w:highlight w:val="none"/>
                <w:lang w:val="en-US" w:eastAsia="zh-CN"/>
              </w:rPr>
              <w:t xml:space="preserve"> 盘锦市双台子区</w:t>
            </w:r>
            <w:r>
              <w:rPr>
                <w:rFonts w:hint="eastAsia" w:ascii="仿宋_GB2312" w:hAnsi="仿宋_GB2312" w:eastAsia="仿宋_GB2312" w:cs="仿宋_GB2312"/>
                <w:color w:val="auto"/>
                <w:sz w:val="18"/>
                <w:szCs w:val="18"/>
                <w:highlight w:val="none"/>
              </w:rPr>
              <w:t>财政局关于印发</w:t>
            </w:r>
            <w:r>
              <w:rPr>
                <w:rFonts w:hint="eastAsia" w:ascii="仿宋_GB2312" w:hAnsi="仿宋_GB2312" w:eastAsia="仿宋_GB2312" w:cs="仿宋_GB2312"/>
                <w:color w:val="auto"/>
                <w:sz w:val="18"/>
                <w:szCs w:val="18"/>
                <w:highlight w:val="none"/>
                <w:lang w:eastAsia="zh-CN"/>
              </w:rPr>
              <w:t>双台子区</w:t>
            </w:r>
            <w:r>
              <w:rPr>
                <w:rFonts w:hint="eastAsia" w:ascii="仿宋_GB2312" w:hAnsi="仿宋_GB2312" w:eastAsia="仿宋_GB2312" w:cs="仿宋_GB2312"/>
                <w:color w:val="auto"/>
                <w:sz w:val="18"/>
                <w:szCs w:val="18"/>
                <w:highlight w:val="none"/>
              </w:rPr>
              <w:t>2018年-2020年农机购置补贴实施方案的通知》（</w:t>
            </w:r>
            <w:r>
              <w:rPr>
                <w:rFonts w:hint="eastAsia" w:ascii="仿宋_GB2312" w:hAnsi="仿宋_GB2312" w:eastAsia="仿宋_GB2312" w:cs="仿宋_GB2312"/>
                <w:color w:val="auto"/>
                <w:sz w:val="18"/>
                <w:szCs w:val="18"/>
                <w:highlight w:val="none"/>
                <w:lang w:eastAsia="zh-CN"/>
              </w:rPr>
              <w:t>大机发</w:t>
            </w:r>
            <w:r>
              <w:rPr>
                <w:rFonts w:hint="eastAsia" w:ascii="仿宋_GB2312" w:hAnsi="仿宋_GB2312" w:eastAsia="仿宋_GB2312" w:cs="仿宋_GB2312"/>
                <w:color w:val="auto"/>
                <w:sz w:val="18"/>
                <w:szCs w:val="18"/>
                <w:highlight w:val="none"/>
              </w:rPr>
              <w:t>﹝2018﹞</w:t>
            </w:r>
            <w:r>
              <w:rPr>
                <w:rFonts w:hint="eastAsia" w:ascii="仿宋_GB2312" w:hAnsi="仿宋_GB2312" w:eastAsia="仿宋_GB2312" w:cs="仿宋_GB2312"/>
                <w:color w:val="auto"/>
                <w:sz w:val="18"/>
                <w:szCs w:val="18"/>
                <w:highlight w:val="none"/>
                <w:lang w:val="en-US" w:eastAsia="zh-CN"/>
              </w:rPr>
              <w:t>30</w:t>
            </w:r>
            <w:r>
              <w:rPr>
                <w:rFonts w:hint="eastAsia" w:ascii="仿宋_GB2312" w:hAnsi="仿宋_GB2312" w:eastAsia="仿宋_GB2312" w:cs="仿宋_GB2312"/>
                <w:color w:val="auto"/>
                <w:sz w:val="18"/>
                <w:szCs w:val="18"/>
                <w:highlight w:val="none"/>
              </w:rPr>
              <w:t>号）</w:t>
            </w:r>
          </w:p>
        </w:tc>
        <w:tc>
          <w:tcPr>
            <w:tcW w:w="1548"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自政府信息形成或者变更之日起20个工作日内。法律、法规对政府信息公开的期限另有规定的，从其规定</w:t>
            </w:r>
          </w:p>
        </w:tc>
        <w:tc>
          <w:tcPr>
            <w:tcW w:w="96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区农业农村局</w:t>
            </w:r>
          </w:p>
          <w:p>
            <w:pPr>
              <w:spacing w:line="240" w:lineRule="exact"/>
              <w:rPr>
                <w:rFonts w:hint="eastAsia" w:ascii="仿宋_GB2312" w:hAnsi="仿宋_GB2312" w:eastAsia="仿宋_GB2312" w:cs="仿宋_GB2312"/>
                <w:color w:val="auto"/>
                <w:sz w:val="18"/>
                <w:szCs w:val="18"/>
                <w:highlight w:val="none"/>
              </w:rPr>
            </w:pP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□政府公报</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□发布会/听证会</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□纸质媒体</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□政务服务中心</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□入户/现场</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□社区/企事业单位/村公示栏（电子屏）</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□其他</w:t>
            </w: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4"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5"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cantSplit/>
          <w:trHeight w:val="5160"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农业生产发展资金</w:t>
            </w:r>
          </w:p>
        </w:tc>
        <w:tc>
          <w:tcPr>
            <w:tcW w:w="89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耕地地力保护</w:t>
            </w:r>
          </w:p>
        </w:tc>
        <w:tc>
          <w:tcPr>
            <w:tcW w:w="2326"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●政策依据；</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●申请指南：包括补贴对象、补贴范围、补贴标准、申请程序、申请材料、咨询电话、受理单位、办理时限、联系方式等；</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●补贴结果；</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●监督渠道：包括举报电话、地址等。</w:t>
            </w:r>
          </w:p>
        </w:tc>
        <w:tc>
          <w:tcPr>
            <w:tcW w:w="2674"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《农业生产发展资金管理办法》（财农﹝2017﹞41号）、《财政部 农业部关于全面推开农业“三项补贴”改革工作的通知》（财农﹝2016﹞26号）、辽宁省农业农村厅 辽宁省财政厅《关于印发辽宁省耕地地力保护补贴实施方案的通知》（辽农农﹝2020﹞44号）、</w:t>
            </w:r>
            <w:r>
              <w:rPr>
                <w:rFonts w:hint="eastAsia" w:ascii="仿宋_GB2312" w:hAnsi="仿宋_GB2312" w:eastAsia="仿宋_GB2312" w:cs="仿宋_GB2312"/>
                <w:color w:val="auto"/>
                <w:sz w:val="18"/>
                <w:szCs w:val="18"/>
                <w:highlight w:val="none"/>
                <w:lang w:eastAsia="zh-CN"/>
              </w:rPr>
              <w:t>盘锦市双台子区</w:t>
            </w:r>
            <w:r>
              <w:rPr>
                <w:rFonts w:hint="eastAsia" w:ascii="仿宋_GB2312" w:hAnsi="仿宋_GB2312" w:eastAsia="仿宋_GB2312" w:cs="仿宋_GB2312"/>
                <w:color w:val="auto"/>
                <w:sz w:val="18"/>
                <w:szCs w:val="18"/>
                <w:highlight w:val="none"/>
              </w:rPr>
              <w:t xml:space="preserve">农业农村局 </w:t>
            </w:r>
            <w:r>
              <w:rPr>
                <w:rFonts w:hint="eastAsia" w:ascii="仿宋_GB2312" w:hAnsi="仿宋_GB2312" w:eastAsia="仿宋_GB2312" w:cs="仿宋_GB2312"/>
                <w:color w:val="auto"/>
                <w:sz w:val="18"/>
                <w:szCs w:val="18"/>
                <w:highlight w:val="none"/>
                <w:lang w:eastAsia="zh-CN"/>
              </w:rPr>
              <w:t>盘锦</w:t>
            </w:r>
            <w:r>
              <w:rPr>
                <w:rFonts w:hint="eastAsia" w:ascii="仿宋_GB2312" w:hAnsi="仿宋_GB2312" w:eastAsia="仿宋_GB2312" w:cs="仿宋_GB2312"/>
                <w:color w:val="auto"/>
                <w:sz w:val="18"/>
                <w:szCs w:val="18"/>
                <w:highlight w:val="none"/>
              </w:rPr>
              <w:t>市</w:t>
            </w:r>
            <w:r>
              <w:rPr>
                <w:rFonts w:hint="eastAsia" w:ascii="仿宋_GB2312" w:hAnsi="仿宋_GB2312" w:eastAsia="仿宋_GB2312" w:cs="仿宋_GB2312"/>
                <w:color w:val="auto"/>
                <w:sz w:val="18"/>
                <w:szCs w:val="18"/>
                <w:highlight w:val="none"/>
                <w:lang w:eastAsia="zh-CN"/>
              </w:rPr>
              <w:t>双台子区</w:t>
            </w:r>
            <w:r>
              <w:rPr>
                <w:rFonts w:hint="eastAsia" w:ascii="仿宋_GB2312" w:hAnsi="仿宋_GB2312" w:eastAsia="仿宋_GB2312" w:cs="仿宋_GB2312"/>
                <w:color w:val="auto"/>
                <w:sz w:val="18"/>
                <w:szCs w:val="18"/>
                <w:highlight w:val="none"/>
              </w:rPr>
              <w:t>财政局《盘锦市</w:t>
            </w:r>
            <w:r>
              <w:rPr>
                <w:rFonts w:hint="eastAsia" w:ascii="仿宋_GB2312" w:hAnsi="仿宋_GB2312" w:eastAsia="仿宋_GB2312" w:cs="仿宋_GB2312"/>
                <w:color w:val="auto"/>
                <w:sz w:val="18"/>
                <w:szCs w:val="18"/>
                <w:highlight w:val="none"/>
                <w:lang w:eastAsia="zh-CN"/>
              </w:rPr>
              <w:t>双台子区</w:t>
            </w:r>
            <w:r>
              <w:rPr>
                <w:rFonts w:hint="eastAsia" w:ascii="仿宋_GB2312" w:hAnsi="仿宋_GB2312" w:eastAsia="仿宋_GB2312" w:cs="仿宋_GB2312"/>
                <w:color w:val="auto"/>
                <w:sz w:val="18"/>
                <w:szCs w:val="18"/>
                <w:highlight w:val="none"/>
              </w:rPr>
              <w:t>关于2020年耕地地力保护补贴工作的实施方案》（大农发</w:t>
            </w:r>
            <w:r>
              <w:rPr>
                <w:rFonts w:hint="eastAsia" w:ascii="仿宋_GB2312" w:hAnsi="仿宋_GB2312" w:eastAsia="仿宋_GB2312" w:cs="仿宋_GB2312"/>
                <w:color w:val="auto"/>
                <w:sz w:val="18"/>
                <w:szCs w:val="18"/>
                <w:highlight w:val="none"/>
                <w:lang w:val="en-US" w:eastAsia="zh-CN"/>
              </w:rPr>
              <w:t>[</w:t>
            </w:r>
            <w:r>
              <w:rPr>
                <w:rFonts w:hint="eastAsia" w:ascii="仿宋_GB2312" w:hAnsi="仿宋_GB2312" w:eastAsia="仿宋_GB2312" w:cs="仿宋_GB2312"/>
                <w:color w:val="auto"/>
                <w:sz w:val="18"/>
                <w:szCs w:val="18"/>
                <w:highlight w:val="none"/>
              </w:rPr>
              <w:t>20</w:t>
            </w:r>
            <w:r>
              <w:rPr>
                <w:rFonts w:hint="eastAsia" w:ascii="仿宋_GB2312" w:hAnsi="仿宋_GB2312" w:eastAsia="仿宋_GB2312" w:cs="仿宋_GB2312"/>
                <w:color w:val="auto"/>
                <w:sz w:val="18"/>
                <w:szCs w:val="18"/>
                <w:highlight w:val="none"/>
                <w:lang w:val="en-US" w:eastAsia="zh-CN"/>
              </w:rPr>
              <w:t>20]147</w:t>
            </w:r>
            <w:r>
              <w:rPr>
                <w:rFonts w:hint="eastAsia" w:ascii="仿宋_GB2312" w:hAnsi="仿宋_GB2312" w:eastAsia="仿宋_GB2312" w:cs="仿宋_GB2312"/>
                <w:color w:val="auto"/>
                <w:sz w:val="18"/>
                <w:szCs w:val="18"/>
                <w:highlight w:val="none"/>
              </w:rPr>
              <w:t>号 ）</w:t>
            </w:r>
          </w:p>
        </w:tc>
        <w:tc>
          <w:tcPr>
            <w:tcW w:w="1548"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自政府信息形成或者变更之日起20个工作日内。法律、法规对政府信息公开的期限另有规定的，从其规定</w:t>
            </w:r>
          </w:p>
        </w:tc>
        <w:tc>
          <w:tcPr>
            <w:tcW w:w="96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区农业农村局</w:t>
            </w:r>
          </w:p>
          <w:p>
            <w:pPr>
              <w:spacing w:line="240" w:lineRule="exact"/>
              <w:rPr>
                <w:rFonts w:hint="eastAsia" w:ascii="仿宋_GB2312" w:hAnsi="仿宋_GB2312" w:eastAsia="仿宋_GB2312" w:cs="仿宋_GB2312"/>
                <w:color w:val="auto"/>
                <w:sz w:val="18"/>
                <w:szCs w:val="18"/>
                <w:highlight w:val="none"/>
              </w:rPr>
            </w:pP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□政府公报</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□发布会/听证会</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□纸质媒体</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□政务服务中心</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□入户/现场</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□社区/企事业单位/村公示栏（电子屏）</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□其他</w:t>
            </w: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4"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5"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cantSplit/>
          <w:trHeight w:val="5160"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农业生产发展资金</w:t>
            </w:r>
          </w:p>
        </w:tc>
        <w:tc>
          <w:tcPr>
            <w:tcW w:w="89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新型职业农民培育</w:t>
            </w:r>
          </w:p>
        </w:tc>
        <w:tc>
          <w:tcPr>
            <w:tcW w:w="2326"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●政策依据；</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●申请指南：包括补贴对象、补贴范围、补贴标准、申请程序、申请材料、咨询电话、受理单位、办理时限、联系方式等；</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●补贴结果；</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●监督渠道：包括举报电话、地址等。</w:t>
            </w:r>
          </w:p>
          <w:p>
            <w:pPr>
              <w:spacing w:line="240" w:lineRule="exact"/>
              <w:rPr>
                <w:rFonts w:hint="eastAsia" w:ascii="仿宋_GB2312" w:hAnsi="仿宋_GB2312" w:eastAsia="仿宋_GB2312" w:cs="仿宋_GB2312"/>
                <w:color w:val="auto"/>
                <w:sz w:val="18"/>
                <w:szCs w:val="18"/>
                <w:highlight w:val="none"/>
              </w:rPr>
            </w:pPr>
          </w:p>
          <w:p>
            <w:pPr>
              <w:spacing w:line="240" w:lineRule="exact"/>
              <w:rPr>
                <w:rFonts w:hint="eastAsia" w:ascii="仿宋_GB2312" w:hAnsi="仿宋_GB2312" w:eastAsia="仿宋_GB2312" w:cs="仿宋_GB2312"/>
                <w:color w:val="auto"/>
                <w:sz w:val="18"/>
                <w:szCs w:val="18"/>
                <w:highlight w:val="none"/>
              </w:rPr>
            </w:pPr>
          </w:p>
          <w:p>
            <w:pPr>
              <w:spacing w:line="240" w:lineRule="exact"/>
              <w:rPr>
                <w:rFonts w:hint="eastAsia" w:ascii="仿宋_GB2312" w:hAnsi="仿宋_GB2312" w:eastAsia="仿宋_GB2312" w:cs="仿宋_GB2312"/>
                <w:color w:val="auto"/>
                <w:sz w:val="18"/>
                <w:szCs w:val="18"/>
                <w:highlight w:val="none"/>
              </w:rPr>
            </w:pPr>
          </w:p>
        </w:tc>
        <w:tc>
          <w:tcPr>
            <w:tcW w:w="2674"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共中央办公厅国务院办公厅关于引导农村土地经营权有序流转发展农业适度规模经营的意见》、《国务院办公厅关于支持返乡下乡人员创业创新促进农村一二三产业融合发展的意见》（国办发﹝2016﹞84号）、《农业生产发展资金管理办法》（财农﹝2017﹞41号）、《“十三五”全国 新型职业农民培育发展规划》（农科教发﹝2017﹞2号）</w:t>
            </w:r>
          </w:p>
        </w:tc>
        <w:tc>
          <w:tcPr>
            <w:tcW w:w="1548"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自政府信息形成或者变更之日起20个工作日内。法律、法规对政府信息公开的期限另有规定的，从其规定</w:t>
            </w:r>
          </w:p>
        </w:tc>
        <w:tc>
          <w:tcPr>
            <w:tcW w:w="96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区农业农村局</w:t>
            </w:r>
          </w:p>
          <w:p>
            <w:pPr>
              <w:spacing w:line="240" w:lineRule="exact"/>
              <w:rPr>
                <w:rFonts w:hint="eastAsia" w:ascii="仿宋_GB2312" w:hAnsi="仿宋_GB2312" w:eastAsia="仿宋_GB2312" w:cs="仿宋_GB2312"/>
                <w:color w:val="auto"/>
                <w:sz w:val="18"/>
                <w:szCs w:val="18"/>
                <w:highlight w:val="none"/>
              </w:rPr>
            </w:pP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□政府公报</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□发布会/听证会</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□纸质媒体</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□政务服务中心</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□入户/现场</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□社区/企事业单位/村公示栏（电子屏）</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□其他</w:t>
            </w: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4"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5"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cantSplit/>
          <w:trHeight w:val="4707"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71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农业生产发展资金</w:t>
            </w:r>
          </w:p>
        </w:tc>
        <w:tc>
          <w:tcPr>
            <w:tcW w:w="89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支持新型农业经营主体</w:t>
            </w:r>
          </w:p>
        </w:tc>
        <w:tc>
          <w:tcPr>
            <w:tcW w:w="2326"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●政策依据；</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●申请指南：包括补贴对象、补贴范围、补贴标准、申请程序、申请材料、咨询电话、受理单位、办理时限、联系方式等；</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●补贴结果；</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●监督渠道：包括举报电话、地址等。</w:t>
            </w:r>
          </w:p>
          <w:p>
            <w:pPr>
              <w:spacing w:line="240" w:lineRule="exact"/>
              <w:rPr>
                <w:rFonts w:hint="eastAsia" w:ascii="仿宋_GB2312" w:hAnsi="仿宋_GB2312" w:eastAsia="仿宋_GB2312" w:cs="仿宋_GB2312"/>
                <w:color w:val="auto"/>
                <w:sz w:val="18"/>
                <w:szCs w:val="18"/>
                <w:highlight w:val="none"/>
              </w:rPr>
            </w:pPr>
          </w:p>
          <w:p>
            <w:pPr>
              <w:spacing w:line="240" w:lineRule="exact"/>
              <w:rPr>
                <w:rFonts w:hint="eastAsia" w:ascii="仿宋_GB2312" w:hAnsi="仿宋_GB2312" w:eastAsia="仿宋_GB2312" w:cs="仿宋_GB2312"/>
                <w:color w:val="auto"/>
                <w:sz w:val="18"/>
                <w:szCs w:val="18"/>
                <w:highlight w:val="none"/>
              </w:rPr>
            </w:pPr>
          </w:p>
        </w:tc>
        <w:tc>
          <w:tcPr>
            <w:tcW w:w="2674"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《农业生产发展资金管理办法》（财农﹝2017﹞41号）《辽宁省农业农村厅辽宁省财政厅关于印发2019年中央财政农业生产发展等项目实施方案的通知》（辽农财﹝2019﹞179号）</w:t>
            </w:r>
          </w:p>
        </w:tc>
        <w:tc>
          <w:tcPr>
            <w:tcW w:w="1548"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自政府信息形成或者变更之日起20个工作日内。法律、法规对政府信息公开的期限另有规定的，从其规定</w:t>
            </w:r>
          </w:p>
        </w:tc>
        <w:tc>
          <w:tcPr>
            <w:tcW w:w="96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区农业农村局</w:t>
            </w:r>
          </w:p>
          <w:p>
            <w:pPr>
              <w:spacing w:line="240" w:lineRule="exact"/>
              <w:rPr>
                <w:rFonts w:hint="eastAsia" w:ascii="仿宋_GB2312" w:hAnsi="仿宋_GB2312" w:eastAsia="仿宋_GB2312" w:cs="仿宋_GB2312"/>
                <w:color w:val="auto"/>
                <w:sz w:val="18"/>
                <w:szCs w:val="18"/>
                <w:highlight w:val="none"/>
              </w:rPr>
            </w:pP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□政府公报</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□发布会/听证会</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□纸质媒体</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□政务服务中心</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□入户/现场</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□社区/企事业单位/村公示栏（电子屏）</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□其他</w:t>
            </w: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4"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5"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cantSplit/>
          <w:trHeight w:val="4707" w:hRule="atLeast"/>
          <w:jc w:val="center"/>
        </w:trPr>
        <w:tc>
          <w:tcPr>
            <w:tcW w:w="50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val="en-US" w:eastAsia="zh-CN"/>
              </w:rPr>
              <w:t>5</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农业生产发展资金</w:t>
            </w:r>
          </w:p>
        </w:tc>
        <w:tc>
          <w:tcPr>
            <w:tcW w:w="89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玉米</w:t>
            </w:r>
            <w:r>
              <w:rPr>
                <w:rFonts w:hint="eastAsia" w:ascii="仿宋_GB2312" w:hAnsi="仿宋_GB2312" w:eastAsia="仿宋_GB2312" w:cs="仿宋_GB2312"/>
                <w:color w:val="auto"/>
                <w:sz w:val="18"/>
                <w:szCs w:val="18"/>
                <w:highlight w:val="none"/>
                <w:lang w:eastAsia="zh-CN"/>
              </w:rPr>
              <w:t>、大豆和稻谷</w:t>
            </w:r>
            <w:r>
              <w:rPr>
                <w:rFonts w:hint="eastAsia" w:ascii="仿宋_GB2312" w:hAnsi="仿宋_GB2312" w:eastAsia="仿宋_GB2312" w:cs="仿宋_GB2312"/>
                <w:color w:val="auto"/>
                <w:sz w:val="18"/>
                <w:szCs w:val="18"/>
                <w:highlight w:val="none"/>
              </w:rPr>
              <w:t>生产者补贴</w:t>
            </w:r>
          </w:p>
        </w:tc>
        <w:tc>
          <w:tcPr>
            <w:tcW w:w="2326"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●申请指南：包括补贴对象、补贴范围、补贴标准、申请程序、申请材料、咨询电话、受理单位、办理时限、联系方式等；</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●补贴结果；</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●监督渠道：包括举报电话、地址等。</w:t>
            </w:r>
          </w:p>
        </w:tc>
        <w:tc>
          <w:tcPr>
            <w:tcW w:w="2674"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《财政部关于建立玉米生产者补贴制度的实施意见》（财建﹝2016﹞278号）、《关于印发辽宁省统筹玉米和大豆生产者补贴政策实施方案的通知》（辽财经﹝2016﹞261号）</w:t>
            </w:r>
            <w:r>
              <w:rPr>
                <w:rFonts w:hint="eastAsia" w:ascii="仿宋_GB2312" w:hAnsi="仿宋_GB2312" w:eastAsia="仿宋_GB2312" w:cs="仿宋_GB2312"/>
                <w:color w:val="auto"/>
                <w:sz w:val="18"/>
                <w:szCs w:val="18"/>
                <w:highlight w:val="none"/>
                <w:lang w:eastAsia="zh-CN"/>
              </w:rPr>
              <w:t>、《关于印发辽宁省稻谷生产者补贴政策实施方案》（辽财经</w:t>
            </w:r>
            <w:r>
              <w:rPr>
                <w:rFonts w:hint="eastAsia" w:ascii="仿宋_GB2312" w:hAnsi="仿宋_GB2312" w:eastAsia="仿宋_GB2312" w:cs="仿宋_GB2312"/>
                <w:color w:val="auto"/>
                <w:sz w:val="18"/>
                <w:szCs w:val="18"/>
                <w:highlight w:val="none"/>
              </w:rPr>
              <w:t>﹝201</w:t>
            </w:r>
            <w:r>
              <w:rPr>
                <w:rFonts w:hint="eastAsia" w:ascii="仿宋_GB2312" w:hAnsi="仿宋_GB2312" w:eastAsia="仿宋_GB2312" w:cs="仿宋_GB2312"/>
                <w:color w:val="auto"/>
                <w:sz w:val="18"/>
                <w:szCs w:val="18"/>
                <w:highlight w:val="none"/>
                <w:lang w:val="en-US" w:eastAsia="zh-CN"/>
              </w:rPr>
              <w:t>8</w:t>
            </w: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sz w:val="18"/>
                <w:szCs w:val="18"/>
                <w:highlight w:val="none"/>
                <w:lang w:val="en-US" w:eastAsia="zh-CN"/>
              </w:rPr>
              <w:t>639</w:t>
            </w:r>
            <w:r>
              <w:rPr>
                <w:rFonts w:hint="eastAsia" w:ascii="仿宋_GB2312" w:hAnsi="仿宋_GB2312" w:eastAsia="仿宋_GB2312" w:cs="仿宋_GB2312"/>
                <w:color w:val="auto"/>
                <w:sz w:val="18"/>
                <w:szCs w:val="18"/>
                <w:highlight w:val="none"/>
              </w:rPr>
              <w:t>号</w:t>
            </w:r>
            <w:r>
              <w:rPr>
                <w:rFonts w:hint="eastAsia" w:ascii="仿宋_GB2312" w:hAnsi="仿宋_GB2312" w:eastAsia="仿宋_GB2312" w:cs="仿宋_GB2312"/>
                <w:color w:val="auto"/>
                <w:sz w:val="18"/>
                <w:szCs w:val="18"/>
                <w:highlight w:val="none"/>
                <w:lang w:eastAsia="zh-CN"/>
              </w:rPr>
              <w:t>）</w:t>
            </w:r>
          </w:p>
        </w:tc>
        <w:tc>
          <w:tcPr>
            <w:tcW w:w="1548"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自政府信息形成或者变更之日起20个工作日内。法律、法规对政府信息公开的期限另有规定的，从其规定</w:t>
            </w:r>
          </w:p>
        </w:tc>
        <w:tc>
          <w:tcPr>
            <w:tcW w:w="96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区农业农村局</w:t>
            </w:r>
          </w:p>
          <w:p>
            <w:pPr>
              <w:spacing w:line="240" w:lineRule="exact"/>
              <w:rPr>
                <w:rFonts w:hint="eastAsia" w:ascii="仿宋_GB2312" w:hAnsi="仿宋_GB2312" w:eastAsia="仿宋_GB2312" w:cs="仿宋_GB2312"/>
                <w:color w:val="auto"/>
                <w:sz w:val="18"/>
                <w:szCs w:val="18"/>
                <w:highlight w:val="none"/>
                <w:lang w:val="en-US" w:eastAsia="zh-CN"/>
              </w:rPr>
            </w:pPr>
          </w:p>
        </w:tc>
        <w:tc>
          <w:tcPr>
            <w:tcW w:w="1597"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□政府公报</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□发布会/听证会</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□纸质媒体</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□政务服务中心</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□入户/现场</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□社区/企事业单位/村公示栏（电子屏）</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□精准推送</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□其他</w:t>
            </w: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4"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5"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cantSplit/>
          <w:trHeight w:val="4976" w:hRule="atLeast"/>
          <w:jc w:val="center"/>
        </w:trPr>
        <w:tc>
          <w:tcPr>
            <w:tcW w:w="503" w:type="dxa"/>
            <w:tcBorders>
              <w:top w:val="single" w:color="auto" w:sz="4" w:space="0"/>
              <w:left w:val="single" w:color="auto" w:sz="4" w:space="0"/>
              <w:bottom w:val="single" w:color="000000"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val="en-US" w:eastAsia="zh-CN"/>
              </w:rPr>
              <w:t>6</w:t>
            </w:r>
          </w:p>
        </w:tc>
        <w:tc>
          <w:tcPr>
            <w:tcW w:w="7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农业生产发展资金</w:t>
            </w:r>
          </w:p>
        </w:tc>
        <w:tc>
          <w:tcPr>
            <w:tcW w:w="894"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种植结构调整补贴</w:t>
            </w:r>
          </w:p>
        </w:tc>
        <w:tc>
          <w:tcPr>
            <w:tcW w:w="2326"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●政策依据；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●申请指南：包括补贴对象、补贴范围、补贴标准、申请程序、申请材料、咨询电话、受理单位、办理时限、联系方式等；</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●补贴结果；</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●监督渠道：包括举报电话、地址等。</w:t>
            </w:r>
          </w:p>
        </w:tc>
        <w:tc>
          <w:tcPr>
            <w:tcW w:w="2674"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《财政部关于建立玉米生产者补贴制度的实施意见》（财建﹝2016﹞278号）、《关于印发辽宁省统筹玉米和大豆生产者补贴政策实施方案的通知》（辽财经﹝2017﹞261号）</w:t>
            </w:r>
          </w:p>
        </w:tc>
        <w:tc>
          <w:tcPr>
            <w:tcW w:w="1548"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自政府信息形成或者变更之日起20个工作日内。法律、法规对政府信息公开的期限另有规定的，从其规定</w:t>
            </w:r>
          </w:p>
        </w:tc>
        <w:tc>
          <w:tcPr>
            <w:tcW w:w="969"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区农业农村局</w:t>
            </w:r>
          </w:p>
        </w:tc>
        <w:tc>
          <w:tcPr>
            <w:tcW w:w="1597" w:type="dxa"/>
            <w:tcBorders>
              <w:top w:val="single" w:color="auto" w:sz="4" w:space="0"/>
              <w:left w:val="nil"/>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□政府公报</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□两微一端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□发布会/听证会</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□广播电视</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□纸质媒体</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□公开查阅点</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□政务服务中心</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□便民服务站</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□入户/现场</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□社区/企事业单位/村公示栏（电子屏）</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□精准推送</w:t>
            </w: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4" w:type="dxa"/>
            <w:gridSpan w:val="2"/>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715"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c>
          <w:tcPr>
            <w:tcW w:w="714"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37" w:type="dxa"/>
            <w:tcBorders>
              <w:top w:val="single" w:color="auto" w:sz="4" w:space="0"/>
              <w:left w:val="nil"/>
              <w:bottom w:val="single" w:color="auto" w:sz="4" w:space="0"/>
              <w:right w:val="single" w:color="auto" w:sz="4" w:space="0"/>
            </w:tcBorders>
            <w:noWrap/>
            <w:vAlign w:val="center"/>
          </w:tcPr>
          <w:p>
            <w:pPr>
              <w:jc w:val="center"/>
              <w:rPr>
                <w:rFonts w:hint="eastAsia" w:ascii="仿宋_GB2312" w:hAnsi="仿宋_GB2312" w:eastAsia="仿宋_GB2312" w:cs="仿宋_GB2312"/>
                <w:color w:val="auto"/>
                <w:sz w:val="18"/>
                <w:szCs w:val="18"/>
                <w:highlight w:val="none"/>
              </w:rPr>
            </w:pPr>
          </w:p>
        </w:tc>
      </w:tr>
    </w:tbl>
    <w:p>
      <w:pPr>
        <w:jc w:val="left"/>
        <w:rPr>
          <w:rFonts w:hint="eastAsia" w:ascii="Times New Roman" w:hAnsi="Times New Roman" w:eastAsia="方正小标宋_GBK"/>
          <w:color w:val="auto"/>
          <w:sz w:val="28"/>
          <w:szCs w:val="28"/>
          <w:highlight w:val="none"/>
        </w:rPr>
      </w:pPr>
    </w:p>
    <w:p>
      <w:pPr>
        <w:jc w:val="left"/>
        <w:rPr>
          <w:rFonts w:hint="eastAsia" w:ascii="Times New Roman" w:hAnsi="Times New Roman" w:eastAsia="方正小标宋_GBK"/>
          <w:color w:val="auto"/>
          <w:sz w:val="28"/>
          <w:szCs w:val="28"/>
          <w:highlight w:val="none"/>
        </w:rPr>
      </w:pPr>
    </w:p>
    <w:p>
      <w:pPr>
        <w:rPr>
          <w:rFonts w:hint="eastAsia" w:ascii="Times New Roman" w:hAnsi="Times New Roman" w:eastAsia="方正小标宋_GBK"/>
          <w:color w:val="auto"/>
          <w:sz w:val="28"/>
          <w:szCs w:val="28"/>
          <w:highlight w:val="none"/>
        </w:rPr>
      </w:pPr>
      <w:r>
        <w:rPr>
          <w:rFonts w:hint="eastAsia" w:ascii="Times New Roman" w:hAnsi="Times New Roman" w:eastAsia="方正小标宋_GBK"/>
          <w:color w:val="auto"/>
          <w:sz w:val="28"/>
          <w:szCs w:val="28"/>
          <w:highlight w:val="none"/>
        </w:rPr>
        <w:br w:type="page"/>
      </w:r>
    </w:p>
    <w:p>
      <w:pPr>
        <w:pStyle w:val="2"/>
        <w:spacing w:line="240" w:lineRule="auto"/>
        <w:jc w:val="center"/>
        <w:rPr>
          <w:rFonts w:hint="eastAsia" w:ascii="黑体" w:hAnsi="黑体" w:eastAsia="黑体" w:cs="黑体"/>
          <w:b w:val="0"/>
          <w:bCs w:val="0"/>
          <w:color w:val="auto"/>
          <w:sz w:val="36"/>
          <w:szCs w:val="36"/>
          <w:highlight w:val="none"/>
        </w:rPr>
      </w:pPr>
      <w:bookmarkStart w:id="7" w:name="_Toc24724723"/>
      <w:r>
        <w:rPr>
          <w:rFonts w:hint="eastAsia" w:ascii="黑体" w:hAnsi="黑体" w:eastAsia="黑体" w:cs="黑体"/>
          <w:b w:val="0"/>
          <w:bCs w:val="0"/>
          <w:color w:val="auto"/>
          <w:sz w:val="36"/>
          <w:szCs w:val="36"/>
          <w:highlight w:val="none"/>
          <w:lang w:val="en-US" w:eastAsia="zh-CN"/>
        </w:rPr>
        <w:t>双台子</w:t>
      </w:r>
      <w:r>
        <w:rPr>
          <w:rFonts w:hint="eastAsia" w:ascii="黑体" w:hAnsi="黑体" w:eastAsia="黑体" w:cs="黑体"/>
          <w:b w:val="0"/>
          <w:bCs w:val="0"/>
          <w:color w:val="auto"/>
          <w:sz w:val="36"/>
          <w:szCs w:val="36"/>
          <w:highlight w:val="none"/>
        </w:rPr>
        <w:t>公共文化服务领域基层政务公开标准目录</w:t>
      </w:r>
      <w:bookmarkEnd w:id="7"/>
    </w:p>
    <w:tbl>
      <w:tblPr>
        <w:tblStyle w:val="7"/>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95"/>
        <w:gridCol w:w="1759"/>
        <w:gridCol w:w="1285"/>
        <w:gridCol w:w="4350"/>
        <w:gridCol w:w="1181"/>
        <w:gridCol w:w="666"/>
        <w:gridCol w:w="1557"/>
        <w:gridCol w:w="597"/>
        <w:gridCol w:w="585"/>
        <w:gridCol w:w="498"/>
        <w:gridCol w:w="803"/>
        <w:gridCol w:w="472"/>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tcBorders>
              <w:bottom w:val="single" w:color="auto" w:sz="4" w:space="0"/>
            </w:tcBorders>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序号</w:t>
            </w:r>
          </w:p>
        </w:tc>
        <w:tc>
          <w:tcPr>
            <w:tcW w:w="2354" w:type="dxa"/>
            <w:gridSpan w:val="2"/>
            <w:tcBorders>
              <w:bottom w:val="single" w:color="auto" w:sz="4" w:space="0"/>
            </w:tcBorders>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公开事项</w:t>
            </w:r>
          </w:p>
        </w:tc>
        <w:tc>
          <w:tcPr>
            <w:tcW w:w="1285"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公开内容（要素）</w:t>
            </w:r>
          </w:p>
        </w:tc>
        <w:tc>
          <w:tcPr>
            <w:tcW w:w="4350"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公开依据</w:t>
            </w:r>
          </w:p>
        </w:tc>
        <w:tc>
          <w:tcPr>
            <w:tcW w:w="1181"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公开时限</w:t>
            </w:r>
          </w:p>
        </w:tc>
        <w:tc>
          <w:tcPr>
            <w:tcW w:w="666"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公开主体</w:t>
            </w:r>
          </w:p>
        </w:tc>
        <w:tc>
          <w:tcPr>
            <w:tcW w:w="1557"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公开渠道和载体</w:t>
            </w:r>
          </w:p>
        </w:tc>
        <w:tc>
          <w:tcPr>
            <w:tcW w:w="1182" w:type="dxa"/>
            <w:gridSpan w:val="2"/>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公开对象</w:t>
            </w:r>
          </w:p>
        </w:tc>
        <w:tc>
          <w:tcPr>
            <w:tcW w:w="1301" w:type="dxa"/>
            <w:gridSpan w:val="2"/>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公开方式</w:t>
            </w:r>
          </w:p>
        </w:tc>
        <w:tc>
          <w:tcPr>
            <w:tcW w:w="1064" w:type="dxa"/>
            <w:gridSpan w:val="2"/>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blHeader/>
          <w:jc w:val="center"/>
        </w:trPr>
        <w:tc>
          <w:tcPr>
            <w:tcW w:w="540" w:type="dxa"/>
            <w:vMerge w:val="continue"/>
            <w:tcBorders>
              <w:top w:val="single" w:color="auto" w:sz="4" w:space="0"/>
              <w:bottom w:val="single" w:color="auto" w:sz="4" w:space="0"/>
            </w:tcBorders>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595" w:type="dxa"/>
            <w:tcBorders>
              <w:top w:val="single" w:color="auto" w:sz="4" w:space="0"/>
              <w:bottom w:val="single" w:color="auto" w:sz="4" w:space="0"/>
            </w:tcBorders>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一级事项</w:t>
            </w:r>
          </w:p>
        </w:tc>
        <w:tc>
          <w:tcPr>
            <w:tcW w:w="1759" w:type="dxa"/>
            <w:tcBorders>
              <w:top w:val="single" w:color="auto" w:sz="4" w:space="0"/>
              <w:bottom w:val="single" w:color="auto" w:sz="4" w:space="0"/>
            </w:tcBorders>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二级事项</w:t>
            </w:r>
          </w:p>
        </w:tc>
        <w:tc>
          <w:tcPr>
            <w:tcW w:w="1285"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4350"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1181"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666"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1557"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597"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全社会</w:t>
            </w:r>
          </w:p>
        </w:tc>
        <w:tc>
          <w:tcPr>
            <w:tcW w:w="585"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特定群众</w:t>
            </w:r>
          </w:p>
        </w:tc>
        <w:tc>
          <w:tcPr>
            <w:tcW w:w="498"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主动</w:t>
            </w:r>
          </w:p>
        </w:tc>
        <w:tc>
          <w:tcPr>
            <w:tcW w:w="803"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依申请公开</w:t>
            </w:r>
          </w:p>
        </w:tc>
        <w:tc>
          <w:tcPr>
            <w:tcW w:w="472"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县级</w:t>
            </w:r>
          </w:p>
        </w:tc>
        <w:tc>
          <w:tcPr>
            <w:tcW w:w="592"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tcBorders>
              <w:top w:val="single" w:color="auto" w:sz="4" w:space="0"/>
            </w:tcBorders>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595" w:type="dxa"/>
            <w:vMerge w:val="restart"/>
            <w:tcBorders>
              <w:top w:val="single" w:color="auto" w:sz="4" w:space="0"/>
            </w:tcBorders>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许可</w:t>
            </w:r>
          </w:p>
        </w:tc>
        <w:tc>
          <w:tcPr>
            <w:tcW w:w="1759" w:type="dxa"/>
            <w:tcBorders>
              <w:top w:val="single" w:color="auto" w:sz="4" w:space="0"/>
            </w:tcBorders>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互联网上网服务营业场所经营单位设立审批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rPr>
              <w:t>互联网上网服务营业场所经营单位设立审批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《行政许可法》；《政府信息公开条例》《互联网上网服务营业场所管理条例》（国务院令第363号，2011年1月8日修订）第四条 县级以上人民政府文化行政部门负责互联网上网服务营业场所经营单位的设立审批。</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互联网上网服务营业场所经营单位设立</w:t>
            </w:r>
            <w:r>
              <w:rPr>
                <w:rFonts w:hint="eastAsia" w:ascii="仿宋_GB2312" w:hAnsi="仿宋_GB2312" w:eastAsia="仿宋_GB2312" w:cs="仿宋_GB2312"/>
                <w:color w:val="auto"/>
                <w:sz w:val="18"/>
                <w:szCs w:val="18"/>
                <w:highlight w:val="none"/>
                <w:lang w:eastAsia="zh-CN"/>
              </w:rPr>
              <w:t>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互联网上网服务营业场所经营单位变更审批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《行政许可法》；《政府信息公开条例》《互联网上网服务营业场所管理条例》（国务院令第363号，2011年1月8日修订）第四条 县级以上人民政府文化行政部门负责互联网上网服务营业场所经营单位的设立审批。</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互联网上网服务营业场所经营单位设立审批</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rPr>
              <w:t>互联网上网服务营业场所经营单位注销审批</w:t>
            </w:r>
            <w:r>
              <w:rPr>
                <w:rFonts w:hint="eastAsia" w:ascii="仿宋_GB2312" w:hAnsi="仿宋_GB2312" w:eastAsia="仿宋_GB2312" w:cs="仿宋_GB2312"/>
                <w:color w:val="auto"/>
                <w:sz w:val="18"/>
                <w:szCs w:val="18"/>
                <w:highlight w:val="none"/>
                <w:lang w:eastAsia="zh-CN"/>
              </w:rPr>
              <w:t>）</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《行政许可法》；《政府信息公开条例》《互联网上网服务营业场所管理条例》（国务院令第363号，2011年1月8日修订）第四条 县级以上人民政府文化行政部门负责互联网上网服务营业场所经营单位的设立审批。</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文艺表演团体从事营业性演出活动审批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1）文艺表演团体从事营业性演出活动设立审批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《行政许可法》；《政府信息公开条例》【行政法规】《营业性演出管理条例实施细则》（2009年文化部令第47号）第七条　设立文艺表演团体，应当向县级人民政府文化主管部门提出申请。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文艺表演团体从事营业性演出活动审批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2）文艺表演团体从事营业性演出活动变更审批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《行政许可法》；《政府信息公开条例》【行政法规】《营业性演出管理条例实施细则》（2009年文化部令第47号）第七条　设立文艺表演团体，应当向县级人民政府文化主管部门提出申请。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文艺表演团体从事营业性演出活动审批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3）文艺表演团体从事营业性演出活动延续审批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《行政许可法》；《政府信息公开条例》【行政法规】《营业性演出管理条例实施细则》（2009年文化部令第47号）第七条　设立文艺表演团体，应当向县级人民政府文化主管部门提出申请。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文艺表演团体从事营业性演出活动审批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4）文艺表演团体从事营业性演出活动注销审批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《行政许可法》；《政府信息公开条例》【行政法规】《营业性演出管理条例实施细则》（2009年文化部令第47号）第七条　设立文艺表演团体，应当向县级人民政府文化主管部门提出申请。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595"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许可</w:t>
            </w: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营业性演出审批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1）营业性演出审批设立</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营业性演出管理条例》（2008年7月22日国务院令第528号，2016年2月6日予以修改）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营业性演出审批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2）营业性演出审批变更</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营业性演出管理条例》（2008年7月22日国务院令第528号，2016年2月6日予以修改）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595"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许可</w:t>
            </w: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娱乐场所从事娱乐场所经营活动审批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1）歌舞娱乐场所审批设立</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《行政许可法》；《政府信息公开条例》【行政法规】《娱乐场所管理条例》（国务院令第458号，2006年3月1日起施行）第九条 设立娱乐场所，应当向所在地县级人民政府文化主管部门提出申请。</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娱乐场所从事娱乐场所经营活动审批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2）歌舞娱乐场所审批变更</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《行政许可法》；《政府信息公开条例》【行政法规】《娱乐场所管理条例》（国务院令第458号，2006年3月1日起施行）第九条 设立娱乐场所，应当向所在地县级人民政府文化主管部门提出申请。</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娱乐场所从事娱乐场所经营活动审批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3）歌舞娱乐场所审批延续</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《行政许可法》；《政府信息公开条例》【行政法规】《娱乐场所管理条例》（国务院令第458号，2006年3月1日起施行）第九条 设立娱乐场所，应当向所在地县级人民政府文化主管部门提出申请。</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娱乐场所从事娱乐场所经营活动审批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4）歌舞娱乐场所审批注销</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《行政许可法》；《政府信息公开条例》【行政法规】《娱乐场所管理条例》（国务院令第458号，2006年3月1日起施行）第九条 设立娱乐场所，应当向所在地县级人民政府文化主管部门提出申请。</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tcBorders>
              <w:bottom w:val="nil"/>
            </w:tcBorders>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娱乐场所从事娱乐场所经营活动审批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5）游艺娱乐场所设立审批</w:t>
            </w:r>
          </w:p>
        </w:tc>
        <w:tc>
          <w:tcPr>
            <w:tcW w:w="1285"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娱乐场所管理条例》第九条、第十二条；《娱乐场所管理办法》第十五条、第十六条、第十七条、第十八条；《文化部关于贯彻&lt;娱乐场所管理办法&gt;的通知》（文市发〔2013〕12号）；《文化部关于落实“先照后证” 改进文化市场行政审批工作的通知》（文市函〔2015〕627号）。</w:t>
            </w:r>
          </w:p>
        </w:tc>
        <w:tc>
          <w:tcPr>
            <w:tcW w:w="1181"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Merge w:val="restart"/>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Merge w:val="restart"/>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restart"/>
            <w:tcBorders>
              <w:top w:val="nil"/>
            </w:tcBorders>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28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435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181"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666" w:type="dxa"/>
            <w:vMerge w:val="continue"/>
            <w:vAlign w:val="center"/>
          </w:tcPr>
          <w:p>
            <w:pPr>
              <w:spacing w:line="240" w:lineRule="exact"/>
              <w:rPr>
                <w:rFonts w:hint="eastAsia" w:ascii="仿宋_GB2312" w:hAnsi="仿宋_GB2312" w:eastAsia="仿宋_GB2312" w:cs="仿宋_GB2312"/>
                <w:color w:val="auto"/>
                <w:sz w:val="18"/>
                <w:szCs w:val="18"/>
                <w:highlight w:val="none"/>
                <w:lang w:eastAsia="zh-CN"/>
              </w:rPr>
            </w:pPr>
          </w:p>
        </w:tc>
        <w:tc>
          <w:tcPr>
            <w:tcW w:w="1557"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7"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8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498"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803"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472"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2"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娱乐场所从事娱乐场所经营活动审批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6）游艺娱乐场所变更审批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娱乐场所管理条例》第九条、第十二条；《娱乐场所管理办法》第十五条、第十六条、第十七条、第十八条；《文化部关于贯彻&lt;娱乐场所管理办法&gt;的通知》（文市发〔2013〕12号）；《文化部关于落实“先照后证” 改进文化市场行政审批工作的通知》（文市函〔2015〕627号）。</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娱乐场所从事娱乐场所经营活动审批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7）游艺娱乐场所延续审批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娱乐场所管理条例》第九条、第十二条；《娱乐场所管理办法》第十五条、第十六条、第十七条、第十八条；《文化部关于贯彻&lt;娱乐场所管理办法&gt;的通知》（文市发〔2013〕12号）；《文化部关于落实“先照后证” 改进文化市场行政审批工作的通知》（文市函〔2015〕627号）。</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娱乐场所从事娱乐场所经营活动审批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8）游艺娱乐场所注销审批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娱乐场所管理条例》第九条、第十二条；《娱乐场所管理办法》第十五条、第十六条、第十七条、第十八条；《文化部关于贯彻&lt;娱乐场所管理办法&gt;的通知》（文市发〔2013〕12号）；《文化部关于落实“先照后证” 改进文化市场行政审批工作的通知》（文市函〔2015〕627号）。</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文物保护单位原址保护措施审批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法律】《中华人民共和国文物保护法》（1982年11月19日第五届全国人大常委会令第11号，2015年4月24日予以修改）第十八条：根据保护文物的实际需要，经省、自治区、直辖市人民政府批准，可以在文物保护单位的周围划出一定的建设控制地带，并予以公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在文物保护单位的建设控制地带内进行建设工程，不得破坏文物保护单位的历史风貌；工程设计方案应当根据文物保护单位的级别，经相应的文物行政部门同意后，报城乡建设规划部门批准。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5" w:hRule="atLeast"/>
          <w:jc w:val="center"/>
        </w:trPr>
        <w:tc>
          <w:tcPr>
            <w:tcW w:w="540"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6</w:t>
            </w:r>
          </w:p>
        </w:tc>
        <w:tc>
          <w:tcPr>
            <w:tcW w:w="595" w:type="dxa"/>
            <w:vMerge w:val="restart"/>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文物保护单位及未核定为文物保护单位的不可移动文物修缮许可</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法律】《中华人民共和国文物保护法》（1982年11月19日第五届全国人大常委会令第11号，2015年4月24日予以修改）第二十一条：对文物保护单位进行修缮，应当根据文物保护单位的级别报相应的文物行政部门批准；对未核定为文物保护单位的不可移动文物进行修缮，应当报登记的县级人民政府文物行政部门批准。【规章】《文物保护工程管理办法》（文化部令第26号）第十条：“…全国重点文物保护单位保护工程，以省、自治区、直辖市文物行政部门为申报机关，国家文物局为审批机关。”</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区行政审批局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0" w:hRule="atLeast"/>
          <w:jc w:val="center"/>
        </w:trPr>
        <w:tc>
          <w:tcPr>
            <w:tcW w:w="540"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7</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核定为文物保护单位的属于国家所有的纪念建筑物或者古建筑改变用途审批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法律】《中华人民共和国文物保护法》第二十一条：“…对文物保护单位进行修缮，应当根据文物保护单位的级别报相应的文物行政部门批准；对未核定为文物保护单位的不可移动文物进行修缮，应当报登记的县级人民政府文物行政部门批准…”；《文物保护工程管理办法》（文化部令第26号）第十条：“…全国重点文物保护单位保护工程，以省、自治区、直辖市文物行政部门为申报机关，国家文物局为审批机关。”</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区行政审批局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tcBorders>
              <w:bottom w:val="single" w:color="auto" w:sz="4" w:space="0"/>
            </w:tcBorders>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8</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tcBorders>
              <w:bottom w:val="single" w:color="auto" w:sz="4" w:space="0"/>
            </w:tcBorders>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非国有文物收藏单位和其他单位借用国有文物收藏单位馆藏文物审批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法律】《中华人民共和国文物保护法》（1982年11月19日第五届全国人大常委会令第11号，2015年4月24日予以修改）第四十条：非国有文物收藏单位和其他单位举办展览需借用国有馆藏文物的，应当报主管的文物行政部门批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Merge w:val="restart"/>
            <w:tcBorders>
              <w:top w:val="single" w:color="auto" w:sz="4" w:space="0"/>
            </w:tcBorders>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9</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tcBorders>
              <w:top w:val="single" w:color="auto" w:sz="4" w:space="0"/>
            </w:tcBorders>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设置卫星电视广播地面接收设施审批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(1)设置卫星电视广播地面接收设施接收境内节目审批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卫星电视广播地面接收设施管理规定》（1993年10月5日国务院令第129号，2013年7月18日《国务院关于废止和修改部分行政法规的决定》（国务院第638号）修订） 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 【规章】《&lt;卫星电视广播地面接收设施管理规定&gt;实施细则》（1994年2月3日广电部令第11号） 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 凡需设置卫星地面接收设施接收境外电视节目的单位，必须向当地县级以上（含县级）广播电视行政部门和国家安全部门签署意见后，报所在省、自治区、直辖市人民政府广播电视行政部门审批。</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设置卫星电视广播地面接收设施审批</w:t>
            </w:r>
            <w:r>
              <w:rPr>
                <w:rFonts w:hint="eastAsia" w:ascii="仿宋_GB2312" w:hAnsi="仿宋_GB2312" w:eastAsia="仿宋_GB2312" w:cs="仿宋_GB2312"/>
                <w:color w:val="auto"/>
                <w:sz w:val="18"/>
                <w:szCs w:val="18"/>
                <w:highlight w:val="none"/>
                <w:lang w:val="en-US" w:eastAsia="zh-CN"/>
              </w:rPr>
              <w:t>(2设置卫星电视广播地面接收设施接收境外节目审批)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卫星电视广播地面接收设施管理规定》（1993年10月5日国务院令第129号，2013年7月18日《国务院关于废止和修改部分行政法规的决定》（国务院第638号）修订） 第七条单位设置卫星地面接收设施的，必须向当地县、市人民政府广播电视行政部门提出申请，报省、自治区、直辖市人民政府广播电视行政部门审批，凭审批机关开具的证明购买卫星地面接收设施。卫星地面接收设施安装完毕，由审批机关发给《接收卫星传送的电视节目许可证》。 【规章】《&lt;卫星电视广播地面接收设施管理规定&gt;实施细则》（1994年2月3日广电部令第11号） 第五条凡需设置卫星地面接收设施接收境内电视节目的单位，必须向当地县级以上（含县级）广播电视行政部门提出申请，报地、市级广播电视行政部门审批。省、自治区、直辖市的直属单位可直接报省、自治区、直辖市广播电视行政部门审批。 凡需设置卫星地面接收设施接收境外电视节目的单位，必须向当地县级以上（含县级）广播电视行政部门和国家安全部门签署意见后，报所在省、自治区、直辖市人民政府广播电视行政部门审批。</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10</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广播电台、电视台设立、终止审批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(1)对新闻出版广电总局负责的广播电台、电视台设立、终止审批的初审</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《行政许可法》、《政府信息公开条例》【行政法规】《广播电视管理条例》（1997年8月11日国务院令第228号，2017年3月1日《国务院关于修改和废止部分行政法规的决定》（国务院令第676号）第二次修订） 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 第十四条广播电台、电视台终止，应当按照原审批程序申报，其许可证由国务院广播电视行政部门收回。 【规范性文件】《关于规范发展移动数字电视的意见》的通知（新广电发[2014]60号） 申请开办移动数字电视频道，须按照《广播电台电视台审批管理办法》(广电总局令第37号)和本《意见》要求，向所在地同级广播影视行政部门提出申请，逐级审核同意后，报国家新闻出版广电总局审批。未经批准，任何组织或者个人不得开办移动数字电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广播电台、电视台设立、终止审批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(2)对新闻出版广电总局负责的省、市、县广播电台、电视台台名、台标、套数、节目设置变更的初审</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《行政许可法》、《政府信息公开条例》【行政法规】《广播电视管理条例》（1997年8月11日国务院令第228号，2017年3月1日《国务院关于修改和废止部分行政法规的决定》（国务院令第676号）第二次修订） 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 第十四条广播电台、电视台终止，应当按照原审批程序申报，其许可证由国务院广播电视行政部门收回。 【规范性文件】《关于规范发展移动数字电视的意见》的通知（新广电发[2014]60号） 申请开办移动数字电视频道，须按照《广播电台电视台审批管理办法》(广电总局令第37号)和本《意见》要求，向所在地同级广播影视行政部门提出申请，逐级审核同意后，报国家新闻出版广电总局审批。未经批准，任何组织或者个人不得开办移动数字电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广播电台、电视台设立、终止审批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(3)对新闻出版广电总局负责的移动电视业务审批的初审</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《行政许可法》、《政府信息公开条例》【行政法规】《广播电视管理条例》（1997年8月11日国务院令第228号，2017年3月1日《国务院关于修改和废止部分行政法规的决定》（国务院令第676号）第二次修订） 第十一条地方设立广播电台、电视台的，由县、不设区的市以上地方人民政府广播电视行政部门提出申请，本级人民政府审查同意后，逐级上报，经国务院广播电视行政部门审查批准后，方可筹建。地方设立教育电视台的，由设区的市、自治州以上地方人民政府教育行政部门提出申请，征得同级广播电视行政部门同意并经本级人民政府审查同意后，逐级上报，经国务院教育行政部门审核，由国务院广播电视行政部门审查批准后，方可筹建。 第十四条广播电台、电视台终止，应当按照原审批程序申报，其许可证由国务院广播电视行政部门收回。 【规范性文件】《关于规范发展移动数字电视的意见》的通知（新广电发[2014]60号） 申请开办移动数字电视频道，须按照《广播电台电视台审批管理办法》(广电总局令第37号)和本《意见》要求，向所在地同级广播影视行政部门提出申请，逐级审核同意后，报国家新闻出版广电总局审批。未经批准，任何组织或者个人不得开办移动数字电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11</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卫星电视广播地面接收设施安装许可审批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卫星电视广播地面接收设施管理规定》（1993年10月5日国务院令第129号，2013年7月18日修改）第三条：国家对卫星地面接收设施的生产、进口、销售、安装和使用实行许可制度。生产、进口、销售、安装和使用卫星电视广播地面接收设施的许可条件，由国务院有关行政部门规定。【规章】《卫星电视广播地面接收设施安装服务暂行办法》（2009年8月6日广电总局令第60号）第四条：国家对卫星地面接收设施安装服务实行许可制度。设立卫星地面接收设施安装服务机构，应当取得《卫星地面接收设施安装服务许可证》。第七条：设立卫星地面接收设施安装服务机构，应当根据拟申请服务区的范围，向所在地县级以上人民政务广播影视行政部门提出申请，经逐级审核后，报省、自治区、直辖市以上人民政府广播影视行政部门审批。</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12</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举办健身气功活动及设立站点审批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(1)设立站点审批</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《行政许可法》、《政府信息公开条例》【行政法规】《国务院对确需保留的行政审批项目设定行政许可的决定》（2004年6月29日国务院令第412号,2009年1月29日予以修改） 附件第336项举办健身气功活动及设立站点审批。实施机关：县级以上人民政府体育行政主管部门。 【规范性文件】《国务院关于第五批取消和下放管理层级行政审批项目的决定》（国发〔2010〕21号） 第62项设立健身气功活动站点审批，下放至县级人民政府体育行政主管部门。 【行政法规】《健身气功管理办法》（2006年11月国家体育总局令第9号发布）第十七条：“设立健身气功站点，应当经当地街道办事处、乡镇级人民政府或企事业单位有关部门审核同意，报当地具有相应管辖权限的体育行政部门审批。”</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举办健身气功活动及设立站点审批</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(2)举办健身气功活动</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1.办事指南：内容同上;</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2.行政许可决定。</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《行政许可法》、《政府信息公开条例》【行政法规】《国务院对确需保留的行政审批项目设定行政许可的决定》（2004年6月29日国务院令第412号,2009年1月29日予以修改） 附件第336项举办健身气功活动及设立站点审批。实施机关：县级以上人民政府体育行政主管部门。 【规范性文件】《国务院关于第五批取消和下放管理层级行政审批项目的决定》（国发〔2010〕21号） 第62项设立健身气功活动站点审批，下放至县级人民政府体育行政主管部门。 【行政法规】《健身气功管理办法》（2006年11月国家体育总局令第9号发布）第十七条：“设立健身气功站点，应当经当地街道办事处、乡镇级人民政府或企事业单位有关部门审核同意，报当地具有相应管辖权限的体育行政部门审批。”</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公开查阅点     </w:t>
            </w:r>
            <w:r>
              <w:rPr>
                <w:rFonts w:hint="eastAsia" w:ascii="仿宋_GB2312" w:hAnsi="仿宋_GB2312" w:eastAsia="仿宋_GB2312" w:cs="仿宋_GB2312"/>
                <w:color w:val="auto"/>
                <w:sz w:val="18"/>
                <w:szCs w:val="18"/>
                <w:highlight w:val="none"/>
              </w:rPr>
              <w:sym w:font="Wingdings" w:char="00A8"/>
            </w:r>
            <w:r>
              <w:rPr>
                <w:rFonts w:hint="eastAsia" w:ascii="仿宋_GB2312" w:hAnsi="仿宋_GB2312" w:eastAsia="仿宋_GB2312" w:cs="仿宋_GB2312"/>
                <w:color w:val="auto"/>
                <w:sz w:val="18"/>
                <w:szCs w:val="18"/>
                <w:highlight w:val="none"/>
              </w:rPr>
              <w:t xml:space="preserve">政务服务中心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3</w:t>
            </w:r>
          </w:p>
        </w:tc>
        <w:tc>
          <w:tcPr>
            <w:tcW w:w="595" w:type="dxa"/>
            <w:vMerge w:val="restart"/>
            <w:vAlign w:val="center"/>
          </w:tcPr>
          <w:p>
            <w:pPr>
              <w:spacing w:line="240" w:lineRule="exact"/>
              <w:rPr>
                <w:rFonts w:hint="eastAsia" w:ascii="仿宋_GB2312" w:hAnsi="仿宋_GB2312" w:eastAsia="仿宋_GB2312" w:cs="仿宋_GB2312"/>
                <w:color w:val="auto"/>
                <w:sz w:val="18"/>
                <w:szCs w:val="18"/>
                <w:highlight w:val="none"/>
                <w:lang w:eastAsia="zh-CN"/>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对违反《长城保护条例》行为的处罚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(1)对在禁止工程建设的长城段落的保护范围内进行工程建设等行为的处罚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【行政法规】《长城保护条例》（国务院令第476号，2006年10月11日颁布）第二十五条  违反本条例规定，有下列情形之一的，依照文物保护法第六十六条的规定责令改正，造成严重后果的，处5万元以上50万元以下的罚款；情节严重的，由原发证机关吊销资质证书：</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（一）在禁止工程建设的长城段落的保护范围内进行工程建设的；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（二）在长城的保护范围或者建设控制地带内进行工程建设，未依法报批的；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（三）未采取本条例规定的方式进行工程建设，或者因工程建设拆除、穿越、迁移长城的。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对违反《长城保护条例》行为的处罚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(2)对不符合《长城保护条例》规定条件的长城段落辟为参观游览区行为的处罚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【行政法规】《长城保护条例》（国务院令第476号，2006年10月11日颁布）第二十五条  违反本条例规定，有下列情形之一的，依照文物保护法第六十六条的规定责令改正，造成严重后果的，处5万元以上50万元以下的罚款；情节严重的，由原发证机关吊销资质证书：</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（一）在禁止工程建设的长城段落的保护范围内进行工程建设的；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（二）在长城的保护范围或者建设控制地带内进行工程建设，未依法报批的；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（三）未采取本条例规定的方式进行工程建设，或者因工程建设拆除、穿越、迁移长城的。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4</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对违反《互联网上网服务营业场所管理条例》行为的处罚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(1)对违反擅自从事互联网上网服务经营活动的处罚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【行政法规】《互联网上网服务营业场所管理条例》(中华人民共和国国务院令 第363号 2002年11月15日施行 2016年2月6日第一次修订  2019年3月24日第二次修订)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对违反《互联网上网服务营业场所管理条例》行为的处罚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(2)对违反涂改、出租、出借或者以其他方式转让《网络文化经营许可证》等的处罚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【行政法规】《互联网上网服务营业场所管理条例》(中华人民共和国国务院令 第363号 2002年11月15日施行 2016年2月6日第一次修订  2019年3月24日第二次修订) 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对违反《互联网上网服务营业场所管理条例》行为的处罚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(3)对违反在规定的营业时间以外营业等的处罚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【行政法规】《互联网上网服务营业场所管理条例》(中华人民共和国国务院令 第363号 2002年11月15日施行 2016年2月6日第一次修订  2019年3月24日第二次修订) 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对违反《互联网上网服务营业场所管理条例》行为的处罚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(4)对违反向上网消费者提供的计算机未通过局域网的方式接入互联网等的处罚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【行政法规】《互联网上网服务营业场所管理条例》(中华人民共和国国务院令 第363号 2002年11月15日施行 2016年2月6日第一次修订  2019年3月24日第二次修订) 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5</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对违反《辽宁省文化市场管理条例》行为的处罚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【地方性法规】《辽宁省文化市场管理条例》（1997年9月27日辽宁省第八届人民代表大会常务委员会第三十次会议通过　根据2003年8月1日辽宁省第十届人民代表大会常务委员会第三次会议《关于修改〈辽宁省文化市场管理条例〉的决定》第一次修正　根据2010年7月30日辽宁省第十一届人民代表大会常务委员会第十八次会议《关于修改部分地方性法规的决定》第二次修正　根据2017年7月27日辽宁省第十二届人民代表大会常务委员会第三十五次会议《关于修改〈辽宁省机动车污染防治条例〉等部分地方性法规的决定》第三次修正）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第二十二条 有下列行为之一的，分别由有关部门按照相关法律、法规规定给予警告，限期纠正，处以罚款；情节严重的，可以依法暂扣许可证、吊销营业执照：（一）违反有关规定接纳中、小学生和其他不满18周岁未成年人的；（二）超出批准的项目或者规定的营业时间开展经营活动的；（三）未参加有关部门依法组织的培训的；（四）变更法定代表人或者负责人，经营项目或者经营地点，改建、扩建、合并或者分立文化经营场所，事前未到原审批机关办理审批手续更换许可证的；（五）经营设施和条件不符合国家规定的；（六）违反法律、法规的其他行为。</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6</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对违反《网络出版服务管理规定》行为的处罚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(1)对网络出版服务机构登载或者发送禁止内容的行为的处罚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【规章】《网络出版服务管理规定》 (国家新闻出版广电总局、中华人民共和国工业和信息化部令第5号，2016年3月10日起实施)</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第五十一条  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第五十二条  出版、传播含有本规定第二十四条、第二十五条禁止内容的网络出版物的，根据《出版管理条例》第六十二条、《互联网信息服务管理办法》第二十条的规定，由出版行政主管部门责令删除相关内容并限期改正，没收违法所得，违法经营额1万元以上的，并处违法经营额5倍以上10倍以下罚款；违法经营额不足1万元的，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为从事本条第一款行为的网络出版服务单位提供人工干预搜索排名、广告、推广等相关服务的，由出版行政主管部门责令其停止提供相关服务。</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网络出版物不得含有以下内容：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（一）反对宪法确定的基本原则的；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（二）危害国家统一、主权和领土完整的；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（三）泄露国家秘密、危害国家安全或者损害国家荣誉和利益的；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（四）煽动民族仇恨、民族歧视，破坏民族团结，或者侵害民族风俗、习惯的；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（五）宣扬邪教、迷信的；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（六）散布谣言，扰乱社会秩序，破坏社会稳定的；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（七）宣扬淫秽、色情、赌博、暴力或者教唆犯罪的；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（八）侮辱或者诽谤他人，侵害他人合法权益的；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（九）危害社会公德或者民族优秀文化传统的；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（十）有法律、行政法规和国家规定禁止的其他内容的。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第二十五条  为保护未成年人合法权益，网络出版物不得含有诱发未成年人模仿违反社会公德和违法犯罪行为的内容，不得含有恐怖、残酷等妨害未成年人身心健康的内容，不得含有披露未成年人个人隐私的内容。</w:t>
            </w:r>
          </w:p>
          <w:p>
            <w:pPr>
              <w:spacing w:line="240" w:lineRule="exact"/>
              <w:rPr>
                <w:rFonts w:hint="eastAsia" w:ascii="仿宋_GB2312" w:hAnsi="仿宋_GB2312" w:eastAsia="仿宋_GB2312" w:cs="仿宋_GB2312"/>
                <w:color w:val="auto"/>
                <w:sz w:val="18"/>
                <w:szCs w:val="18"/>
                <w:highlight w:val="none"/>
              </w:rPr>
            </w:pP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对违反《网络出版服务管理规定》行为的处罚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(2)对网络出版服务机构未经备案出版涉及国家安全、社会安定等方面的重大选题的行为的处罚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【规章】《网络出版服务管理规定》 (国家新闻出版广电总局、中华人民共和国工业和信息化部令第5号，2016年3月10日起实施)</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第五十一条  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第五十二条  出版、传播含有本规定第二十四条、第二十五条禁止内容的网络出版物的，根据《出版管理条例》第六十二条、《互联网信息服务管理办法》第二十条的规定，由出版行政主管部门责令删除相关内容并限期改正，没收违法所得，违法经营额1万元以上的，并处违法经营额5倍以上10倍以下罚款；违法经营额不足1万元的，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为从事本条第一款行为的网络出版服务单位提供人工干预搜索排名、广告、推广等相关服务的，由出版行政主管部门责令其停止提供相关服务。</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网络出版物不得含有以下内容：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（一）反对宪法确定的基本原则的；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（二）危害国家统一、主权和领土完整的；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（三）泄露国家秘密、危害国家安全或者损害国家荣誉和利益的；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（四）煽动民族仇恨、民族歧视，破坏民族团结，或者侵害民族风俗、习惯的；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（五）宣扬邪教、迷信的；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（六）散布谣言，扰乱社会秩序，破坏社会稳定的；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（七）宣扬淫秽、色情、赌博、暴力或者教唆犯罪的；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（八）侮辱或者诽谤他人，侵害他人合法权益的；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（九）危害社会公德或者民族优秀文化传统的；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（十）有法律、行政法规和国家规定禁止的其他内容的。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第二十五条  为保护未成年人合法权益，网络出版物不得含有诱发未成年人模仿违反社会公德和违法犯罪行为的内容，不得含有恐怖、残酷等妨害未成年人身心健康的内容，不得含有披露未成年人个人隐私的内容。</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对违反《网络出版服务管理规定》行为的处罚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(3)对网络出版服务机构未在其网站主页上标明新闻出版行政部门相关许可信息的行为的处罚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【规章】《网络出版服务管理规定》 (国家新闻出版广电总局、中华人民共和国工业和信息化部令第5号，2016年3月10日起实施)</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第五十一条  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第五十二条  出版、传播含有本规定第二十四条、第二十五条禁止内容的网络出版物的，根据《出版管理条例》第六十二条、《互联网信息服务管理办法》第二十条的规定，由出版行政主管部门责令删除相关内容并限期改正，没收违法所得，违法经营额1万元以上的，并处违法经营额5倍以上10倍以下罚款；违法经营额不足1万元的，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为从事本条第一款行为的网络出版服务单位提供人工干预搜索排名、广告、推广等相关服务的，由出版行政主管部门责令其停止提供相关服务。</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网络出版物不得含有以下内容：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（一）反对宪法确定的基本原则的；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（二）危害国家统一、主权和领土完整的；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（三）泄露国家秘密、危害国家安全或者损害国家荣誉和利益的；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（四）煽动民族仇恨、民族歧视，破坏民族团结，或者侵害民族风俗、习惯的；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（五）宣扬邪教、迷信的；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（六）散布谣言，扰乱社会秩序，破坏社会稳定的；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（七）宣扬淫秽、色情、赌博、暴力或者教唆犯罪的；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（八）侮辱或者诽谤他人，侵害他人合法权益的；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（九）危害社会公德或者民族优秀文化传统的；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（十）有法律、行政法规和国家规定禁止的其他内容的。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第二十五条  为保护未成年人合法权益，网络出版物不得含有诱发未成年人模仿违反社会公德和违法犯罪行为的内容，不得含有恐怖、残酷等妨害未成年人身心健康的内容，不得含有披露未成年人个人隐私的内容。</w:t>
            </w:r>
          </w:p>
          <w:p>
            <w:pPr>
              <w:spacing w:line="240" w:lineRule="exact"/>
              <w:rPr>
                <w:rFonts w:hint="eastAsia" w:ascii="仿宋_GB2312" w:hAnsi="仿宋_GB2312" w:eastAsia="仿宋_GB2312" w:cs="仿宋_GB2312"/>
                <w:color w:val="auto"/>
                <w:sz w:val="18"/>
                <w:szCs w:val="18"/>
                <w:highlight w:val="none"/>
              </w:rPr>
            </w:pPr>
          </w:p>
          <w:p>
            <w:pPr>
              <w:spacing w:line="240" w:lineRule="exact"/>
              <w:rPr>
                <w:rFonts w:hint="eastAsia" w:ascii="仿宋_GB2312" w:hAnsi="仿宋_GB2312" w:eastAsia="仿宋_GB2312" w:cs="仿宋_GB2312"/>
                <w:color w:val="auto"/>
                <w:sz w:val="18"/>
                <w:szCs w:val="18"/>
                <w:highlight w:val="none"/>
              </w:rPr>
            </w:pP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对违反《网络出版服务管理规定》行为的处罚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(4)对未经批准擅自从事网络出版服务活动的行为的处罚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【规章】《网络出版服务管理规定》 (国家新闻出版广电总局、中华人民共和国工业和信息化部令第5号，2016年3月10日起实施)</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第五十一条  未经批准，擅自从事网络出版服务，或者擅自上网出版网络游戏（含境外著作权人授权的网络游戏），根据《出版管理条例》第六十一条、《互联网信息服务管理办法》第十九条的规定，由出版行政主管部门、工商行政管理部门依照法定职权予以取缔，并由所在地省级电信主管部门依据有关部门的通知，按照《互联网信息服务管理办法》第十九条的规定给予责令关闭网站等处罚；已经触犯刑法的，依法追究刑事责任；尚不够刑事处罚的，删除全部相关网络出版物，没收违法所得和从事违法出版活动的主要设备、专用工具，违法经营额1万元以上的，并处违法经营额5倍以上10倍以下的罚款；违法经营额不足1万元的，可以处5万元以下的罚款；侵犯他人合法权益的，依法承担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第五十二条  出版、传播含有本规定第二十四条、第二十五条禁止内容的网络出版物的，根据《出版管理条例》第六十二条、《互联网信息服务管理办法》第二十条的规定，由出版行政主管部门责令删除相关内容并限期改正，没收违法所得，违法经营额1万元以上的，并处违法经营额5倍以上10倍以下罚款；违法经营额不足1万元的，可以处5万元以下罚款；情节严重的，责令限期停业整顿或者由国家新闻出版广电总局吊销《网络出版服务许可证》，由电信主管部门依据出版行政主管部门的通知吊销其电信业务经营许可或者责令关闭网站；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为从事本条第一款行为的网络出版服务单位提供人工干预搜索排名、广告、推广等相关服务的，由出版行政主管部门责令其停止提供相关服务。</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网络出版物不得含有以下内容：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（一）反对宪法确定的基本原则的；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（二）危害国家统一、主权和领土完整的；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（三）泄露国家秘密、危害国家安全或者损害国家荣誉和利益的；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（四）煽动民族仇恨、民族歧视，破坏民族团结，或者侵害民族风俗、习惯的；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（五）宣扬邪教、迷信的；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（六）散布谣言，扰乱社会秩序，破坏社会稳定的；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（七）宣扬淫秽、色情、赌博、暴力或者教唆犯罪的；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（八）侮辱或者诽谤他人，侵害他人合法权益的；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（九）危害社会公德或者民族优秀文化传统的；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（十）有法律、行政法规和国家规定禁止的其他内容的。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第二十五条  为保护未成年人合法权益，网络出版物不得含有诱发未成年人模仿违反社会公德和违法犯罪行为的内容，不得含有恐怖、残酷等妨害未成年人身心健康的内容，不得含有披露未成年人个人隐私的内容。</w:t>
            </w:r>
          </w:p>
          <w:p>
            <w:pPr>
              <w:spacing w:line="240" w:lineRule="exact"/>
              <w:rPr>
                <w:rFonts w:hint="eastAsia" w:ascii="仿宋_GB2312" w:hAnsi="仿宋_GB2312" w:eastAsia="仿宋_GB2312" w:cs="仿宋_GB2312"/>
                <w:color w:val="auto"/>
                <w:sz w:val="18"/>
                <w:szCs w:val="18"/>
                <w:highlight w:val="none"/>
              </w:rPr>
            </w:pP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7</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对除法律、行政法规另有规定外，未经软件著作权人许可，复制或者部分复制著作权人的软件等侵权行为的处罚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【行政法规】《计算机软件保护条例》（国务院令第339号，2013年1月30日修订）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（一）复制或者部分复制著作权人的软件的；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（二）向公众发行、出租、通过信息网络传播著作权人的软件的；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（三）故意避开或者破坏著作权人为保护其软件著作权而采取的技术措施的；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（四）故意删除或者改变软件权利管理电子信息的；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（五）转让或者许可他人行使著作权人的软件著作权的。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有前款第一项或者第二项行为的，可以并处每件100元或者货值金额1倍以上５倍以下的罚款；有前款第三项、第四项或者第五项行为的，可以并处20万元以下的罚款。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8</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对违反《互联网文化管理暂行规定》行为的处罚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(1)对未经批准，擅自从事经营性互联网文化活动的处罚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【规章】《互联网文化管理暂行规定》(文化部令第51号发布，自2011年4月1日起施行) 第二十一条　未经批准，擅自从事经营性互联网文化活动的，由县级以上人民政府文化行政部门或者文化市场综合执法机构依据《无照经营查处取缔办法》的规定予以查处。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对违反《互联网文化管理暂行规定》行为的处罚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(2)对经营性互联网文化单位未在其网站主页的显著位置标明文化行政部门颁发的《网络文化经营许可证》编号或者备案编号的处罚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【规章】《互联网文化管理暂行规定》(文化部令第51号发布，自2011年4月1日起施行) 第二十一条　未经批准，擅自从事经营性互联网文化活动的，由县级以上人民政府文化行政部门或者文化市场综合执法机构依据《无照经营查处取缔办法》的规定予以查处。 </w:t>
            </w:r>
          </w:p>
          <w:p>
            <w:pPr>
              <w:spacing w:line="240" w:lineRule="exact"/>
              <w:rPr>
                <w:rFonts w:hint="eastAsia" w:ascii="仿宋_GB2312" w:hAnsi="仿宋_GB2312" w:eastAsia="仿宋_GB2312" w:cs="仿宋_GB2312"/>
                <w:color w:val="auto"/>
                <w:sz w:val="18"/>
                <w:szCs w:val="18"/>
                <w:highlight w:val="none"/>
              </w:rPr>
            </w:pP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对违反《互联网文化管理暂行规定》行为的处罚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(3)对经营性互联网文化单位变更注册信息，未按规定到所在地文化部门办理变更手续的处罚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【规章】《互联网文化管理暂行规定》(文化部令第51号发布，自2011年4月1日起施行) 第二十一条　未经批准，擅自从事经营性互联网文化活动的，由县级以上人民政府文化行政部门或者文化市场综合执法机构依据《无照经营查处取缔办法》的规定予以查处。  </w:t>
            </w:r>
          </w:p>
          <w:p>
            <w:pPr>
              <w:spacing w:line="240" w:lineRule="exact"/>
              <w:rPr>
                <w:rFonts w:hint="eastAsia" w:ascii="仿宋_GB2312" w:hAnsi="仿宋_GB2312" w:eastAsia="仿宋_GB2312" w:cs="仿宋_GB2312"/>
                <w:color w:val="auto"/>
                <w:sz w:val="18"/>
                <w:szCs w:val="18"/>
                <w:highlight w:val="none"/>
              </w:rPr>
            </w:pP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对违反《互联网文化管理暂行规定》行为的处罚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(4)对经营性互联网文化单位经营进口互联网文化产品未在其显著位置标明文化部批准文号、经营国产互联网文化产品未在显著位置标明文化部备案编号的处罚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【规章】《互联网文化管理暂行规定》(文化部令第51号发布，自2011年4月1日起施行) 第二十一条　未经批准，擅自从事经营性互联网文化活动的，由县级以上人民政府文化行政部门或者文化市场综合执法机构依据《无照经营查处取缔办法》的规定予以查处。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对违反《互联网文化管理暂行规定》行为的处罚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(5)对经营性互联网文化单位擅自变更进口互联网文化产品名称或者增删内容等的处罚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【规章】《互联网文化管理暂行规定》(文化部令第51号发布，自2011年4月1日起施行) 第二十一条　未经批准，擅自从事经营性互联网文化活动的，由县级以上人民政府文化行政部门或者文化市场综合执法机构依据《无照经营查处取缔办法》的规定予以查处。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对违反《互联网文化管理暂行规定》行为的处罚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(6)对经营性互联网文化单位提供含有禁止内容的互联网文化产品，或者提供未经文化部批准进口的互联网文化产品的处罚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【规章】《互联网文化管理暂行规定》(文化部令第51号发布，自2011年4月1日起施行) 第二十一条　未经批准，擅自从事经营性互联网文化活动的，由县级以上人民政府文化行政部门或者文化市场综合执法机构依据《无照经营查处取缔办法》的规定予以查处。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对违反《互联网文化管理暂行规定》行为的处罚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(7)对互联网文化单位未建立自审制度的处罚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【规章】《互联网文化管理暂行规定》(文化部令第51号发布，自2011年4月1日起施行) 第二十一条　未经批准，擅自从事经营性互联网文化活动的，由县级以上人民政府文化行政部门或者文化市场综合执法机构依据《无照经营查处取缔办法》的规定予以查处。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对违反《互联网文化管理暂行规定》行为的处罚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(8)对互联网文化单位发现所提供的互联网文化产品有禁止内容未立即停止提供并报告的处罚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【规章】《互联网文化管理暂行规定》(文化部令第51号发布，自2011年4月1日起施行) 第二十一条　未经批准，擅自从事经营性互联网文化活动的，由县级以上人民政府文化行政部门或者文化市场综合执法机构依据《无照经营查处取缔办法》的规定予以查处。  </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1</w:t>
            </w:r>
            <w:r>
              <w:rPr>
                <w:rFonts w:hint="eastAsia" w:ascii="仿宋_GB2312" w:hAnsi="仿宋_GB2312" w:eastAsia="仿宋_GB2312" w:cs="仿宋_GB2312"/>
                <w:color w:val="auto"/>
                <w:sz w:val="18"/>
                <w:szCs w:val="18"/>
                <w:highlight w:val="none"/>
                <w:lang w:val="en-US" w:eastAsia="zh-CN"/>
              </w:rPr>
              <w:t>9</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对违反《信息网络传播权保护条例》行为的处罚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(1)对网络服务提供者无正当理由拒绝提供或者拖延提供涉嫌侵权的服务对象的姓名（名称）、联系方式、网络地址等资料的行为的处罚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信息网络传播权保护条例》（国务院令第468号，2006年5月18日颁布，2013年1月30日修订）第二十五条网络服务提供者无正当理由拒绝提供或者拖延提供涉嫌侵权的服务对象的姓名（名称）、联系方式、网络地址等资料的，由著作权行政管理部门予以警告；情节严重的，没收主要用于提供网络服务的计算机等设备。</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对违反《信息网络传播权保护条例》行为的处罚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(2)对通过信息网络擅自向公众提供他人的作品、表演、录音录像制品等侵权行为的处罚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【行政法规】《信息网络传播权保护条例》（国务院令第468号，2013年1月30日修订）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（一）通过信息网络擅自向公众提供他人的作品、表演、录音录像制品的；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（二）故意避开或者破坏技术措施的；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（四）为扶助贫困通过信息网络向农村地区提供作品、表演、录音录像制品超过规定范围，或者未按照公告的标准支付报酬，或者在权利人不同意提供其作品、表演、录音录像制品后未立即删除的；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对违反《信息网络传播权保护条例》行为的处罚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(3)对故意制造、进口或者向他人提供主要用于避开、破坏技术措施的装置或者部件，或者故意为他人避开或者破坏技术措施提供技术服务等侵权行为的处罚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【行政法规】《信息网络传播权保护条例》（国务院令第468号，2013年1月30日修订）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第十九条  违反本条例规定，有下列行为之一的，由著作权行政管理部门予以警告，没收违法所得，没收主要用于避开、破坏技术措施的装置或者部件；情节严重的，可以没收主要用于提供网络服务的计算机等设备，并可处以10万元以下的罚款；构成犯罪的，依法追究刑事责任：（一）故意制造、进口或者向他人提供主要用于避开、破坏技术措施的装置或者部件，或者故意为他人避开或者破坏技术措施提供技术服务的；（二）通过信息网络提供他人的作品、表演、录音录像制品，获得经济利益的；（三）为扶助贫困通过信息网络向农村地区提供作品、表演、录音录像制品，未在提供前公告作品、表演、录音录像制品的名称和作者、表演者、录音录像制作者的姓名（名称）以及报酬标准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20</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对未经著作权人许可，复制、发行、表演、放映、广播、汇编、通过信息网络向公众传播其作品等行为的处罚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【法律】《中华人民共和国著作权法》（1990年9月7日颁布，2010年2月26日修正）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（一）未经著作权人许可，复制、发行、表演、放映、广播、汇编、通过信息网络向公众传播其作品的，本法另有规定的除外；</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（二）出版他人享有专有出版权的图书的；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（三）未经表演者许可，复制、发行录有其表演的录音录像制品，或者通过信息网络向公众传播其表演的，本法另有规定的除外；</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（四）未经录音录像制作者许可，复制、发行、通过信息网络向公众传播其制作的录音录像制品的，本法另有规定的除外；</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（五）未经许可，播放或者复制广播、电视的，本法另有规定的除外；</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（六）未经著作权人或者与著作权有关的权利人许可，故意避开或者破坏权利人为其作品、录音录像制品等采取的保护著作权或者与著作权有关的权利的技术措施的，法律、行政法规另有规定的除外；</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（七）未经著作权人或者与著作权有关的权利人许可，故意删除或者改变作品、录音录像制品等的权利管理电子信息的，法律、行政法规另有规定的除外；</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（八）制作、出售假冒他人署名的作品的。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【行政法规】《中华人民共和国著作权法实施条例》（国国务院令第359号，2013年1月30日修订）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第三十六条  有著作权法第四十八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第三十七条  有著作权法第四十八条所列侵权行为，同时损害社会公共利益的，由地方人民政府著作权行政管理部门负责查处。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国务院著作权行政管理部门可以查处在全国有重大影响的侵权行为。</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5"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21</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对复制单位变更名称、地址、法定代表人或者主要负责人、业务范围等，未按规定办理审批、备案手续等行为的处罚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【规章】《复制管理办法》（中华人民共和国新闻出版总署令第42号，2009年6月30日颁布）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第四十一条  有下列行为之一的，由新闻出版行政部门责令改正，给予警告；情节严重的，并责令停业整顿或者由新闻出版总署吊销其复制经营许可证：（一）复制单位变更名称、地址、法定代表人或者主要负责人、业务范围等，未依照本办法规定办理审批、备案手续的；（二）复制单位未依照本办法的规定留存备查的材料的；（三）光盘复制单位使用未蚀刻或者未按本办法规定蚀刻SID码的注塑模具复制只读类光盘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8"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2</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对违反《中华人民共和国文物保护法》行为的处罚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(1)对擅自在文物保护单位的保护范围内进行建设工程或者爆破、钻探、挖掘作业等行为的处罚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b w:val="0"/>
                <w:bCs w:val="0"/>
                <w:color w:val="auto"/>
                <w:sz w:val="18"/>
                <w:szCs w:val="18"/>
                <w:highlight w:val="none"/>
              </w:rPr>
            </w:pPr>
            <w:r>
              <w:rPr>
                <w:rFonts w:hint="eastAsia" w:ascii="仿宋_GB2312" w:hAnsi="仿宋_GB2312" w:eastAsia="仿宋_GB2312" w:cs="仿宋_GB2312"/>
                <w:b w:val="0"/>
                <w:bCs w:val="0"/>
                <w:color w:val="auto"/>
                <w:sz w:val="18"/>
                <w:szCs w:val="18"/>
                <w:highlight w:val="none"/>
              </w:rPr>
              <w:t>【法律】《中华人民共和国文物保护法》（2015年4月24日颁布）</w:t>
            </w:r>
          </w:p>
          <w:p>
            <w:pPr>
              <w:spacing w:line="240" w:lineRule="exact"/>
              <w:rPr>
                <w:rFonts w:hint="eastAsia" w:ascii="仿宋_GB2312" w:hAnsi="仿宋_GB2312" w:eastAsia="仿宋_GB2312" w:cs="仿宋_GB2312"/>
                <w:b w:val="0"/>
                <w:bCs w:val="0"/>
                <w:color w:val="auto"/>
                <w:sz w:val="18"/>
                <w:szCs w:val="18"/>
                <w:highlight w:val="none"/>
              </w:rPr>
            </w:pPr>
            <w:r>
              <w:rPr>
                <w:rFonts w:hint="eastAsia" w:ascii="仿宋_GB2312" w:hAnsi="仿宋_GB2312" w:eastAsia="仿宋_GB2312" w:cs="仿宋_GB2312"/>
                <w:b w:val="0"/>
                <w:bCs w:val="0"/>
                <w:color w:val="auto"/>
                <w:sz w:val="18"/>
                <w:szCs w:val="18"/>
                <w:highlight w:val="none"/>
              </w:rPr>
              <w:t>第六十六条 有下列行为之一，尚不构成犯罪的，由县级以上人民政府文物主管部门责令改正，造成严重后果的，处五万元以上五十万元以下的罚款；情节严重的，由原发证机关吊销资质证书：</w:t>
            </w:r>
          </w:p>
          <w:p>
            <w:pPr>
              <w:spacing w:line="240" w:lineRule="exact"/>
              <w:rPr>
                <w:rFonts w:hint="eastAsia" w:ascii="仿宋_GB2312" w:hAnsi="仿宋_GB2312" w:eastAsia="仿宋_GB2312" w:cs="仿宋_GB2312"/>
                <w:b w:val="0"/>
                <w:bCs w:val="0"/>
                <w:color w:val="auto"/>
                <w:sz w:val="18"/>
                <w:szCs w:val="18"/>
                <w:highlight w:val="none"/>
              </w:rPr>
            </w:pPr>
            <w:r>
              <w:rPr>
                <w:rFonts w:hint="eastAsia" w:ascii="仿宋_GB2312" w:hAnsi="仿宋_GB2312" w:eastAsia="仿宋_GB2312" w:cs="仿宋_GB2312"/>
                <w:b w:val="0"/>
                <w:bCs w:val="0"/>
                <w:color w:val="auto"/>
                <w:sz w:val="18"/>
                <w:szCs w:val="18"/>
                <w:highlight w:val="none"/>
              </w:rPr>
              <w:t>（一）擅自在文物保护单位的保护范围内进行建设工程或者爆破、钻探、挖掘等作业的；</w:t>
            </w:r>
          </w:p>
          <w:p>
            <w:pPr>
              <w:spacing w:line="240" w:lineRule="exact"/>
              <w:rPr>
                <w:rFonts w:hint="eastAsia" w:ascii="仿宋_GB2312" w:hAnsi="仿宋_GB2312" w:eastAsia="仿宋_GB2312" w:cs="仿宋_GB2312"/>
                <w:b w:val="0"/>
                <w:bCs w:val="0"/>
                <w:color w:val="auto"/>
                <w:sz w:val="18"/>
                <w:szCs w:val="18"/>
                <w:highlight w:val="none"/>
              </w:rPr>
            </w:pPr>
            <w:r>
              <w:rPr>
                <w:rFonts w:hint="eastAsia" w:ascii="仿宋_GB2312" w:hAnsi="仿宋_GB2312" w:eastAsia="仿宋_GB2312" w:cs="仿宋_GB2312"/>
                <w:b w:val="0"/>
                <w:bCs w:val="0"/>
                <w:color w:val="auto"/>
                <w:sz w:val="18"/>
                <w:szCs w:val="18"/>
                <w:highlight w:val="none"/>
              </w:rPr>
              <w:t>（二）在文物保护单位的建设控制地带内进行建设工程，其工程设计方案未经文物行政部门同意、报城乡建设规划部门批准，对文物保护单位的历史风貌造成破坏的；</w:t>
            </w:r>
          </w:p>
          <w:p>
            <w:pPr>
              <w:spacing w:line="240" w:lineRule="exact"/>
              <w:rPr>
                <w:rFonts w:hint="eastAsia" w:ascii="仿宋_GB2312" w:hAnsi="仿宋_GB2312" w:eastAsia="仿宋_GB2312" w:cs="仿宋_GB2312"/>
                <w:b w:val="0"/>
                <w:bCs w:val="0"/>
                <w:color w:val="auto"/>
                <w:sz w:val="18"/>
                <w:szCs w:val="18"/>
                <w:highlight w:val="none"/>
              </w:rPr>
            </w:pPr>
            <w:r>
              <w:rPr>
                <w:rFonts w:hint="eastAsia" w:ascii="仿宋_GB2312" w:hAnsi="仿宋_GB2312" w:eastAsia="仿宋_GB2312" w:cs="仿宋_GB2312"/>
                <w:b w:val="0"/>
                <w:bCs w:val="0"/>
                <w:color w:val="auto"/>
                <w:sz w:val="18"/>
                <w:szCs w:val="18"/>
                <w:highlight w:val="none"/>
              </w:rPr>
              <w:t>（三）擅自迁移、拆除不可移动文物的；</w:t>
            </w:r>
          </w:p>
          <w:p>
            <w:pPr>
              <w:spacing w:line="240" w:lineRule="exact"/>
              <w:rPr>
                <w:rFonts w:hint="eastAsia" w:ascii="仿宋_GB2312" w:hAnsi="仿宋_GB2312" w:eastAsia="仿宋_GB2312" w:cs="仿宋_GB2312"/>
                <w:b w:val="0"/>
                <w:bCs w:val="0"/>
                <w:color w:val="auto"/>
                <w:sz w:val="18"/>
                <w:szCs w:val="18"/>
                <w:highlight w:val="none"/>
              </w:rPr>
            </w:pPr>
            <w:r>
              <w:rPr>
                <w:rFonts w:hint="eastAsia" w:ascii="仿宋_GB2312" w:hAnsi="仿宋_GB2312" w:eastAsia="仿宋_GB2312" w:cs="仿宋_GB2312"/>
                <w:b w:val="0"/>
                <w:bCs w:val="0"/>
                <w:color w:val="auto"/>
                <w:sz w:val="18"/>
                <w:szCs w:val="18"/>
                <w:highlight w:val="none"/>
              </w:rPr>
              <w:t>（四）擅自修缮不可移动文物，明显改变文物原状的；</w:t>
            </w:r>
          </w:p>
          <w:p>
            <w:pPr>
              <w:spacing w:line="240" w:lineRule="exact"/>
              <w:rPr>
                <w:rFonts w:hint="eastAsia" w:ascii="仿宋_GB2312" w:hAnsi="仿宋_GB2312" w:eastAsia="仿宋_GB2312" w:cs="仿宋_GB2312"/>
                <w:b w:val="0"/>
                <w:bCs w:val="0"/>
                <w:color w:val="auto"/>
                <w:sz w:val="18"/>
                <w:szCs w:val="18"/>
                <w:highlight w:val="none"/>
              </w:rPr>
            </w:pPr>
            <w:r>
              <w:rPr>
                <w:rFonts w:hint="eastAsia" w:ascii="仿宋_GB2312" w:hAnsi="仿宋_GB2312" w:eastAsia="仿宋_GB2312" w:cs="仿宋_GB2312"/>
                <w:b w:val="0"/>
                <w:bCs w:val="0"/>
                <w:color w:val="auto"/>
                <w:sz w:val="18"/>
                <w:szCs w:val="18"/>
                <w:highlight w:val="none"/>
              </w:rPr>
              <w:t>（五）擅自在原址重建已全部毁坏的不可移动文物，造成文物破坏的；</w:t>
            </w:r>
          </w:p>
          <w:p>
            <w:pPr>
              <w:spacing w:line="240" w:lineRule="exact"/>
              <w:rPr>
                <w:rFonts w:hint="eastAsia" w:ascii="仿宋_GB2312" w:hAnsi="仿宋_GB2312" w:eastAsia="仿宋_GB2312" w:cs="仿宋_GB2312"/>
                <w:b w:val="0"/>
                <w:bCs w:val="0"/>
                <w:color w:val="auto"/>
                <w:sz w:val="18"/>
                <w:szCs w:val="18"/>
                <w:highlight w:val="none"/>
              </w:rPr>
            </w:pPr>
            <w:r>
              <w:rPr>
                <w:rFonts w:hint="eastAsia" w:ascii="仿宋_GB2312" w:hAnsi="仿宋_GB2312" w:eastAsia="仿宋_GB2312" w:cs="仿宋_GB2312"/>
                <w:b w:val="0"/>
                <w:bCs w:val="0"/>
                <w:color w:val="auto"/>
                <w:sz w:val="18"/>
                <w:szCs w:val="18"/>
                <w:highlight w:val="none"/>
              </w:rPr>
              <w:t>（六）施工单位未取得文物保护工程资质证书，擅自从事文物修缮、迁移、重建的。</w:t>
            </w:r>
          </w:p>
          <w:p>
            <w:pPr>
              <w:spacing w:line="240" w:lineRule="exact"/>
              <w:rPr>
                <w:rFonts w:hint="eastAsia" w:ascii="仿宋_GB2312" w:hAnsi="仿宋_GB2312" w:eastAsia="仿宋_GB2312" w:cs="仿宋_GB2312"/>
                <w:b w:val="0"/>
                <w:bCs w:val="0"/>
                <w:color w:val="auto"/>
                <w:sz w:val="18"/>
                <w:szCs w:val="18"/>
                <w:highlight w:val="none"/>
              </w:rPr>
            </w:pPr>
            <w:r>
              <w:rPr>
                <w:rFonts w:hint="eastAsia" w:ascii="仿宋_GB2312" w:hAnsi="仿宋_GB2312" w:eastAsia="仿宋_GB2312" w:cs="仿宋_GB2312"/>
                <w:b w:val="0"/>
                <w:bCs w:val="0"/>
                <w:color w:val="auto"/>
                <w:sz w:val="18"/>
                <w:szCs w:val="18"/>
                <w:highlight w:val="none"/>
              </w:rPr>
              <w:t>刻划、涂污或者损坏文物尚不严重的，或者损毁依照本法第十五条第一款规定设立的文物保护单位标志的，由公安机关或者文物所在单位给予警告，可以并处罚款。》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对违反《中华人民共和国文物保护法》行为的处罚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(2)对转让或者抵押国有不可移动文物，或者将国有不可移动文物作为企业资产经营等行为的处罚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【法律】《中华人民共和国文物保护法》（2015年4月24日颁布）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第六十八条 有下列行为之一的，由县级以上人民政府文物主管部门责令改正，没收违法所得，违法所得一万元以上的，并处违法所得二倍以上五倍以下的罚款；违法所得不足一万元的，并处五千元以上二万元以下的罚款：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（一）转让或者抵押国有不可移动文物，或者将国有不可移动文物作为企业资产经营的；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（二）将非国有不可移动文物转让或者抵押给外国人的；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（三）擅自改变国有文物保护单位的用途的。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对违反《中华人民共和国文物保护法》行为的处罚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(3)对文物收藏单位未按照国家有关规定配备防火、防盗、防自然损坏设施等行为的处罚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【法律】《中华人民共和国文物保护法》（2015年4月24日颁布）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第七十条 有下列行为之一，尚不构成犯罪的，由县级以上人民政府文物主管部门责令改正，可以并处二万元以下的罚款，有违法所得的，没收违法所得：</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（一）文物收藏单位未按照国家有关规定配备防火、防盗、防自然损坏的设施的；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（二）国有文物收藏单位法定代表人离任时未按照馆藏文物档案移交馆藏文物，或者所移交的馆藏文物与馆藏文物档案不符的；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（三）将国有馆藏文物赠与、出租或者出售给其他单位、个人的；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（四）违反本法第四十条、第四十一条、第四十五条规定处置国有馆藏文物的；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（五）违反本法第四十三条规定挪用或者侵占依法调拨、交换、出借文物所得补偿费用的。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对违反《中华人民共和国文物保护法》行为的处罚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(4)对违反《中华人民共和国文物保护法》行为的处罚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【法律】《中华人民共和国文物保护法》（2015年4月24日颁布）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第七十一条 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对违反《中华人民共和国文物保护法》行为的处罚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(5)对发现文物隐匿不报或者拒不上交等行为的处罚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【法律】《中华人民共和国文物保护法》（2015年4月24日颁布）第七十四条 有下列行为之一，尚不构成犯罪的，由县级以上人民政府文物主管部门会同公安机关追缴文物；情节严重的，处五千元以上五万元以下的罚款：</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（一）发现文物隐匿不报或者拒不上交的；</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（二）未按照规定移交拣选文物的。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对违反《中华人民共和国文物保护法》行为的处罚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(6)对改变国有未核定为文物保护单位的不可移动文物用途等行为的处罚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【法律】《中华人民共和国文物保护法》（2015年4月24日颁布）第七十五条  下列行为之一，由县级以上人民政府文物主管部门责令改正 。（一）改变国有未核定为文物保护单位的不可移动文物的用途，未依照本法规定报告的；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（二）转让、抵押非国有不可移动文物或者改变其用途，未依照本法规定备案的；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（三）国有不可移动文物的使用人拒不依法履行修缮义务的；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（四）考古发掘单位未经批准擅自进行考古发掘，或者不如实报告考古发掘结果的；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（五）文物收藏单位未按照国家有关规定建立馆藏文物档案、管理制度，或者未将馆藏文物档案、管理制度备案的；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（六）违反本法第三十八条规定，未经批准擅自调取馆藏文物的；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（七）馆藏文物损毁未报文物行政部门核查处理，或者馆藏文物被盗、被抢或者丢失，文物收藏单位未及时向公安机关或者文物行政部门报告的；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（八）文物商店销售文物或者拍卖企业拍卖文物，未按照国家有关规定作出记录或者未将所作记录报文物行政部门备案的。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对违反《中华人民共和国文物保护法》行为的处罚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(7)对未取得相应等级的文物保护工程资质证书，擅自承担文物保护单位的修缮、迁移、重建工程行为的处罚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华人民共和国文物保护法实施条例》（国务院令第377号，2003年5月18日颁布）第五十五条“违反本条例规定，未取得相应等级的文物保护工程资质证书，擅自承担文物保护单位的修缮、迁移、重建工程的，由文物行政主管部门责令限期改正；逾期不改正的，或者造成严重后果的，处5万元以上50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对违反《中华人民共和国文物保护法》行为的处罚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(8)对未取得资质证书，擅自从事馆藏文物的修复、复制、拓印活动行为的处罚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【行政法规】《中华人民共和国文物保护法实施条例》（国务院令第377号，2003年5月18日颁布）第五十六条 违反本条例规定，未取得资质证书，擅自从事馆藏文物的修复、复制、拓印活动的，由文物行政主管部门责令停止违法行动；没收违法所得和从事违法活动的专用工具、设备；造成严重后果的，并处1万元以上10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对违反《中华人民共和国文物保护法》行为的处罚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(9)对未经批准擅自修复、复制、拓印、拍摄馆藏珍贵文物行为的处罚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【行政法规】《中华人民共和国文物保护法实施条例》（国务院令第377号，2003年5月18日颁布）第五十八条 违反本条例规定，对未经批准擅自修复、复制、拓印、拍摄馆藏珍贵文物的，由文物行政主管部门给予警告；造成严重后果的，处2000元以上2万元以下的罚款”。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540"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3</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对违反《辽宁省文物勘探管理办法》行为的处罚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【规章】《辽宁省文物勘探管理办法》（1995年11月14日辽宁省人民政府辽政办发(1995)64号发布 根据1997年12月26日辽宁省人民政府令第87号发布的《〈辽宁省文物勘探管理办法〉修正案》第一次修正 根据2004年6月24日辽宁省人民政府第36次常务会议审议通过 2004年6月27日辽宁省人民政府令第171号公布 自2004年7月1日起施行的《辽宁省人民政府关于修订废止部分省政府规章的决定》第二次修正 根据2011年1月7日辽宁省第十一届人民政府第44次常务会议审议通过 2011年1月13日辽宁省人民政府令第247号公布 自公布之日起施行的《辽宁省人民政府关于修改和废止〈辽宁省小煤矿安全生产管理规定〉等89件省政府规章的决定》第三次修正）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第十六条 对违反本办法第四条，未进行文物勘探的建设单位，由建设部门根据文物行政管理部门意见责令其停止施工，并由文物行政管理部门处以1000元以上1万元以下的罚款。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第四条  必须进行文物勘探的范围：</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各级文物保护单位保护范围和建设控制地带内的建设项目；（二）文物行政管理部门和建设行政管理部门共同划定的有可能埋藏文物的区域；（三）国家及省大中型建设项目；（四）其他生产建设和基本建设项目中发现文物的区域。</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4</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对违反《社会艺术水平考级管理办法》行为的处罚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(1)对违反未经批准擅自开办艺术考级活动的处罚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【规章】《社会艺术水平考级管理办法》（2004年6月2日文化部部务会议通过  2004年7月1日文化部令第31号发布  自2004年7月1日起施行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第二十九条 未经批准擅自开办艺术考级活动的，由县级以上文化行政部门或者文化市场综合执法机构责令停止违法活动，并处10000元以上30000元以下罚款。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对违反《社会艺术水平考级管理办法》行为的处罚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(2)对违反组织艺术考级活动前未向社会发布考级简章或考级简章内容不符合规定等的处罚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【规章】《社会艺术水平考级管理办法》（2004年6月2日文化部部务会议通过  2004年7月1日文化部令第31号发布  自2004年7月1日起施行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第三十条 艺术考级机构有下列行为之一的，由县级以上文化行政部门或者文化市场综合执法机构予以警告，责令改正并处10000元以下罚款：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（一）组织艺术考级活动前未向社会发布考级简章或考级简章内容不符合规定的；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（二）未按规定将承办单位的基本情况和合作协议备案的；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（三）组织艺术考级活动未按规定将考级简章、考级时间、考级地点、考生数量、考场安排、考官名单等情况备案的；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（四）艺术考级活动结束后未按规定报送考级结果的；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（五）艺术考级机构主要负责人、办公地点有变动未按规定向审批机关备案的。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对违反《社会艺术水平考级管理办法》行为的处罚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(3)对违反委托的承办单位不符合规定等的处罚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【规章】《社会艺术水平考级管理办法》（2004年6月2日文化部部务会议通过  2004年7月1日文化部令第31号发布  自2004年7月1日起施行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第三十二条 艺术考级机构有下列行为之一的，由文化行政部门或者文化市场综合执法机构予以警告，责令改正并处30000元以下罚款；情节严重的，取消开办艺术考级活动资格：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（一）委托的承办单位不符合规定的；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（二）未按照规定组建常设工作机构并配备专职工作人员的；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（三）未按照本机构教材确定艺术考级内容的；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（四）未按照规定要求实行回避的；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（五）阻挠、抗拒文化行政部门或者文化市场综合执法机构工作人员监督检查的。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5" w:hRule="atLeast"/>
          <w:jc w:val="center"/>
        </w:trPr>
        <w:tc>
          <w:tcPr>
            <w:tcW w:w="540"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5</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对违反《中华人民共和国水下文物保护管理条例》行为的处罚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【行政法规】《中华人民共和国水下文物保护管理条例》（1989年10月20日中华人民共和国国务院令第42号发布　根据2011年1月8日《国务院关于废止和修改部分行政法规的决定》修订）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第十条　保护水下文物有突出贡献，符合《中华人民共和国文物保护法》规定情形的，给予表彰、奖励。</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违反本条例第五条、第六条、第七条的规定，破坏水下文物，私自勘探、发掘、打捞水下文物，或者隐匿、私分、贩运、非法出售、非法出口水下文物，具有《中华人民共和国文物保护法》规定情形的，依法给予行政处罚或者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违反本条例第八条、第九条的规定，造成严重后果的，由文物行政管理部门会同有关部门责令停止作业限期改进或者给予撤销批准的行政处罚，可以并处1000元至1万元的罚款。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第八条　任何单位或者个人经批准后实施水下文物考古勘探或者发掘活动，活动范围涉及港务监督部门管辖水域的，必须报请港务监督部门核准，由港务监督部门核准划定安全作业区，发布航行通告。</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第九条　任何单位或者个人实施水下文物考古勘探或者发掘活动时，还必须遵守中国其他有关法律、法规，接受有关部门的管理；遵守水下考古、潜水、航行等规程，确保人员和水下文物的安全；防止水体的环境污染，保护水下生物资源和其他自然资源不受损害；保护水面、水下的一切设施；不得妨碍交通运输、渔业生产、军事训练以及其他正常的水面、水下作业活动。          第五条　根据水下文物的价值，国务院和省、自治区、直辖市人民政府可以依据《中华人民共和国文物保护法》第二章规定的有关程序，确定全国或者省级水下文物保护单位、水下文物保护区，并予公布。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在水下文物保护单位和水下文物保护区内，禁止进行危及水下文物安全的捕捞、爆破等活动。</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第六条　任何单位或者个人以任何方式发现本条例第二条第（一）、（二）项所规定的水下文物，应当及时报告国家文物局或者地方文物行政管理部门；已打捞出水的，应当及时上缴国家文物局或者地方文物行政管理部门处理。</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任何单位或者个人以任何方式发现本条例第二条第（三）项所规定的水下文物，应当及时报告国家文物局或者地方文物行政管理部门；已打捞出水的，应当及时提供国家文物局或者地方文物行政管理部门辨认、鉴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第七条　水下文物的考古勘探和发掘活动应当以文物保护和科学研究为目的。任何单位或者个人在中国管辖水域进行水下文物的考古勘探或者发掘活动，必须向国家文物局提出申请，并提供有关资料。未经国家文物局批准，任何单位或者个人不得以任何方式私自勘探或者发掘。</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外国国家、国际组织、外国法人或者自然人在中国管辖水域进行水下文物的考古勘探或者发掘活动，必须采取与中国合作的方式进行，其向国家文物局提出的申请，须由国家文物局报经国务院特别许可。</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6</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对违反《娱乐场所管理办法》行为的处罚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(1)对擅自从事娱乐场所经营活动等的处罚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【行政法规】《娱乐场所管理条例》（2006年1月29日中华人民共和国国务院令第458号公布  根据2016年2月6日《国务院关于修改部分行政法规的决定》修订）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第二十八条 违反《条例》规定，擅自从事娱乐场所经营活动的，由县级以上人民政府文化主管部门责令停止经营活动，依照《条例》第四十一条予以处罚；拒不停止经营活动的，依法列入文化市场黑名单，予以信用惩戒。</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对违反《娱乐场所管理办法》行为的处罚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(2)对违反歌舞娱乐场所播放的曲目、屏幕画面或者游艺娱乐场所电子游戏机内的游戏项目等行为的处罚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第二十九条 歌舞娱乐场所违反本办法第二十条规定的，由县级以上人民政府文化主管部门依照《条例》第四十八条予以处罚。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第二十条 歌舞娱乐场所经营应当符合以下规定：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（一）播放、表演的节目不得含有《条例》第十三条禁止内容；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（二）不得将场所使用的歌曲点播系统连接至境外曲库。</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【行政法规】《娱乐场所管理条例》（2006年1月29日中华人民共和国国务院令第458号公布  根据2016年2月6日《国务院关于修改部分行政法规的决定》修订）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（一）歌舞娱乐场所的歌曲点播系统与境外的曲库联接的；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（二）歌舞娱乐场所播放的曲目、屏幕画面或者游艺娱乐场所电子游戏机内的游戏项目含有本条例第十三条禁止内容的；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（三）歌舞娱乐场所接纳未成年人的；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（四）游艺娱乐场所设置的电子游戏机在国家法定节假日外向未成年人提供的；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（五）娱乐场所容纳的消费者超过核定人数的。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对违反《娱乐场所管理办法》行为的处罚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(3)对违反设置未经文化主管部门内容核查的游戏游艺设备等行为的处罚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【行政法规】《娱乐场所管理条例》（2006年1月29日中华人民共和国国务院令第458号公布  根据2016年2月6日《国务院关于修改部分行政法规的决定》修订）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（一）歌舞娱乐场所的歌曲点播系统与境外的曲库联接的；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（二）歌舞娱乐场所播放的曲目、屏幕画面或者游艺娱乐场所电子游戏机内的游戏项目含有本条例第十三条禁止内容的；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（三）歌舞娱乐场所接纳未成年人的；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（四）游艺娱乐场所设置的电子游戏机在国家法定节假日外向未成年人提供的；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（五）娱乐场所容纳的消费者超过核定人数的。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第三十条 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第二十一条 游艺娱乐场所经营应当符合以下规定：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（一）不得设置未经文化主管部门内容核查的游戏游艺设备；</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（二）进行有奖经营活动的，奖品目录应当报所在地县级文化主管部门备案；</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（三）除国家法定节假日外，设置的电子游戏机不得向未成年人提供。</w:t>
            </w:r>
          </w:p>
          <w:p>
            <w:pPr>
              <w:spacing w:line="240" w:lineRule="exact"/>
              <w:rPr>
                <w:rFonts w:hint="eastAsia" w:ascii="仿宋_GB2312" w:hAnsi="仿宋_GB2312" w:eastAsia="仿宋_GB2312" w:cs="仿宋_GB2312"/>
                <w:color w:val="auto"/>
                <w:sz w:val="18"/>
                <w:szCs w:val="18"/>
                <w:highlight w:val="none"/>
              </w:rPr>
            </w:pP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对违反《娱乐场所管理办法》行为的处罚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(4)对娱乐场所未经文化主管部门批准的营业性演出活动提供场地等行为的处罚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第三十一条 娱乐场所违反本办法第二十二条第一款规定的，由县级以上人民政府文化主管部门责令改正，并处5000元以上1万元以下罚款。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第二十二条第一款 娱乐场所不得为未经文化主管部门批准的营业性演出活动提供场地。</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对违反《娱乐场所管理办法》行为的处罚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(5)对违法违规行为未及时采取措施制止并依法报告等行为的处罚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【行政法规】《娱乐场所管理条例》（2006年1月29日中华人民共和国国务院令第458号公布  根据2016年2月6日《国务院关于修改部分行政法规的决定》修订）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第三十二条 娱乐场所违反本办法第二十三条规定对违法违规行为未及时采取措施制止并依法报告的，由县级以上人民政府文化主管部门依照《条例》第五十条予以处罚。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第二十三条 娱乐场所应当建立文化产品内容自审和巡查制度，确定专人负责管理在场所内提供的文化产品和服务。巡查情况应当记入营业日志。</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消费者利用娱乐场所从事违法违规活动的，娱乐场所应当制止，制止无效的应当及时报告文化主管部门或者公安机关。</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对违反《娱乐场所管理办法》行为的处罚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(6)对违反未标注未成年人禁入或者限入标志，标志等行为的处罚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第三十三条 娱乐场所违反本办法第二十四条规定的，由县级以上人民政府文化主管部门责令改正，予以警告。</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娱乐场所应当在显著位置悬挂娱乐经营许可证、未成年人禁入或者限入标志，标志应当注明“12318”文化市场举报电话。</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对违反《娱乐场所管理办法》行为的处罚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(7)对未在显著位置悬挂娱乐经营许可证等的处罚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【规章】《娱乐场所管理办法》（2013年1月25日文化部部务会议审议通过  2013年2月4日文化部令第55号发布  自2013年3月11日起施行  根据2017年12月15日发布的《文化部关于废止和修改部分部门规章的决定》（文化部令第57号）修订）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第三十四条 娱乐场所违反本办法第二十五条规定的，由县级以上人民政府文化主管部门予以警告，并处5000元以上1万元以下罚款。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第二十五条 娱乐场所应当配合文化主管部门的日常检查和技术监管措施。第二十四条  娱乐场所应当在显著位置悬挂娱乐经营许可证、未成年人禁入或者限入标志，标志应当注明“12318”文化市场举报电话。</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第三十三条娱乐场所违反本办法第二十四条规定的，由县级以上人民政府文化主管部门责令改正，予以警告。</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7</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对违反《艺术品经营管理办法》行为的处罚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）对未到其住所地县级以上人民政府工商行政管理部门申领营业执照，并未在领取营业执照之日起15日内，到其住所地县级以上人民政府文化行政部门备案等的处罚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【规章】《艺术品经营管理办法》（中华人民共和国文化部令第56号，2016年3月15日施行）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第十九条 违反本办法第五条规定的，由县级以上人民政府文化行政部门或者依法授权的文化市场综合执法机构责令改正，并可根据情节轻重处10000元以下罚款。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对违反《艺术品经营管理办法》行为的处罚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）对违反《艺术品经营管理办法》中含有反对宪法确定的基本原则艺术品等行为的处罚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【规章】《艺术品经营管理办法》（中华人民共和国文化部令第56号，2016年3月15日施行）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对违反《艺术品经营管理办法》行为的处罚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）对违反《艺术品经营管理办法》中含有走私、盗窃来源艺术品行为的处罚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【规章】《艺术品经营管理办法》（中华人民共和国文化部令第56号，2016年3月15日施行）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对违反《艺术品经营管理办法》行为的处罚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）对向消费者隐瞒艺术品来源，或者在艺术品说明中隐瞒重要事项，误导消费者等行为的处罚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【规章】《艺术品经营管理办法》（中华人民共和国文化部令第56号，2016年3月15日施行）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                                  第八条 艺术品经营单位不得有以下经营行为：</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（一）向消费者隐瞒艺术品来源，或者在艺术品说明中隐瞒重要事项，误导消费者的；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（二）伪造、变造艺术品来源证明、艺术品鉴定评估文件以及其他交易凭证的；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（三）以非法集资为目的或者以非法传销为手段进行经营的；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（四）未经批准，将艺术品权益拆分为均等份额公开发行，以集中竞价、做市商等集中交易方式进行交易的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（五）法律、法规和国家规定禁止的其他经营行为。</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对违反《艺术品经营管理办法》行为的处罚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）对未明示艺术品鉴定、评估程序或者需要告知、提示委托人的事项等行为的处罚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【规章】《艺术品经营管理办法》（中华人民共和国文化部令第56号，2016年3月15日施行）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第二十二条 违反本办法第九条、第十一条规定的，由县级以上人民政府文化行政部门或者依法授权的文化市场综合执法机构责令改正，并可根据情节轻重处30000元以下罚款。                                                      第九条 艺术品经营单位应当遵守以下规定：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（一）对所经营的艺术品应当标明作者、年代、尺寸、材料、保存状况和销售价格等信息；</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（二）保留交易有关的原始凭证、销售合同、台账、账簿等销售记录，法律、法规要求有明确期限的，按照法律、法规规定执行；法律、法规没有明确规定的，保存期不得少于5年。</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第十一条 艺术品经营单位从事艺术品鉴定、评估等服务，应当遵守以下规定：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（一）与委托人签订书面协议，约定鉴定、评估的事项，鉴定、评估的结论适用范围以及被委托人应当承担的责任；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（二）明示艺术品鉴定、评估程序或者需要告知、提示委托人的事项；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（三）书面出具鉴定、评估结论，鉴定、评估结论应当包括对委托艺术品的全面客观说明，鉴定、评估的程序，做出鉴定、评估结论的证据，鉴定、评估结论的责任说明，并对鉴定、评估结论的真实性负责；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（四）保留书面鉴定、评估结论副本及鉴定、评估人签字等档案不得少于5年</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对违反《艺术品经营管理办法》行为的处罚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）以商业等为目的进出口活动未报送艺术品图录等行为的处罚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【规章】《艺术品经营管理办法》（中华人民共和国文化部令第56号，2016年3月15日施行）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8</w:t>
            </w: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对违反《广播电视管理条例》行为的处罚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对未经批准，擅自变更台名、台标、节目设置范围或者节目套数等行为的处罚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【行政法规】《广播电视管理条例》（国务院令第228号，2013年12月7日修订）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第五十条违反本条例规定，有下列行为之一的，由县级以上人民政府广播电视行政部门责令停止违法活动，给予警告，没收违法所得，可以并处2万元以下的罚款；情节严重的，由原批准机关吊销许可证：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（一）未经批准，擅自变更台名、台标、节目设置范围或者节目套数的；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（二）出租、转让播出时段的；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（三）转播、播放广播电视节目违反规定的；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（四）播放境外广播电视节目或者广告的时间超出规定的；（五）播放未取得广播电视节目制作经营许可的单位制作的广播电视节目或者未取得电视剧制作许可的单位制作的电视剧的；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（六）播放未经批准的境外电影、电视剧和其他广播电视节目的；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（七）教育电视台播放本条例第四十四条规定禁止播放的节目的；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（八）未经批准，擅自举办广播电视节目交流、交易活动的。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）对违规广播电视节目的处罚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【行政法规】《广播电视管理条例》（国务院令第228号，2013年12月7日修订）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第四十九条  违反本条例规定，制作、播放、向境外提供含有本条例第三十二条规定禁止内容的节目的，由县级以上人民政府广播电视行政部门责令停止制作、播放、向境外提供，收缴其节目载体，并处1万元以上5万元以下的罚款；情节严重的，由原批准机关吊销许可证；违反治安管理规定的，由公安机关依法给予治安管理处罚；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第三十二条  广播电台、电视台应当提高广播电视节目质量，增加国产优秀节目数量，禁止制作、播放载有下列内容的节目：</w:t>
            </w:r>
          </w:p>
          <w:p>
            <w:pPr>
              <w:numPr>
                <w:ilvl w:val="0"/>
                <w:numId w:val="56"/>
              </w:num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危害国家的统一、主权和领土完整的；（二）危害国家的安全、荣誉和利益的；（三）煽动民族分裂，破坏民族团结的；（四）泄露国家秘密的；（五）诽谤、侮辱他人的；（六）宣扬淫秽、迷信或者渲染暴力的；（七）法律、行政法规规定禁止的其他内容。</w:t>
            </w:r>
          </w:p>
          <w:p>
            <w:pPr>
              <w:numPr>
                <w:ilvl w:val="0"/>
                <w:numId w:val="0"/>
              </w:numPr>
              <w:spacing w:line="240" w:lineRule="exact"/>
              <w:rPr>
                <w:rFonts w:hint="eastAsia" w:ascii="仿宋_GB2312" w:hAnsi="仿宋_GB2312" w:eastAsia="仿宋_GB2312" w:cs="仿宋_GB2312"/>
                <w:color w:val="auto"/>
                <w:sz w:val="18"/>
                <w:szCs w:val="18"/>
                <w:highlight w:val="none"/>
              </w:rPr>
            </w:pP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）对擅自设立广播电视节目制作经营单位或者擅自制作、发行、播出电视剧及其他广播电视节目行为的处罚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【行政法规】《广播电视管理条例》（国务院令第228号，2013年12月7日修订）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第四十八条  违反本条例规定，擅自设立广播电视节目制作经营单位或者擅自制作电视剧及其他广播电视节目的，由县级以上人民政府广播电视行政部门予以取缔，没收其从事违法活动的专用工具、设备和节目载体，并处1万元以上5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【规章】《电视剧内容管理规定》（国家广播电影电视总局令第63号，2010年5月14日颁布）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第三十五条  违反本规定，擅自制作、发行、播出电视剧或者变更主要事项未重新报审的，依照《广播电视管理条例》第四十八条的规定予以处罚。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）对擅自设立广播电台、电视台、教育电视台、有线广播电视传输覆盖网、广播电视站和擅自设立广播电视发射台、转播台、微波站、卫星上行站行为的处罚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【行政法规】《广播电视管理条例》（国务院令第228号，2013年12月7日修订）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第四十七条  违反本条例规定，擅自设立广播电台、电视台、教育电视台、有线广播电视传输覆盖网、广播电视站的，由县级以上人民政府广播电视行政部门予以取缔，没收其从事违法活动的设备，并处投资总额1倍以上2倍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）对危害广播电台、电视台及转播台等机构安全播出的，破坏、损坏广播电视设施行为的处罚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【行政法规】《广播电视管理条例》（国务院令第228号，2013年12月7日修订）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第五十二条  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）对出租、转让频率、频段，擅自变更广播电视发射台、转播台技术参数等行为的处罚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【行政法规】《广播电视管理条例》（国务院令第228号，2013年12月7日修订）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（一）出租、转让频率、频段，擅自变更广播电视发射台、转播台技术参数的；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（二）广播电视发射台、转播台擅自播放自办节目、插播广告的；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（三）未经批准，擅自利用卫星方式传输广播电视节目的；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（四）未经批准，擅自以卫星等传输方式进口、转播境外广播电视节目的；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（五）未经批准，擅自利用有线广播电视传输覆盖网播放节目的；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（六）未经批准，擅自进行广播电视传输覆盖网的工程选址、设计、施工、安装的；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（七）侵占、干扰广播电视专用频率，擅自截传、干扰、解扰广播电视信号的。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0"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2</w:t>
            </w:r>
            <w:r>
              <w:rPr>
                <w:rFonts w:hint="eastAsia" w:ascii="仿宋_GB2312" w:hAnsi="仿宋_GB2312" w:eastAsia="仿宋_GB2312" w:cs="仿宋_GB2312"/>
                <w:color w:val="auto"/>
                <w:sz w:val="18"/>
                <w:szCs w:val="18"/>
                <w:highlight w:val="none"/>
                <w:lang w:val="en-US" w:eastAsia="zh-CN"/>
              </w:rPr>
              <w:t>9</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对违反《出版管理条例》行为的处罚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）对出版单位委托未取得出版物印刷或者复制许可的单位印刷或者复制出版物等行为的处罚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【行政法规】《出版管理条例》（国务院令第594号，2014年7月29日修订根据2016年02月6日《国务院关于修改部分行政法规的决定》(国务院令第666号)第四次修订）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第六十五条  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出版、印刷、发行单位出版、印刷、发行未经依法审定的中学小学教科书，或者非依照本条例规定确定的单位从事中学小学教科书的出版、发行业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【规章】《出版物市场管理规定》（中华人民共和国新闻出版广电总局 商务部令第10号，2016年6月1日施行）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第三十四条　在中小学教科书发行过程中违反本规定，有下列行为之一的，依照《出版管理条例》第六十五条处罚：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（一）发行未经依法审定的中小学教科书的；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（二）不具备中小学教科书发行资质的单位从事中小学教科书发行活动的；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（三）未按照《中华人民共和国政府采购法》有关规定确定的单位从事纳入政府采购范围的中小学教科书发行活动的。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【规章】《出版物市场管理规定》（中华人民共和国新闻出版广电总局 商务部令第10号，2016年6月1日施行）发行其他非法出版物和出版行政主管部门明令禁止出版、印刷或者复制、发行的出版物的，依照《出版管理条例》第六十五条处罚。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对违反《出版管理条例》行为的处罚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）对出售或者以其他形式转让本出版单位的名称、书号、刊号、版号、版面，或者出租本单位的名称、刊号等行为的处罚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【行政法规】《出版管理条例》（国务院令第594号，2014年7月29日修订根据2016年02月6日《国务院关于修改部分行政法规的决定》(国务院令第666号)第四次修订）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第六十六条  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一）出售或者以其他形式转让本出版单位的名称、书号、刊号、版号、版面，或者出租本单位的名称、刊号的；（二）利用出版活动谋取其他不正当利益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对违反《出版管理条例》行为的处罚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）对未经批准，擅自设立出版物的印刷或者复制单位等行为的处罚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【行政法规】《出版管理条例》（国务院令第594号，2014年7月29日修订根据2016年02月6日《国务院关于修改部分行政法规的决定》(国务院令第666号)第四次修订）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第七十二条  行政法规对音像制品和电子出版物的出版、复制、进口、发行另有规定的，适用其规定。接受境外机构或者个人赠送出版物的管理办法、订户订购境外出版物的管理办法、网络出版审批和管理办法，由国务院出版行政主管部门根据本条例的原则另行制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【规章】《出版物市场管理规定》（中华人民共和国新闻出版广电总局 商务部令第10号，2016年6月1日施行）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第三十一条　未经批准，擅自从事出版物发行业务的，依照《出版管理条例》第六十一条处罚。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对违反《出版管理条例》行为的处罚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）对未经批准，擅自设立出版物的出版、进口单位等行为的处罚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【行政法规】《出版管理条例》（国务院令第594号，2014年7月29日修订根据2016年02月6日《国务院关于修改部分行政法规的决定》(国务院令第666号)第四次修订）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第七十二条  行政法规对音像制品和电子出版物的出版、复制、进口、发行另有规定的，适用其规定。接受境外机构或者个人赠送出版物的管理办法、订户订购境外出版物的管理办法、网络出版审批和管理办法，由国务院出版行政主管部门根据本条例的原则另行制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【规章】《出版物市场管理规定》（中华人民共和国新闻出版广电总局 商务部令第10号，2016年6月1日施行）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第三十一条　未经批准，擅自从事出版物发行业务的，依照《出版管理条例》第六十一条处罚。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对违反《出版管理条例》行为的处罚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）对出版、进口含有反对宪法确定的基本原则等禁止内容的出版物等行为的处罚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【行政法规】《出版管理条例》（国务院令第594号，2014年7月29日修订根据2016年02月6日《国务院关于修改部分行政法规的决定》(国务院令第666号)第四次修订）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第六十二条  出版、进口含有本条例第二十五条、第二十六条禁止内容的出版物，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【规章】《出版物市场管理规定》（中华人民共和国新闻出版广电总局 商务部令第10号，2016年6月1日施行）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第三十二条　发行违禁出版物的，依照《出版管理条例》第六十二条处罚。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对违反《出版管理条例》行为的处罚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对出版单位变更名称、主办单位或者其主管机关、业务范围，合并或者分立，出版新的报纸、期刊，或者报纸、期刊改变名称，以及出版单位变更其他事项，未依照本条例的规定到出版行政主管部门办理审批、变更登记手续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【行政法规】《出版管理条例》（国务院令第594号，2014年7月29日修订根据2016年02月6日《国务院关于修改部分行政法规的决定》(国务院令第666号)第四次修订）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第六十七条  有下列行为之一的，由出版行政主管部门责令改正，给予警告；情节严重的，责令限期停业整顿或者由原发证机关吊销许可证：（一）出版单位变更名称、主办单位或者其主管机关、业务范围，合并或者分立，出版新的报纸、期刊，或者报纸、期刊改变名称，以及出版单位变更其他事项，未依照本条例的规定到出版行政主管部门办理审批、变更登记手续的；（二）出版单位未将其年度出版计划和涉及国家安全、社会安定等方面的重大选题备案的；（三）出版单位未依照本条例的规定送交出版物的样本的；（四）印刷或者复制单位未依照本条例的规定留存备查的材料的；（五）出版进口经营单位未将其进口的出版物目录报送备案的；（六）出版单位擅自中止出版活动超过180日的；（七）出版物发行单位、出版物进口经营单位未依照本条例的规定办理变更审批手续的；（八）出版物质量不符合有关规定和标准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【规章】《电子出版物出版管理规定》（中华人民共和国新闻出版总署令第34号，2008年2月21日颁布）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第六十条  有下列行为之一的，按照《出版管理条例》第六十一条处罚：（一）电子出版物出版单位变更名称、主办单位或者主管单位、业务范围、资本结构，合并或者分立，电子出版物出版单位变更地址、法定代表人或者主要负责人，未依照本规定的要求办理审批、变更登记手续的；（二）经批准出版的连续型电子出版物，新增或者改变连续型电子出版物的名称、刊期与出版范围，未办理审批手续的；（三）电子出版物出版单位未按规定履行年度出版计划和重大选题备案的；（四）出版单位未按照有关规定送交电子出版物样品的；（五）电子出版物进口经营单位违反本规定第三十八条未经批准进口电子出版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【规章】《出版物市场管理规定》（中华人民共和国新闻出版广电总局 商务部令第10号，2016年6月1日施行）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第三十五条　出版物发行单位未依照规定办理变更审批手续的，依照《出版管理条例》第六十七条处罚。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对违反《出版管理条例》行为的处罚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7</w:t>
            </w:r>
            <w:r>
              <w:rPr>
                <w:rFonts w:hint="eastAsia" w:ascii="仿宋_GB2312" w:hAnsi="仿宋_GB2312" w:eastAsia="仿宋_GB2312" w:cs="仿宋_GB2312"/>
                <w:color w:val="auto"/>
                <w:sz w:val="18"/>
                <w:szCs w:val="18"/>
                <w:highlight w:val="none"/>
                <w:lang w:eastAsia="zh-CN"/>
              </w:rPr>
              <w:t>）对印刷或者复制、发行国务院出版行政主管部门禁止进口的出版物等行为的处罚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【行政法规】《出版管理条例》（国务院令第594号，2014年7月29日修订根据2016年02月6日《国务院关于修改部分行政法规的决定》(国务院令第666号)第四次修订）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第六十三条　有下列行为之一的，由出版行政主管部门责令停止违法行为，没收出版物、违法所得，违法经营额10000元以上的，并处违法经营额5倍以上10倍以下的罚款；违法经营额不足10000元的，可以处5万元以下的罚款；情节严重的，责令限期停业整顿或者由原发证机关吊销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（一）进口、印刷或者复制、发行国务院出版行政主管部门禁止进口的出版物的；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（二）印刷或者复制走私的境外出版物的；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（三）发行进口出版物未从本条例规定的出版物进口经营单位进货的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【规章】《出版物市场管理规定》（中华人民共和国新闻出版广电总局 商务部令第10号，2016年6月1日施行）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发行国家新闻出版广电总局禁止进口的出版物，或者发行未从依法批准的出版物进口经营单位进货的进口出版物，依照《出版管理条例》第六十三条处罚。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0"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30</w:t>
            </w: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对违反《中华人民共和国旅游法》行为的处罚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(1)对未经许可经营旅行社业务等行为的处罚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对违反《中华人民共和国旅游法》行为的处罚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(2)对未按照规定为出境或者入境团队旅游安排领队或者导游全程陪同等行为的处罚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（一）未按照规定为出境或者入境团队旅游安排领队或者导游全程陪同的；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（二）安排未取得导游证的人员提供导游服务或者安排不具备领队条件的人员提供领队服务的；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（三）未向临时聘用的导游支付导游服务费用的；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（四）要求导游垫付或者向导游收取费用的。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对违反《中华人民共和国旅游法》行为的处罚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(3)对进行虚假宣传，误导旅游者等行为的处罚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（一）进行虚假宣传，误导旅游者的；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（二）向不合格的供应商订购产品和服务的；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（三）未按照规定投保旅行社责任保险的。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对违反《中华人民共和国旅游法》行为的处罚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(4)对旅行社以不合理的低价组织旅游活动，诱骗旅游者，并通过安排购物或者另行付费旅游项目获取回扣等不正当利益的行为处罚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第九十八条 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以下罚款，并暂扣或者吊销导游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对违反《中华人民共和国旅游法》行为的处罚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rPr>
              <w:t>对旅游经营者组织、接待出入境旅游，发现旅游者从事违法活动或者有违反本法第十六条规定情形的，未及时向公安机关、旅游主管部门或者我国驻外机构报告等行为的处罚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对违反《中华人民共和国旅游法》行为的处罚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对在旅游行程中擅自变更旅游行程安排，严重损害旅游者权益等行为的处罚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（一）在旅游行程中擅自变更旅游行程安排，严重损害旅游者权益的；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（二）拒绝履行合同的；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（三）未征得旅游者书面同意，委托其他旅行社履行包价旅游合同的。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对违反《中华人民共和国旅游法》行为的处罚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7</w:t>
            </w:r>
            <w:r>
              <w:rPr>
                <w:rFonts w:hint="eastAsia" w:ascii="仿宋_GB2312" w:hAnsi="仿宋_GB2312" w:eastAsia="仿宋_GB2312" w:cs="仿宋_GB2312"/>
                <w:color w:val="auto"/>
                <w:sz w:val="18"/>
                <w:szCs w:val="18"/>
                <w:highlight w:val="none"/>
                <w:lang w:eastAsia="zh-CN"/>
              </w:rPr>
              <w:t>）对旅行社安排旅游者参观或者参与违反我国法律、法规和社会公德的项目或者活动等行为的处罚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对违反《中华人民共和国旅游法》行为的处罚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8</w:t>
            </w:r>
            <w:r>
              <w:rPr>
                <w:rFonts w:hint="eastAsia" w:ascii="仿宋_GB2312" w:hAnsi="仿宋_GB2312" w:eastAsia="仿宋_GB2312" w:cs="仿宋_GB2312"/>
                <w:color w:val="auto"/>
                <w:sz w:val="18"/>
                <w:szCs w:val="18"/>
                <w:highlight w:val="none"/>
                <w:lang w:eastAsia="zh-CN"/>
              </w:rPr>
              <w:t>）对导游、领队私自承揽业务的等行为的处罚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第一百零二条 违反本法规定，未取得导游证或者不具备领队条件而从事导游、领队活动的，由旅游主管部门责令改正，没收违法所得，并处一千元以上一万元以下罚款，予以公告。</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导游、领队违反本法规定，私自承揽业务的，由旅游主管部门责令改正，没收违法所得，处一千元以上一万元以下罚款，并暂扣或者吊销导游证。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导游、领队违反本法规定，向旅游者索取小费的，由旅游主管部门责令退还，处一千元以上一万元以下罚款；情节严重的，并暂扣或者吊销导游证。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对违反《中华人民共和国旅游法》行为的处罚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9</w:t>
            </w:r>
            <w:r>
              <w:rPr>
                <w:rFonts w:hint="eastAsia" w:ascii="仿宋_GB2312" w:hAnsi="仿宋_GB2312" w:eastAsia="仿宋_GB2312" w:cs="仿宋_GB2312"/>
                <w:color w:val="auto"/>
                <w:sz w:val="18"/>
                <w:szCs w:val="18"/>
                <w:highlight w:val="none"/>
                <w:lang w:eastAsia="zh-CN"/>
              </w:rPr>
              <w:t>）对旅游经营者给予或者收受贿赂的等行为的处罚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【法律】《中华人民共和国旅游法》(2013年4月25日第十二届全国人民代表大会常务委员会第二次会议通过  根据2016年11月7日第十二届全国人民代表大会常务委员会第二十四次会议《关于修改〈中华人民共和国对外贸易法〉等十二部法律的决定》修正)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第一百零四条 旅游经营者违反本法规定，给予或者收受贿赂的，由工商行政管理部门依照有关法律、法规的规定处罚；情节严重的，并由旅游主管部门吊销旅行社业务经营许可证。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7"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31</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）对未取得相应的旅行社业务经营许可，经营国内旅游业务、入境旅游业务、出境旅游业务等行为的处罚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（一）未取得相应的旅行社业务经营许可，经营国内旅游业务、入境旅游业务、出境旅游业务的；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（二）分社超出设立分社的旅行社的经营范围经营旅游业务的；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（三）旅行社服务网点从事招徕、咨询以外的旅行社业务经营活动的。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）对旅行社转让、出租、出借旅行社业务经营许可证等行为的处罚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第四十七条　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）对旅行社未在规定期限内向其质量保证金账户存入、增存、补足质量保证金或者提交相应的银行担保等行为的</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第四十八条　违反本条例的规定，旅行社未在规定期限内向其质量保证金账户存入、增存、补足质量保证金或者提交相应的银行担保的，由旅游行政管理部门责令改正；拒不改正的，吊销旅行社业务经营许可证。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）对旅行社不投保旅行社责任险等行为的处罚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第四十九条　违反本条例的规定，旅行社不投保旅行社责任险的，由旅游行政管理部门责令改正；拒不改正的，吊销旅行社业务经营许可证。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）对旅行社变更名称、经营场所、法定代表人等登记事项或者终止经营，未在规定期限内向原许可的旅游行政管理部门备案，换领或者交回旅行社业务经营许可证等行为的处罚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第五十条　违反本条例的规定，旅行社有下列情形之一的，由旅游行政管理部门责令改正；拒不改正的，处1万元以下的罚款：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（一）变更名称、经营场所、法定代表人等登记事项或者终止经营，未在规定期限内向原许可的旅游行政管理部门备案，换领或者交回旅行社业务经营许可证的；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（二）设立分社未在规定期限内向分社所在地旅游行政管理部门备案的；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（三）不按照国家有关规定向旅游行政管理部门报送经营和财务信息等统计资料的。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等行为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7</w:t>
            </w:r>
            <w:r>
              <w:rPr>
                <w:rFonts w:hint="eastAsia" w:ascii="仿宋_GB2312" w:hAnsi="仿宋_GB2312" w:eastAsia="仿宋_GB2312" w:cs="仿宋_GB2312"/>
                <w:color w:val="auto"/>
                <w:sz w:val="18"/>
                <w:szCs w:val="18"/>
                <w:highlight w:val="none"/>
                <w:lang w:eastAsia="zh-CN"/>
              </w:rPr>
              <w:t>）对旅行社为旅游者安排或者介绍的旅游活动含有违反有关法律、法规规定的内容的处罚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第五十二条　违反本条例的规定，旅行社为旅游者安排或者介绍的旅游活动含有违反有关法律、法规规定的内容的，由旅游行政管理部门责令改正，没收违法所得，并处2万元以上10万元以下的罚款；情节严重的，吊销旅行社业务经营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8</w:t>
            </w:r>
            <w:r>
              <w:rPr>
                <w:rFonts w:hint="eastAsia" w:ascii="仿宋_GB2312" w:hAnsi="仿宋_GB2312" w:eastAsia="仿宋_GB2312" w:cs="仿宋_GB2312"/>
                <w:color w:val="auto"/>
                <w:sz w:val="18"/>
                <w:szCs w:val="18"/>
                <w:highlight w:val="none"/>
                <w:lang w:eastAsia="zh-CN"/>
              </w:rPr>
              <w:t>）对旅行社未经旅游者同意在旅游合同约定之外提供其他有偿服务的处罚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第五十四条　违反本条例的规定，旅行社未经旅游者同意在旅游合同约定之外提供其他有偿服务的，由旅游行政管理部门责令改正，处1万元以上5万元以下的罚款。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9</w:t>
            </w:r>
            <w:r>
              <w:rPr>
                <w:rFonts w:hint="eastAsia" w:ascii="仿宋_GB2312" w:hAnsi="仿宋_GB2312" w:eastAsia="仿宋_GB2312" w:cs="仿宋_GB2312"/>
                <w:color w:val="auto"/>
                <w:sz w:val="18"/>
                <w:szCs w:val="18"/>
                <w:highlight w:val="none"/>
                <w:lang w:eastAsia="zh-CN"/>
              </w:rPr>
              <w:t>）对旅行社未与旅游者签订旅游合同等行为的处罚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第五十五条　违反本条例的规定，旅行社有下列情形之一的，由旅游行政管理部门责令改正，处2万元以上10万元以下的罚款；情节严重的，责令停业整顿1个月至3个月：</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（一）未与旅游者签订旅游合同；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（二）与旅游者签订的旅游合同未载明本条例第二十八条规定的事项；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（三）未取得旅游者同意，将旅游业务委托给其他旅行社；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（四）将旅游业务委托给不具有相应资质的旅行社；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（五）未与接受委托的旅行社就接待旅游者的事宜签订委托合同。</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10</w:t>
            </w:r>
            <w:r>
              <w:rPr>
                <w:rFonts w:hint="eastAsia" w:ascii="仿宋_GB2312" w:hAnsi="仿宋_GB2312" w:eastAsia="仿宋_GB2312" w:cs="仿宋_GB2312"/>
                <w:color w:val="auto"/>
                <w:sz w:val="18"/>
                <w:szCs w:val="18"/>
                <w:highlight w:val="none"/>
                <w:lang w:eastAsia="zh-CN"/>
              </w:rPr>
              <w:t>）对旅行社组织中国内地居民出境旅游，不为旅游团队安排领队全程陪同等行为的处罚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第五十六条　违反本条例的规定，旅行社组织中国内地居民出境旅游，不为旅游团队安排领队全程陪同的，由旅游行政管理部门责令改正，处1万元以上5万元以下的罚款；拒不改正的，责令停业整顿1个月至3个月。</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11</w:t>
            </w:r>
            <w:r>
              <w:rPr>
                <w:rFonts w:hint="eastAsia" w:ascii="仿宋_GB2312" w:hAnsi="仿宋_GB2312" w:eastAsia="仿宋_GB2312" w:cs="仿宋_GB2312"/>
                <w:color w:val="auto"/>
                <w:sz w:val="18"/>
                <w:szCs w:val="18"/>
                <w:highlight w:val="none"/>
                <w:lang w:eastAsia="zh-CN"/>
              </w:rPr>
              <w:t>）对旅行社委派的导游人员未持有国家规定的导游证或者委派的领队人员不具备规定的领队条件等行为的处罚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第五十七条　违反本条例的规定，旅行社委派的导游人员未持有国家规定的导游证或者委派的领队人员不具备规定的领队条件的，由旅游行政管理部门责令改正，对旅行社处2万元以上10万元以下的罚款。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12</w:t>
            </w:r>
            <w:r>
              <w:rPr>
                <w:rFonts w:hint="eastAsia" w:ascii="仿宋_GB2312" w:hAnsi="仿宋_GB2312" w:eastAsia="仿宋_GB2312" w:cs="仿宋_GB2312"/>
                <w:color w:val="auto"/>
                <w:sz w:val="18"/>
                <w:szCs w:val="18"/>
                <w:highlight w:val="none"/>
                <w:lang w:eastAsia="zh-CN"/>
              </w:rPr>
              <w:t>）对旅行社拒不履行旅游合同约定的义务等等行为的处罚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第五十九条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（一）拒不履行旅游合同约定的义务的；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（二）非因不可抗力改变旅游合同安排的行程的；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（三）欺骗、胁迫旅游者购物或者参加需要另行付费的游览项目的。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13</w:t>
            </w:r>
            <w:r>
              <w:rPr>
                <w:rFonts w:hint="eastAsia" w:ascii="仿宋_GB2312" w:hAnsi="仿宋_GB2312" w:eastAsia="仿宋_GB2312" w:cs="仿宋_GB2312"/>
                <w:color w:val="auto"/>
                <w:sz w:val="18"/>
                <w:szCs w:val="18"/>
                <w:highlight w:val="none"/>
                <w:lang w:eastAsia="zh-CN"/>
              </w:rPr>
              <w:t>）对旅行社要求导游人员和领队人员接待不支付接待和服务费用、支付的费用低于接待和服务成本的旅游团队，或者要求导游人员和领队人员承担接待旅游团队的相关费用等行为的处罚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第六十条　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14</w:t>
            </w:r>
            <w:r>
              <w:rPr>
                <w:rFonts w:hint="eastAsia" w:ascii="仿宋_GB2312" w:hAnsi="仿宋_GB2312" w:eastAsia="仿宋_GB2312" w:cs="仿宋_GB2312"/>
                <w:color w:val="auto"/>
                <w:sz w:val="18"/>
                <w:szCs w:val="18"/>
                <w:highlight w:val="none"/>
                <w:lang w:eastAsia="zh-CN"/>
              </w:rPr>
              <w:t>）对旅行社违反旅游合同约定，造成旅游者合法权益受到损害，不采取必要的补救措施等行为的处罚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15</w:t>
            </w:r>
            <w:r>
              <w:rPr>
                <w:rFonts w:hint="eastAsia" w:ascii="仿宋_GB2312" w:hAnsi="仿宋_GB2312" w:eastAsia="仿宋_GB2312" w:cs="仿宋_GB2312"/>
                <w:color w:val="auto"/>
                <w:sz w:val="18"/>
                <w:szCs w:val="18"/>
                <w:highlight w:val="none"/>
                <w:lang w:eastAsia="zh-CN"/>
              </w:rPr>
              <w:t>）对旅行社不向接受委托的旅行社支付接待和服务费用等等行为的处罚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第六十二条　违反本条例的规定，有下列情形之一的，由旅游行政管理部门责令改正，停业整顿1个月至3个月；情节严重的，吊销旅行社业务经营许可证：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（一）旅行社不向接受委托的旅行社支付接待和服务费用的；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（二）旅行社向接受委托的旅行社支付的费用低于接待和服务成本的；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（三）接受委托的旅行社接待不支付或者不足额支付接待和服务费用的旅游团队的。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16</w:t>
            </w:r>
            <w:r>
              <w:rPr>
                <w:rFonts w:hint="eastAsia" w:ascii="仿宋_GB2312" w:hAnsi="仿宋_GB2312" w:eastAsia="仿宋_GB2312" w:cs="仿宋_GB2312"/>
                <w:color w:val="auto"/>
                <w:sz w:val="18"/>
                <w:szCs w:val="18"/>
                <w:highlight w:val="none"/>
                <w:lang w:eastAsia="zh-CN"/>
              </w:rPr>
              <w:t>）对发生危及旅游者人身安全的情形，未采取必要的处置措施并及时报告等行为的处罚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【行政法规】《旅行社条例》《旅行社条例》（2009年2月20日中华人民共和国国务院令第550号公布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第六十三条　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（一）发生危及旅游者人身安全的情形，未采取必要的处置措施并及时报告的；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（二）旅行社组织出境旅游的旅游者非法滞留境外，旅行社未及时报告并协助提供非法滞留者信息的；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（三）旅行社接待入境旅游的旅游者非法滞留境内，旅行社未及时报告并协助提供非法滞留者信息的。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2</w:t>
            </w: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对违规开展广播电视视频点播业务行为的处罚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）未经批准，擅自开办视频点播业务行为的处罚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【规章】《广播电视视频点播业务管理办法》（国家广播电影电视总局令第35号，2004年7月6日颁布）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第二十九条  违反本办法规定，未经批准，擅自开办视频点播业务的，由县级以上广播电视行政部门予以取缔，可以并处一万元以上三万元以下的罚款；构成犯罪的，依法追究刑事责任。</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对违规开展广播电视视频点播业务行为的处罚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）对未按《广播电视视频点播业务许可证》载明的事项从事视频点播业务等行为的处罚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《规章】《广播电视视频点播业务管理办法》（国家广播电影电视总局令第35号，2004年7月6日颁布）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第三十条  违反本办法规定，有下列行为之一的，由县级以上广播电视行政部门责令停止违法活动、给予警告、限期整改，可以并处三万元以下的罚款：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（一）未按《广播电视视频点播业务许可证》载明的事项从事视频点播业务的；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（二）未经批准，擅自变更许可证事项、注册资本、股东及持股比例或者需终止开办视频点播业务的；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（三）播放不符合本办法规定的广播电视节目的；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（四）未按本办法第二十一条、第二十四条、第二十五条规定播放视频点播节目的；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（五）违反本办法第十八条，第十九条规定，有重要事项发生变更未在规定期限内通知原发证机关的；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（六）违反本办法第二十八条规定，播出前端未按规定与广播电视行政部门监控系统进行联网的。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jc w:val="center"/>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对违规开展广播电视视频点播业务行为的处罚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）对宾馆饭店允许未获得《广播电视视频点播业务许可证》的机构在其宾馆饭店内经营视频点播业务行为的处罚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【规章】《广播电视视频点播业务管理办法》（国家广播电影电视总局令第35号，2004年7月6日颁布）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第三十二条  违反本办法第二十条规定，宾馆饭店允许未获得《广播电视视频点播业务许可证》的机构在其宾馆饭店内经营视频点播业务的，由县级以上广播电视行政部门予以警告，可以并处三万元以下罚款。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3</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）对擅自引进外商投资、设立服务网点未在规定期限内备案，或者旅行社及其分社、服务网点未悬挂旅行社业务经营许可证、备案登记证明等行为的处罚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）对服务网点超出设立社经营范围招徕旅游者、提供旅游咨询服务，或者旅行社的办事处、联络处、代表处等从事旅行社业务经营活动等行为的处罚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第五十八条　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）对领队委托他人代为提供领队服务行为的处罚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第五十九条　违反本实施细则第三十五条第二款的规定，领队委托他人代为提供领队服务，由县级以上旅游行政管理部门责令改正，可以处1万元以下的罚款。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）对旅行社为接待旅游者选择的交通、住宿、餐饮、景区等企业，不具有合法经营资格或者接待服务能力等行为的处罚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第六十条　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）对要求旅游者必须参加旅行社安排的购物活动、需要旅游者另行付费的旅游项目，或者对同一旅游团队的旅游者提出与其他旅游者不同合同事项等行为的处罚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第六十一条　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）对旅行社未将旅游目的地接待旅行社的情况告知旅游者行为的处罚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第六十二条　违反本实施细则第四十条第二款的规定，旅行社未将旅游目的地接待旅行社的情况告知旅游者的，由县级以上旅游行政管理部门依照《条例》第五十五条的规定处罚。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7</w:t>
            </w:r>
            <w:r>
              <w:rPr>
                <w:rFonts w:hint="eastAsia" w:ascii="仿宋_GB2312" w:hAnsi="仿宋_GB2312" w:eastAsia="仿宋_GB2312" w:cs="仿宋_GB2312"/>
                <w:color w:val="auto"/>
                <w:sz w:val="18"/>
                <w:szCs w:val="18"/>
                <w:highlight w:val="none"/>
                <w:lang w:eastAsia="zh-CN"/>
              </w:rPr>
              <w:t>）对旅行社未经旅游者的同意，将旅游者转交给其他旅行社组织、接待的行为的处罚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第六十三条　违反本实施细则第四十一条第二款的规定，旅行社未经旅游者的同意，将旅游者转交给其他旅行社组织、接待的，由县级以上旅游行政管理部门依照《条例》第五十五条的规定处罚。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8</w:t>
            </w:r>
            <w:r>
              <w:rPr>
                <w:rFonts w:hint="eastAsia" w:ascii="仿宋_GB2312" w:hAnsi="仿宋_GB2312" w:eastAsia="仿宋_GB2312" w:cs="仿宋_GB2312"/>
                <w:color w:val="auto"/>
                <w:sz w:val="18"/>
                <w:szCs w:val="18"/>
                <w:highlight w:val="none"/>
                <w:lang w:eastAsia="zh-CN"/>
              </w:rPr>
              <w:t>）对旅行社及其导游人员和领队人员拒绝继续履行合同、提供服务，或者以拒绝继续履行合同、提供服务相威胁的行为的处罚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第六十四条　违反本实施细则第四十四条第二款的规定，旅行社及其导游人员和领队人员拒绝继续履行合同、提供服务，或者以拒绝继续履行合同、提供服务相威胁的，由县级以上旅游行政管理部门依照《条例》第五十九条的规定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对违反《旅行社条例实施细则》行为的处罚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9</w:t>
            </w:r>
            <w:r>
              <w:rPr>
                <w:rFonts w:hint="eastAsia" w:ascii="仿宋_GB2312" w:hAnsi="仿宋_GB2312" w:eastAsia="仿宋_GB2312" w:cs="仿宋_GB2312"/>
                <w:color w:val="auto"/>
                <w:sz w:val="18"/>
                <w:szCs w:val="18"/>
                <w:highlight w:val="none"/>
                <w:lang w:eastAsia="zh-CN"/>
              </w:rPr>
              <w:t>）对未妥善保存各类旅游合同及相关文件、资料，保存期不够2年，或者泄露旅游者个人信息等行为的处罚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行社条例实施细则》（2010年4月2日国家旅游局第4次局长办公会议审议通过，国家旅游局令第30号公布，自2009年5月3日起施行。根据2016年12月6日国家旅游局第17次局长办公会议审议通过，2016年12月12日国家旅游局令第42号公布施行的《国家旅游局关于修改〈旅行社条例实施细则〉和废止〈出境旅游领队人员管理办法〉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第六十五条　违反本实施细则第五十条的规定，未妥善保存各类旅游合同及相关文件、资料，保存期不够2年，或者泄露旅游者个人信息的，由县级以上旅游行政管理部门责令改正，没收违法所得，处违法所得3倍以下但最高不超过3万元的罚款；没有违法所得的，处1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6"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4</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对违反《＜卫星电视广播地面接收设施管理规定＞实施细则》行为的处罚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）对未持有《许可证》的单位和个人设置卫星地面接收设施接收卫星传送的电视节目行为的处罚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【规章】《卫星电视广播地面接收设施管理规定》实施细则（广播电影电视部令第11号，1994年2月3日颁布）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第十九条  对违反本《实施细则》第九至第十四条规定的单位和个人，由县级以上（含县级）广播电视行政部门给予行政处罚。其具体处罚措施如下：</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（一）对违反本《实施细则》第九、第十一、第十二、第十三条规定的单位，可给予警告、一千至五万元罚款、没收其使用的卫星地面接收设施、吊销《许可证》等处罚；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（二）对违反本《实施细则》第九、第十一、第十三条规定的个人，可给予警告、五百至五千元罚款、没收其使用的卫星地面接收设施、吊销《许可证》等处罚；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对违反《＜卫星电视广播地面接收设施管理规定＞实施细则》行为的处罚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）对持有《许可证》的单位和个人，未按照《许可证》载明的接收目的、接收内容、接收方式和收视对象范围等要求，接收和使用卫星电视节目行为的处罚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【规章】《卫星电视广播地面接收设施管理规定》实施细则（广播电影电视部令第11号，1994年2月3日颁布）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第十九条  对违反本《实施细则》第九至第十四条规定的单位和个人，由县级以上（含县级）广播电视行政部门给予行政处罚。其具体处罚措施如下：</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（一）对违反本《实施细则》第九、第十一、第十二、第十三条规定的单位，可给予警告、一千至五万元罚款、没收其使用的卫星地面接收设施、吊销《许可证》等处罚；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（二）对违反本《实施细则》第九、第十一、第十三条规定的个人，可给予警告、五百至五千元罚款、没收其使用的卫星地面接收设施、吊销《许可证》等处罚；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rPr>
              <w:t>对违反《＜卫星电视广播地面接收设施管理规定＞实施细则》行为的处罚</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）对电视台、电视转播台、电视差转台、有线电视台、有线电视站、共用天线系统转播卫星传送的境外电视节目行为的处罚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【规章】《卫星电视广播地面接收设施管理规定》实施细则（广播电影电视部令第11号，1994年2月3日颁布）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第十九条  对违反本《实施细则》第九至第十四条规定的单位和个人，由县级以上（含县级）广播电视行政部门给予行政处罚。其具体处罚措施如下：</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（一）对违反本《实施细则》第九、第十一、第十二、第十三条规定的单位，可给予警告、一千至五万元罚款、没收其使用的卫星地面接收设施、吊销《许可证》等处罚；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（二）对违反本《实施细则》第九、第十一、第十三条规定的个人，可给予警告、五百至五千元罚款、没收其使用的卫星地面接收设施、吊销《许可证》等处罚；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对违反《＜卫星电视广播地面接收设施管理规定＞实施细则》行为的处罚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）对《许可证》进行涂改或者转让行为的处罚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【规章】《卫星电视广播地面接收设施管理规定》实施细则（广播电影电视部令第11号，1994年2月3日颁布）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第十九条  对违反本《实施细则》第九至第十四条规定的单位和个人，由县级以上（含县级）广播电视行政部门给予行政处罚。其具体处罚措施如下：</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（一）对违反本《实施细则》第九、第十一、第十二、第十三条规定的单位，可给予警告、一千至五万元罚款、没收其使用的卫星地面接收设施、吊销《许可证》等处罚；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（二）对违反本《实施细则》第九、第十一、第十三条规定的个人，可给予警告、五百至五千元罚款、没收其使用的卫星地面接收设施、吊销《许可证》等处罚；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对违反《＜卫星电视广播地面接收设施管理规定＞实施细则》行为的处罚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）对单位未持有《卫星地面接收设施安装许可证》而承担安装卫星地面接收设施施工任务行为的处罚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【规章】《卫星电视广播地面接收设施管理规定》实施细则（广播电影电视部令第11号，1994年2月3日颁布）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第十九条  对违反本《实施细则》第九至第十四条规定的单位和个人，由县级以上（含县级）广播电视行政部门给予行政处罚。其具体处罚措施如下：</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（三）对违反本《实施细则》第十条规定，未持有《卫星地面接收设施安装许可证》而承担安装卫星地面接收设施施工任务的单位可处以警告、一千至三万元罚款；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以上行政处罚可单处也可并处。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对同一单位或个人有两种以上违反本《实施细则》行为的行政处罚，分别裁决，合并执行。对同一违规行为的行政处罚只能一次处罚，不得重复处罚。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对违反《＜卫星电视广播地面接收设施管理规定＞实施细则》行为的处罚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）对有关卫星地面接收设施的宣传、广告违反《管理规定》及本《实施细则》的有关规定行为的处罚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《规章】《卫星电视广播地面接收设施管理规定》实施细则（广播电影电视部令第11号，1994年2月3日颁布）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第十九条  对违反本《实施细则》第九至第十四条规定的单位和个人，由县级以上（含县级）广播电视行政部门给予行政处罚。其具体处罚措施如下：</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（四）对违反本《实施细则》第十四条规定的，可处以警告、一千至三万元罚款。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以上行政处罚可单处也可并处。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对同一单位或个人有两种以上违反本《实施细则》行为的行政处罚，分别裁决，合并执行。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对同一违规行为的行政处罚只能一次处罚，不得重复处罚。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5</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对违反《中国公民出国旅游管理办法》行为的处罚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）对入境旅游业绩下降等情形的处罚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【行政法规】《中国公民出国旅游管理办法》（2002年5月27日中华人民共和国国务院令第354号公布　根据2017年3月1日《国务院关于修改和废止部分行政法规的决定》修订）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第二十五条　组团社有下列情形之一的，旅游行政部门可以暂停其经营出国旅游业务；情节严重的，取消其出国旅游业务经营资格：</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（一）入境旅游业绩下降的；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（二）因自身原因，在1年内未能正常开展出国旅游业务的；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（三）因出国旅游服务质量问题被投诉并经查实的；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（四）有逃汇、非法套汇行为的；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（五）以旅游名义弄虚作假，骗取护照、签证等出入境证件或者送他人出境的；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（六）国务院旅游行政部门认定的影响中国公民出国旅游秩序的其他行为。</w:t>
            </w:r>
          </w:p>
          <w:p>
            <w:pPr>
              <w:spacing w:line="240" w:lineRule="exact"/>
              <w:rPr>
                <w:rFonts w:hint="eastAsia" w:ascii="仿宋_GB2312" w:hAnsi="仿宋_GB2312" w:eastAsia="仿宋_GB2312" w:cs="仿宋_GB2312"/>
                <w:color w:val="auto"/>
                <w:sz w:val="18"/>
                <w:szCs w:val="18"/>
                <w:highlight w:val="none"/>
              </w:rPr>
            </w:pP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对违反《中国公民出国旅游管理办法》行为的处罚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（2）对任何单位和个人未经批准擅自经营或者以商务、考察、培训等方式变相经营出国旅游业务行为的处罚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【行政法规】《中国公民出国旅游管理办法》（2002年5月27日中华人民共和国国务院令第354号公布　根据2017年3月1日《国务院关于修改和废止部分行政法规的决定》修订）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第二十六条　任何单位和个人违反本办法第四条的规定，未经批准擅自经营或者以商务、考察、培训等方式变相经营出国旅游业务的，由旅游行政部门责令停止非法经营，没收违法所得，并处违法所得2倍以上5倍以下的罚款。</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对违反《中国公民出国旅游管理办法》行为的处罚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）对组团社不为旅游团队安排专职领队行为的处罚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【行政法规】《中国公民出国旅游管理办法》（2002年5月27日中华人民共和国国务院令第354号公布　根据2017年3月1日《国务院关于修改和废止部分行政法规的决定》修订）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第二十七条　组团社违反本办法第十条的规定，不为旅游团队安排专职领队的，由旅游行政部门责令改正，并处5000元以上2万元以下的罚款，可以暂停其出国旅游业务经营资格；多次不安排专职领队的，并取消其出国旅游业务经营资格。</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对违反《中国公民出国旅游管理办法》行为的处罚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）对组团社或者旅游团队领队可能危及人身安全的情况未向旅游者作出真实说明和明确警示，或者未采取防止危害发生的措施等行为的处罚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【行政法规】《中国公民出国旅游管理办法》（2002年5月27日中华人民共和国国务院令第354号公布　根据2017年3月1日《国务院关于修改和废止部分行政法规的决定》修订）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第二十九条　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对违反《中国公民出国旅游管理办法》行为的处罚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【行政法规】《中国公民出国旅游管理办法》（2002年5月27日中华人民共和国国务院令第354号公布　根据2017年3月1日《国务院关于修改和废止部分行政法规的决定》修订）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第三十条　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对违反《中国公民出国旅游管理办法》行为的处罚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对旅游团队领队与境外接待社、导游及为旅游者提供商品或者服务的其他经营者串通欺骗、胁迫旅游者消费或者向境外接待社、导游和其他为旅游者提供商品或者服务的经营者索要回扣、提成或者收受其财物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【行政法规】《中国公民出国旅游管理办法》（2002年5月27日中华人民共和国国务院令第354号公布　根据2017年3月1日《国务院关于修改和废止部分行政法规的决定》修订）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第三十一条　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对违反《中国公民出国旅游管理办法》行为的处罚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7</w:t>
            </w:r>
            <w:r>
              <w:rPr>
                <w:rFonts w:hint="eastAsia" w:ascii="仿宋_GB2312" w:hAnsi="仿宋_GB2312" w:eastAsia="仿宋_GB2312" w:cs="仿宋_GB2312"/>
                <w:color w:val="auto"/>
                <w:sz w:val="18"/>
                <w:szCs w:val="18"/>
                <w:highlight w:val="none"/>
                <w:lang w:eastAsia="zh-CN"/>
              </w:rPr>
              <w:t>）对旅游者在境外滞留不归，旅游团队领队不及时向组团社和中国驻所在国家使领馆报告，或者组团社不及时向有关部门报告等行为的处罚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【行政法规】《中国公民出国旅游管理办法》（2002年5月27日中华人民共和国国务院令第354号公布　根据2017年3月1日《国务院关于修改和废止部分行政法规的决定》修订）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第三十二条　违反本办法第二十二条的规定，旅游者在境外滞留不归，旅游团队领队不及时向组团社和中国驻所在国家使领馆报告，或者组团社不及时向有关部门报告的，由旅游行政部门给予警告，对旅游团队领队可以暂扣其导游证，对组团社可以暂停其出国旅游业务经营资格。</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旅游者因滞留不归被遣返回国的，由公安机关吊销其护照。</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6</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对擅自安装和使用卫星地面接收设施行为的处罚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【行政法规】《卫星电视广播地面接收设施管理规定》（国务院令第129号，2013年7月18日修订）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第十条 违反本规定，擅自生产卫星地面接收设施或者生产企业未按照规定销售给依法设立的安装服务机构的，由工业产品生产许可证主管部门责令停止生产、销售。</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违反本规定，擅自安装和使用卫星地面接收设施的，由广播电视行政部门没收其安装和使用的卫星地面接收设施，对个人可以并处五千元以下的罚款，对单位可以并处五万元以下的罚款。</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7</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对违反《广播电视节目传送业务管理办法》行为的处罚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）对擅自从事广播电视节目传送业务等行为的处罚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【规章】《广播电视节目传送业务管理办法》（国家广播电影电视总局令33号 2004年8月10日施行）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第二十二条 违反本办法规定，擅自从事广播电视节目传送业务的，由县级以上广播电视行政部门责令停止违法活动，没收违法所得，并处一万元以上三万元以下罚款。构成犯罪的，依法追究刑事责任。</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对违反《广播电视节目传送业务管理办法》行为的处罚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）对未完整传送广电总局规定必须传送的广播电视节目等行为的处罚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【规章】《广播电视节目传送业务管理办法》（国家广播电影电视总局令33号 2004年8月10日施行）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第二十三条　违反本办法规定，有下列行为之一的，由县级以上广播电视行政部门责令停止违法活动，给予警告，没收违法所得，可以并处2万元以下罚款。构成犯罪的，依法追究刑事责任：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（一）未完整传送广电总局规定必须传送的广播电视节目的；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（二）擅自在所传送的节目中插播节目、数据、图像、文字及其他信息的；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（三）未按照许可证载明事项从事传送业务的；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（四）营业场所、注册资本、股东及持股比例、法定代表人等重要事项发生变更，未在规定期限内书面通知原发证机关的；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（五）未向广播电视行政部门设立的监测机构提供所传送节目的完整信号，或干扰、阻碍监测活动的。</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对违反《广播电视节目传送业务管理办法》行为的处罚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）对擅自开办广播电视节目等行为的处罚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【规章】《广播电视节目传送业务管理办法》（国家广播电影电视总局令33号 2004年8月10日施行）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违反本办法规定，有下列行为之一的，由县级以上广播电视行政部门责令停止违法活动，给予警告，没收违法所得，可以并处2万元以下罚款；情节严重的，由原发证机关吊销许可证。构成犯罪的，依法追究刑事责任：（一）擅自开办广播电视节目的；（二）为非法开办的节目以及非法来源的广播电视节目信号提供传送服务的；（三）擅自传送境外卫星电视节目的。</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8"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8</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对违反《导游人员管理条例》行为的处罚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）对无导游证进行导游活动的行为的处罚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第十八条　无导游证进行导游活动的，由旅游行政部门责令改正并予以公告，处1000元以上3万元以下的罚款；有违法所得的，并处没收违法所得。</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对违反《导游人员管理条例》行为的处罚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）对导游人员未经旅行社委派，私自承揽或者以其他任何方式直接承揽导游业务，进行导游活动等行为的处罚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第十九条　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对违反《导游人员管理条例》行为的处罚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）对导游人员进行导游活动时，有损害国家利益和民族尊严的言行等行为的处罚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第二十条　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对违反《导游人员管理条例》行为的处罚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（4）对导游人员进行导游活动时未佩戴导游证行为的处罚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第二十一条　导游人员进行导游活动时未佩戴导游证的， 由旅游行政部门责令改正；拒不改正的，处500元以下的罚款。</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对违反《导游人员管理条例》行为的处罚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）对擅自增加或者减少旅游项目的等行为的处罚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第二十二条　导游人员有下列情形之一的，由旅游行政部门责令改正，暂扣导游证3至6个月；情节严重的，由省、自治区、直辖市人民政府旅游行政部门吊销导游证并予以公告：</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（一）擅自增加或者减少旅游项目的；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（二）擅自变更接待计划的；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（三）擅自中止导游活动的。</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对违反《导游人员管理条例》行为的处罚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）对导游人员进行导游活动，向旅游者兜售物品或者购买旅游者的物品的，或者以明示或者暗示的方式向旅游者索要小费等行为的处罚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第二十三条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对违反《导游人员管理条例》行为的处罚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7</w:t>
            </w:r>
            <w:r>
              <w:rPr>
                <w:rFonts w:hint="eastAsia" w:ascii="仿宋_GB2312" w:hAnsi="仿宋_GB2312" w:eastAsia="仿宋_GB2312" w:cs="仿宋_GB2312"/>
                <w:color w:val="auto"/>
                <w:sz w:val="18"/>
                <w:szCs w:val="18"/>
                <w:highlight w:val="none"/>
                <w:lang w:eastAsia="zh-CN"/>
              </w:rPr>
              <w:t>）对导游人员进行导游活动，欺骗、胁迫旅游者消费或者与经营者串通欺骗、胁迫旅游者消费等行为的处罚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3.处罚依据；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4.处罚结果。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导游人员管理条例》（1999年5月14日中华人民共和国国务院第263号令公布，自1999年10月1日起施行。根据2017年10月7日中华人民共和国国务院令第687号公布、自公布之日起施行的《国务院关于修改部分行政法规的决定》修改）</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tc>
        <w:tc>
          <w:tcPr>
            <w:tcW w:w="1181" w:type="dxa"/>
            <w:vAlign w:val="top"/>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执法决定信息在决定作出之日起7个工作日内公开，其他相关信息形成或变更之日起20个工作日内公开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rPr>
              <w:t>3</w:t>
            </w:r>
            <w:r>
              <w:rPr>
                <w:rFonts w:hint="eastAsia" w:ascii="仿宋_GB2312" w:hAnsi="仿宋_GB2312" w:eastAsia="仿宋_GB2312" w:cs="仿宋_GB2312"/>
                <w:color w:val="auto"/>
                <w:sz w:val="18"/>
                <w:szCs w:val="18"/>
                <w:highlight w:val="none"/>
                <w:lang w:val="en-US" w:eastAsia="zh-CN"/>
              </w:rPr>
              <w:t>9</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对违反《旅游安全管理办法》行为的处罚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）对旅行社及其从业人员未制止履行辅助人的非法、不安全服务行为，或者未更换履行辅助人等行为的处罚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【规章】《旅游安全管理办法》（国家旅游局第41号令，2016年12月1日起施行）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第十一条 旅行社组织和接待旅游者，应当合理安排旅游行程，向合格的供应商订购产品和服务。</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旅行社及其从业人员发现履行辅助人提供的服务不符合法律、法规规定或者存在安全隐患的，应当予以制止或者更换。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第三十四条 旅行社违反本办法第十一条第二款的规定，未制止履行辅助人的非法、不安全服务行为，或者未更换履行辅助人的，由旅游主管部门给予警告，可并处2000元以下罚款；情节严重的，处2000元以上10000元以下罚款。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对违反《旅游安全管理办法》行为的处罚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）不按要求制作安全信息卡，未将安全信息卡交由旅游者，或者未告知旅游者相关信息的等行为的处罚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【规章】《旅游安全管理办法》（国家旅游局第41号令，2016年12月1日起施行）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第十二条 旅行社组织出境旅游，应当制作安全信息卡。安全信息卡应当包括旅游者姓名、出境证件号码和国籍，以及紧急情况下的联系人、联系方式等信息，使用中文和目的地官方语言（或者英文）填写。</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旅行社应当将安全信息卡交由旅游者随身携带，并告知其自行填写血型、过敏药物和重大疾病等信息。</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第三十五条 旅行社违反本办法第十二条的规定，不按要求制作安全信息卡，未将安全信息卡交由旅游者，或者未告知旅游者相关信息的，由旅游主管部门给予警告，可并处2000元以下罚款；情节严重的，处2000元以上10000元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对违反《旅游安全管理办法》行为的处罚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）风险提示发布后，对旅行社未采取相应措施，妥善安置旅游者等行为的处罚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【规章】《旅游安全管理办法》（国家旅游局第41号令，2016年12月1日起施行）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第十八条 风险提示发布后，旅行社应当根据风险级别采取下列措施：</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（一）四级风险的，加强对旅游者的提示；</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（二）三级风险的，采取必要的安全防范措施；</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（三）二级风险的，停止组团或者带团前往风险区域；已在风险区域的，调整或者中止行程；</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（四）一级风险的，停止组团或者带团前往风险区域，组织已在风险区域的旅游者撤离。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其他旅游经营者应当根据风险提示的级别，加强对旅游者的风险提示，采取相应的安全防范措施，妥善安置旅游者，并根据政府或者有关部门的要求，暂停或者关闭易受风险危害的旅游项目或者场所。</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第三十六条 旅行社违反本办法第十八条规定，不采取相应措施的，由旅游主管部门处2000元以下罚款；情节严重的，处2000元以上10000元以下罚款。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■政府网站          </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4"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40</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对违反《广播电视设备器材入网认定管理办法》行为的处罚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）对获得入网认定证书的单位但产品质量明显下降，不能保持认定时质量水平等行为的处罚。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【规章】《广播电视设备器材入网认定管理办法》（国家广播电影电视总局令第25号，2004年6月18日颁布）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第二十一条  已获得入网认定证书的单位有下列情况之一的，由县级以上广播电视行政部门予以警告，并由广电总局向社会公告。</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（一）产品质量明显下降，不能保持认定时质量水平的；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（二）质量保证体系及管理水平不能达到认定时水平的；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（三）发生产品设计、工艺有较大改变等情况，不事先申报，仍在产品销售中使用原认定证书的；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（四）不落实售后服务的。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对违反《广播电视设备器材入网认定管理办法》行为的处罚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）对获得入网认定证书的单位但产品质量严重下降，用户反映较大，发生严重质量事故或造成严重后果等行为的处罚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【规章】《广播电视设备器材入网认定管理办法》（国家广播电影电视总局令第25号，2004年6月18日颁布）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第二十二条  已获得入网认定证书的单位有下列情况之一的，由县级以上广播电视行政部门予以警告，可处１万元以上３万元以下罚款，并由广电总局向社会公告；造成经济损失的，责令其赔偿；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（一）产品质量严重下降，用户反映较大，发生严重质量事故或造成严重后果的；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（二）涂改、出租、出借、倒卖和转让入网认定证书的。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对违反《广播电视设备器材入网认定管理办法》行为的处罚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）对擅自使用未获得入网认定证书的设备器材行为的处罚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【规章】《广播电视设备器材入网认定管理办法》（国家广播电影电视总局令第25号，2004年6月18日颁布）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第二十条  广播电台、电视台、广播电视传输覆盖网和监测、监控网运营单位违反本办法，擅自使用未获得入网认定证书的设备器材的，由县级以上广播电视行政部门依法查处；对由此造成播出安全事故或经济损失的，应追究有关责任人的责任，对由此导致重大播出安全事故、严重影响广播电视用户权益的，同时追究单位负责人的责任；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【地方性政府规章】《辽宁省有线电视管理办法》(辽宁省人民政府令第58号，1995年9月16日颁布，2004年9月2日修订)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第三十七条  对下列行为，由广播电视行政管理部门视情节给予相应的处罚：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（一）违反本办法第五条、第六条、第七条、第十一条规定造成损失的，由当事人赔偿损失，并处以１０００元至５０００元的罚款；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（二）违反第九条、第十二条、第十三条规定的单位处以1000元至3000元罚款；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（三）违反第十四条规定的，处以1万元以上2万元以下罚款。其中违反第一款规定情节严重的，同时没收播映设备；违反第二款规定情节严重的，同时吊销许可证；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（四）违反第十八条、第十九条规定的，责令停止非法活动，处以5000元以上2万元以下的罚款；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（五）违反第二十条、第二十四条规定的，处以警告、没收许可证；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（六）违反第二十一条规定的，封存前端设备，并处以300元至3000元罚款。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对违反《广播电视设备器材入网认定管理办法》行为的处罚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（4）对伪造、盗用入网认定证书行为的处罚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【规章】《广播电视设备器材入网认定管理办法》（国家广播电影电视总局令第25号，2004年6月18日颁布）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第二十三条  违反本办法，伪造、盗用入网认定证书的，由县级以上广播电视行政部门予以警告，责令其停止违法行为，处１万元以上３万元以下罚款，并由广电总局向社会公告。自公告之日起，三年内不受理其入网认定申请；构成犯罪的，依法追究刑事责任。</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0"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41</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对违反《营业性演出管理条例》行为的处罚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）对擅自从事营业性演出经营活动等行为的处罚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第四十三条　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（一）违反本条例第六条、第十条、第十一条规定，擅自从事营业性演出经营活动的；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（二）违反本条例第十二条、第十四条规定，超范围从事营业性演出经营活动的；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（三）违反本条例第八条第一款规定，变更营业性演出经营项目未向原发证机关申请换发营业性演出许可证的。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违反本条例第七条、第九条规定，擅自设立演出场所经营单位或者擅自从事营业性演出经营活动的，由工商行政管理部门依法予以取缔、处罚；构成犯罪的，依法追究刑事责任。</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对违反《营业性演出管理条例》行为的处罚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）对未经批准举办营业性演出等行为的处罚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第四十四条　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对违反《营业性演出管理条例》行为的处罚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）对伪造、变造、出租、出借、买卖营业性演出许可证、批准文件等行为的处罚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第四十五条　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对违反《营业性演出管理条例》行为的处罚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rPr>
              <w:t>对营业性演出煽动民族仇恨、民族歧视，侵害民族风俗习惯，伤害民族感情，破坏民族团结，违反宗教政策等行为的处罚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第四十六条　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对违反《营业性演出管理条例》行为的处罚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）对非因不可抗力中止、停止或者退出演出等行为的处罚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第四十七条　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（一）非因不可抗力中止、停止或者退出演出的；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（二）文艺表演团体、主要演员或者主要节目内容等发生变更未及时告知观众的；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（三）以假唱欺骗观众的；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（四）为演员假唱提供条件的。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有前款第（一）项、第（二）项和第（三）项所列行为之一的，观众有权在退场后依照有关消费者权益保护的法律规定要求演出举办单位赔偿损失；演出举办单位可以依法向负有责任的文艺表演团体、演员追偿。</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对违反《营业性演出管理条例》行为的处罚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）对以政府或者政府部门的名义举办营业性演出，或者营业性演出冠以“中国”、“中华”、“全国”、“国际”等字样的等行为的处罚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第四十八条　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营业性演出广告的内容误导、欺骗公众或者含有其他违法内容的，由工商行政管理部门责令停止发布，并依法予以处罚。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对违反《营业性演出管理条例》行为的处罚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7</w:t>
            </w:r>
            <w:r>
              <w:rPr>
                <w:rFonts w:hint="eastAsia" w:ascii="仿宋_GB2312" w:hAnsi="仿宋_GB2312" w:eastAsia="仿宋_GB2312" w:cs="仿宋_GB2312"/>
                <w:color w:val="auto"/>
                <w:sz w:val="18"/>
                <w:szCs w:val="18"/>
                <w:highlight w:val="none"/>
                <w:lang w:eastAsia="zh-CN"/>
              </w:rPr>
              <w:t>）对演出举办单位或者其法定代表人、主要负责人及其他直接责任人员在募捐义演中获取经济利益的等行为的处罚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第四十九条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文艺表演团体或者演员、职员在募捐义演中获取经济利益的，由县级以上人民政府文化主管部门依据各自职权责令其退回并交付受捐单位。</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对违反《营业性演出管理条例》行为的处罚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8</w:t>
            </w:r>
            <w:r>
              <w:rPr>
                <w:rFonts w:hint="eastAsia" w:ascii="仿宋_GB2312" w:hAnsi="仿宋_GB2312" w:eastAsia="仿宋_GB2312" w:cs="仿宋_GB2312"/>
                <w:color w:val="auto"/>
                <w:sz w:val="18"/>
                <w:szCs w:val="18"/>
                <w:highlight w:val="none"/>
                <w:lang w:eastAsia="zh-CN"/>
              </w:rPr>
              <w:t>）对变更名称、住所、法定代表人或者主要负责人未向原发证机关申请换发营业性演出许可证的等行为的处罚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【行政法规】《营业性演出管理条例》（2005年7月7日国务院令第439号公布  根据2008年7月22日《国务院关于修改〈营业性演出管理条例〉的决定》第一次修订  根据2013年7月18日《国务院关于废止和修改部分行政法规的决定》第二次修订  根据2016年2月6日《国务院关于修改部分行政法规的决定》第三次修订）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第五十条　违反本条例第八条第一款规定，变更名称、住所、法定代表人或者主要负责人未向原发证机关申请换发营业性演出许可证的，由县级人民政府文化主管部门责令改正，给予警告，并处1万元以上3万元以下的罚款。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违反本条例第七条第二款、第八条第二款、第九条第二款规定，未办理备案手续的，由县级人民政府文化主管部门责令改正，给予警告，并处5000元以上1万元以下的罚款。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1"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42</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对违反《广播电视设施保护条例》行为的处罚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）对擅自实施在广播电视传输线路保护范围内堆放笨重物品、种植树木、平整土地等行为的处罚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设施保护条例》(国务院令第295号，2000年11月5日颁布)第二十三条违反本条例规定,未经同意,擅自实施下列行为之一的,由县级以上人民政府广播电视行政管理部门或者其授权的广播电视设施管理单位责令改正,对个人可处以2000元以下的罚款,对单位可处以1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(一)在广播电视传输线路保护范围内堆放笨重物品、种植树木、平整土地的;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(二)在天线、馈线保护范围外进行烧荒等的;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(三)在广播电视传输线路上接挂、调整、安装、插接收听、收视设备的;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(四)在天线场地敷设或者在架空传输线路上附挂电力、通信线路的。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对违反《广播电视设施保护条例》行为的处罚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）对在广播电视设施保护范围内进行建筑施工、兴建设施或者爆破作业、烧荒等活动行为的处罚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【行政法规】《广播电视设施保护条例》(国务院令第295号，2000年11月5日颁布)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第二十条  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1000元以上1万元以下的罚款,对单位处2万元以上10万元以下的罚款;对其直接负责的主管人员及其他直接责任人员依法给予行政处分;违反治安管理规定的,由公安机关依法给予治安管理处罚;构成犯罪的,依法追究刑事责任。</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对违反《广播电视设施保护条例》行为的处罚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）对在广播电视设施保护范围内种植树木、农作物等行为的处罚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【行政法规】《广播电视设施保护条例》(国务院令第295号，2000年11月5日颁布)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第二十二条  违反本条例规定,在广播电视设施保护范围内有下列行为之一的,由县级以上人民政府广播电视行政管理部门或者其授权的广播电视设施管理单位责令改正,给予警告,对个人可处以2000元以下的罚款,对单位可处以2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(一)种植树木、农作物的;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(二)堆放金属物品、易燃易爆物品或者设置金属构件、倾倒腐蚀性物品的;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(三)钻探、打桩、抛锚、拖锚、挖沙、取土的;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(四)拴系牲畜、悬挂物品、攀附农作物的。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对违反《广播电视设施保护条例》行为的处罚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）对损坏广播电视设施等行为的处罚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【行政法规】《广播电视设施保护条例》（国务院第295号令，2000年11月5日起颁布)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第二十一条　违反本条例规定，损坏广播电视设施的，由县级以上人民政府广播电视行政管理部门或者其授权的广播电视设施管理单位责令改正，对个人处1000元以上1万元以下的罚款，对单位处2万元以上10万元以下的罚款；对其直接负责的主管人员及其他直接责任人员依法给予行政处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2"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43</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对违反《有线电视管理暂行办法》行为的处罚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）对有线电视台、有线电视站工程竣工后，未经验收或者验收不合格的而投入使用的行为的处罚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【行政法规】《有线电视管理暂行办法》（1990年11月2日国务院批准，广播电影电视部令第2号，2011年1月8日修订）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第十五条  县级以上地方各级广播电视行政管理部门负责对当地有线电视设施和有线电视播映活动进行监督检查，对违反本办法的行为，视情节轻重，给予相应的行政处罚：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（一）对违反本办法第八条、第九条、第十条或者第十一条的规定的有线电视台、有线电视站，可以处以警告、二万元以下的罚款或者吊销许可证，并可以建议直接责任人所在单位对其给予行政处分；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对违反《有线电视管理暂行办法》行为的处罚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）对有线电视台、有线电视站播映的电视节目不符合有关法律、法规和国家有关部门关于电视节目和录像制品规定的行为的处罚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【行政法规】《有线电视管理暂行办法》（1990年11月2日国务院批准，广播电影电视部令第2号，2011年1月8日修订）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第十五条  县级以上地方各级广播电视行政管理部门负责对当地有线电视设施和有线电视播映活动进行监督检查，对违反本办法的行为，视情节轻重，给予相应的行政处罚：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（一）对违反本办法第八条、第九条、第十条或者第十一条的规定的有线电视台、有线电视站，可以处以警告、二万元以下的罚款或者吊销许可证，并可以建议直接责任人所在单位对其给予行政处分；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对违反《有线电视管理暂行办法》行为的处罚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（3）对有线电视台、有线电视站未完整地直接接收、传送中央电视台和地方电视台的新闻和其他重要节目行为的处罚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【行政法规】《有线电视管理暂行办法》（1990年11月2日国务院批准，广播电影电视部令第2号，2011年1月8日修订）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第十五条  县级以上地方各级广播电视行政管理部门负责对当地有线电视设施和有线电视播映活动进行监督检查，对违反本办法的行为，视情节轻重，给予相应的行政处罚：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（一）对违反本办法第八条、第九条、第十条或者第十一条的规定的有线电视台、有线电视站，可以处以警告、二万元以下的罚款或者吊销许可证，并可以建议直接责任人所在单位对其给予行政处分；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对违反《有线电视管理暂行办法》行为的处罚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4</w:t>
            </w:r>
            <w:r>
              <w:rPr>
                <w:rFonts w:hint="eastAsia" w:ascii="仿宋_GB2312" w:hAnsi="仿宋_GB2312" w:eastAsia="仿宋_GB2312" w:cs="仿宋_GB2312"/>
                <w:color w:val="auto"/>
                <w:sz w:val="18"/>
                <w:szCs w:val="18"/>
                <w:highlight w:val="none"/>
                <w:lang w:eastAsia="zh-CN"/>
              </w:rPr>
              <w:t>）对开办有线电视台、有线电视站的单位未按要求建立健全设备、片目、播映等管理制度，按月编制播映的节目单行为的处罚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【行政法规】《有线电视管理暂行办法》（1990年11月2日国务院批准，广播电影电视部令第2号，2011年1月8日修订）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第十五条  县级以上地方各级广播电视行政管理部门负责对当地有线电视设施和有线电视播映活动进行监督检查，对违反本办法的行为，视情节轻重，给予相应的行政处罚：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（一）对违反本办法第八条、第九条、第十条或者第十一条的规定的有线电视台、有线电视站，可以处以警告、二万元以下的罚款或者吊销许可证，并可以建议直接责任人所在单位对其给予行政处分；</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对违反《有线电视管理暂行办法》行为的处罚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5</w:t>
            </w:r>
            <w:r>
              <w:rPr>
                <w:rFonts w:hint="eastAsia" w:ascii="仿宋_GB2312" w:hAnsi="仿宋_GB2312" w:eastAsia="仿宋_GB2312" w:cs="仿宋_GB2312"/>
                <w:color w:val="auto"/>
                <w:sz w:val="18"/>
                <w:szCs w:val="18"/>
                <w:highlight w:val="none"/>
                <w:lang w:eastAsia="zh-CN"/>
              </w:rPr>
              <w:t>）对未获得许可证私自开办有线电视台、有线电视站，私自利用有线电视站播映自制电视节目以及私自利用共用天线系统播映自制电视节目或者录像片行为的处罚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【行政法规】《有线电视管理暂行办法》（1990年11月2日国务院批准，广播电影电视部令第2号，2011年1月8日修订）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第十五条  县级以上地方各级广播电视行政管理部门负责对当地有线电视设施和有线电视播映活动进行监督检查，对违反本办法的行为，视情节轻重，给予相应的行政处罚：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二万元以下的罚款，并可以同时没收其播映设备；</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对违反《有线电视管理暂行办法》行为的处罚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6</w:t>
            </w:r>
            <w:r>
              <w:rPr>
                <w:rFonts w:hint="eastAsia" w:ascii="仿宋_GB2312" w:hAnsi="仿宋_GB2312" w:eastAsia="仿宋_GB2312" w:cs="仿宋_GB2312"/>
                <w:color w:val="auto"/>
                <w:sz w:val="18"/>
                <w:szCs w:val="18"/>
                <w:highlight w:val="none"/>
                <w:lang w:eastAsia="zh-CN"/>
              </w:rPr>
              <w:t>）对未获有线电视台或者有线电视站、共用天线系统设计（安装）许可证，私自承揽有线电视台、有线电视站或者共用天线系统设计、安装任务行为的处罚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【行政法规】《有线电视管理暂行办法》（1990年11月2日国务院批准，广播电影电视部令第2号，2011年1月8日修订）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第十五条  县级以上地方各级广播电视行政管理部门负责对当地有线电视设施和有线电视播映活动进行监督检查，对违反本办法的行为，视情节轻重，给予相应的行政处罚：</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对违反本办法第七条的规定未获有线电视台或者有线电视站、共用天线系统设计（安装）许可证，私自承揽有线电视台、有线电视站或者共用天线系统设计、安装任务的，除责令其停止非法业务活动外，可以处以一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6"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44</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对广播电视安全播出机构和人员设置、技术系统配置、管理制度、运行流程、应急预案等不符合有关规定，导致播出质量达不到要求等行为的处罚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【行政法规】《广播电视安全播出管理规定》(经国家广播电影电视总局2009年12月4日局务会议审议通过，自2010年2月6日起施行)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第四十一条  违反本规定，有下列行为之一的， 由县级以上人民政府广播影视行政部门给予警告，下达《安全播出整改通知书》；逾期未改正的，给予通报批评，可并处三万元以下罚款；情节严重的，对直接负责的主管人员和直接责任人员依法给予处分：</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广播电视安全播出机构和人员设置、技术系统配置、管理制度、运行流程、应急预案等不符合有关规定，导致播出质量达不到要求的；（二）对技术系统的代维单位管理不力，引发重大安全播出事故的；（三）广播电视安全播出责任单位之间责任界限不清晰，导致故障处置不及时的；（四）节目播出、传送质量不好影响用户正常接收广播电视节目的；（五）从事广播电视传输、覆盖业务的安全播出责任单位未使用专用信道完整传输必转的广播电视节目的；（六）未按照有关规定向广播影视行政部门设立的监测机构提供所播出、传输节目的完整信号，或者干扰、阻碍监测活动的；（七）妨碍广播影视行政部门监督检查、事故调查，或者不服从安全播出统一调配的；（八）未按规定记录、保存本单位播出、传输、发射的节目信号的质量和效果的；（九）未按规定向广播影视行政部门备案安全保障方案或者应急预案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45</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jc w:val="lef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对违反《电视剧管理规定》行为的处罚</w:t>
            </w:r>
          </w:p>
          <w:p>
            <w:pPr>
              <w:spacing w:line="240" w:lineRule="exact"/>
              <w:jc w:val="lef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）对未经指定的机构擅自进口电视剧等行为的处罚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【行政法规】《电视剧管理规定》（国家广播电影电视总局令，2000年6月15日起实施）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第三十七条 违反本规定，有下列行为之一的，由县级以上人民政府广播电视行政部门责令停止违法活动，给予警告，可以并处3万元以下的罚款：                              </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  (一)未经指定的机构擅自进口电视剧的;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(二)未经指定的机构擅自发行进口电视剧的;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(三)进口、发行未取得《电视剧发行许可证》的电视剧的;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(四)未经批准，擅自参加境外电视展、电视节等涉外电视剧交流活动的，或者擅自将未取得《电视剧发行许可证》的电视剧用于参加境外电视展、电视节等活动的;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(五)随意更改已取得《电视剧发行许可证》的电视剧，并用于发行、播放、进口、出口的;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(六)出租、出借、出卖、转让或变相转让电视剧各类许可证的;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(七)不执行国家广播电影电视总局在特殊情况下对已经取得《电视剧发行许可证》的电视剧作出的责令修改、删剪或停止发行、进口、出口、播放决定的。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对违反《电视剧管理规定》行为的处罚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）对播放未取得电视剧制作许可证的单位制作的电视剧等行为的处罚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【行政法规】《电视剧管理规定》（国家广播电影电视总局令，2000年6月15日起实施）                          第三十八条  违反本规定，有下列行为之一的，由县级以上人民政府广播电视行政部门责令停止违法活动，给予警告，没收违法所得，可以并处2万元以下的罚款；情节严重的，由原批准机关吊销许可证：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(一)播放未取得电视剧制作许可证的单位制作的电视剧的;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(二)播放未取得《电视剧发行许可证》的进口电视剧的;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(三)播放进口电视剧的时间超出规定的;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(四)未经批准，擅自举办电视节、电视剧展的。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对违反《电视剧管理规定》行为的处罚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）对未取得电视剧制作许可证，擅自制作用于发行、出口、播放的电视剧等行为的处罚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【行政法规】《电视剧管理规定》（国家广播电影电视总局令，2000年6月15日起实施）                           第三十九条  违反本规定，有下列行为之一的，由县级以上人民政府广播电视行政部门给予警告或者取缔，没收其从事违法活动的专用工具、设备和节目载体，可以并处1万元以上5万元以下的罚款；情节严重的，由原批准机关吊销许可证：(一)未取得电视剧制作许可证，擅自制作用于发行、出口、播放的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(二)未经批准，擅自制作重大革命历史题材电视剧或擅自与境外合作制作电视剧的;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(三)播放、出口未取得《电视剧发行许可证》的国产电视剧的。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46</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对变更股东、股权结构等重大事项，未事先办理审批手续等行为的处罚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【规章】《专网及定向传播视听节目服务管理规定》（2016年4月25日国家新闻出版广电总局令第6号发布  自2016年6月1日起施行）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第二十九条　违反本规定，有下列行为之一的，由县级以上广播电影电视主管部门予以警告、责令改正，可并处3万元以下罚款；同时，可对其主要出资者和经营者予以警告，可并处2万元以下罚款：（一）变更股东、股权结构等重大事项，未事先办理审批手续的；（二）专网及定向传播视听节目服务单位的单位名称、办公场所、法定代表人依法变更后未及时向原发证机关备案的；（三）采用合资、合作模式开展节目生产购销、广告投放、市场推广、商业合作、收付结算、技术服务等经营性业务未及时向原发证机关备案的；（四）集成播控服务单位和传输分发服务单位在提供服务时未履行许可证查验义务的；（五）未按本规定要求建立健全与国家网络信息安全相适应的安全播控、节目内容、安全传输等管理制度、保障体系的；（六）集成播控服务单位和内容提供服务单位未在播出界面显著位置标注播出标识、名称的；（七）内容提供服务单位未采取版权保护措施，未保留节目播出信息或者未配合广播电影电视主管部门查询，以及发现含有违反本规定的节目时未及时删除并保存记录或者未报告广播电影电视主管部门的；（八）集成播控服务单位发现接入集成播控平台的节目含有违反本规定的内容时未及时切断节目源或者未报告广播电影电视主管部门的；（九）用于专网及定向传播视听节目服务的技术系统和终端产品不符合国家有关标准和技术规范的；（十）向未取得专网及定向传播视听节目服务许可的单位提供与专网及定向传播视听节目服务有关的服务器托管、网络传输、软硬件技术支持、代收费等服务的；（十一）未向广播电影电视主管部门设立的节目监控系统提供必要的信号接入条件的；（十二）专网及定向传播视听节目服务单位在同一年度内3次出现违规行为的；（十三）拒绝、阻挠、拖延广播电影电视主管部门依法进行监督检查或者在监督检查过程中弄虚作假的；（十四）以虚假证明、文件等手段骗取《信息网络传播视听节目许可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有前款第十四项行为的，发证机关应当撤销其《信息网络传播视听节目许可证》。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540" w:type="dxa"/>
            <w:vMerge w:val="restart"/>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对违反《广播电视广告播出管理办法》行为的处罚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1</w:t>
            </w:r>
            <w:r>
              <w:rPr>
                <w:rFonts w:hint="eastAsia" w:ascii="仿宋_GB2312" w:hAnsi="仿宋_GB2312" w:eastAsia="仿宋_GB2312" w:cs="仿宋_GB2312"/>
                <w:color w:val="auto"/>
                <w:sz w:val="18"/>
                <w:szCs w:val="18"/>
                <w:highlight w:val="none"/>
                <w:lang w:eastAsia="zh-CN"/>
              </w:rPr>
              <w:t>）对违规播放禁止播放内容等行为的处罚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【行政法规】《广播电视广告播出管理办法》（经国家广播电影电视总局2009年8月27日局务会议审议通过，自2010年1月1日起施行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第三十九条  违反本办法第八条、第九条的规定，由县级以上人民政府广播影视行政部门责令停止违法行为或者责令改正，给予警告，可以并处三万元以下罚款；情节严重的，由原发证机关吊销《广播电视频道许可证》、《广播电视播出机构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对违反《广播电视广告播出管理办法》行为的处罚</w:t>
            </w:r>
          </w:p>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lang w:eastAsia="zh-CN"/>
              </w:rPr>
              <w:t>）对违反广播电视广告播出时长等行为的处罚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【行政法规】《广播电视广告播出管理办法》（经国家广播电影电视总局2009年8月27日局务会议审议通过，自2010年1月1日起施行）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第四十条  违反本办法第十五条、第十六条、第十七条的规定，以及违反本办法第二十二条规定插播广告的，由县级以上人民政府广播影视行政部门依据《广播电视管理条例》第五十条、第五十一条的有关规定给予处罚。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对违反《广播电视广告播出管理办法》行为的处罚（</w:t>
            </w:r>
            <w:r>
              <w:rPr>
                <w:rFonts w:hint="eastAsia" w:ascii="仿宋_GB2312" w:hAnsi="仿宋_GB2312" w:eastAsia="仿宋_GB2312" w:cs="仿宋_GB2312"/>
                <w:color w:val="auto"/>
                <w:sz w:val="18"/>
                <w:szCs w:val="18"/>
                <w:highlight w:val="none"/>
                <w:lang w:val="en-US" w:eastAsia="zh-CN"/>
              </w:rPr>
              <w:t>3</w:t>
            </w:r>
            <w:r>
              <w:rPr>
                <w:rFonts w:hint="eastAsia" w:ascii="仿宋_GB2312" w:hAnsi="仿宋_GB2312" w:eastAsia="仿宋_GB2312" w:cs="仿宋_GB2312"/>
                <w:color w:val="auto"/>
                <w:sz w:val="18"/>
                <w:szCs w:val="18"/>
                <w:highlight w:val="none"/>
                <w:lang w:eastAsia="zh-CN"/>
              </w:rPr>
              <w:t>）对时政新闻类节（栏）目以企业或者产品名称冠名等行为的处罚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【行政法规】《广播电视广告播出管理办法》（经国家广播电影电视总局2009年8月27日局务会议审议通过，自2010年1月1日起施行）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第四十一条  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二万元以下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47</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对擅自提供卫星地面接收设施安装服务等行为的处罚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【行政法规】《电视剧管理规定》（国家广播电影电视总局令，2000年6月15日起实施）                           第三十九条  违反本规定，有下列行为之一的，由县级以上人民政府广播电视行政部门给予警告或者取缔，没收其从事违法活动的专用工具、设备和节目载体，可以并处1万元以上5万元以下的罚款；情节严重的，由原批准机关吊销许可证：(一)未取得电视剧制作许可证，擅自制作用于发行、出口、播放的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(二)未经批准，擅自制作重大革命历史题材电视剧或擅自与境外合作制作电视剧的;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(三)播放、出口未取得《电视剧发行许可证》的国产电视剧的。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48</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对违反《印刷业管理条例》行为的处罚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(1对没有建立承印验证制度、承印登记制度、印刷品保管制度、印刷品交付制度、印刷活动残次品销毁制度等行为的处罚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【行政法规】《印刷业管理条例》（2001年8月2日中华人民共和国国务院令第315号公布　根据2016年2月6日《国务院关于修改部分行政法规的决定》第一次修订　根据2017年3月1日《国务院关于修改和废止部分行政法规的决定》第二次修订）</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对违反《印刷业管理条例》行为的处罚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(2)对接受他人委托印刷出版物，未依照本条例的规定验证印刷委托书、有关证明或者准印证，或者未将印刷委托书报出版行政部门备案等行为的处罚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【行政法规】《印刷业管理条例》（2001年8月2日中华人民共和国国务院令第315号公布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第四十条　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（一）接受他人委托印刷出版物，未依照本条例的规定验证印刷委托书、有关证明或者准印证，或者未将印刷委托书报出版行政部门备案的；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（二）假冒或者盗用他人名义，印刷出版物的；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（三）盗印他人出版物的；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（四）非法加印或者销售受委托印刷的出版物的；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（五）征订、销售出版物的；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（六）擅自将出版单位委托印刷的出版物纸型及印刷底片等出售、出租、出借或者以其他形式转让的；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（七）未经批准，接受委托印刷境外出版物的，或者未将印刷的境外出版物全部运输出境的。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对违反《印刷业管理条例》行为的处罚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(3对接受委托印刷注册商标标识，未依照本条例的规定验证、核查工商行政管理部门签章的《商标注册证》复印件、注册商标图样或者注册商标使用许可合同复印件等行为的处罚)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【行政法规】《印刷业管理条例》（2001年8月2日中华人民共和国国务院令第315号公布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第四十一条　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（一）接受委托印刷注册商标标识，未依照本条例的规定验证、核查工商行政管理部门签章的《商标注册证》复印件、注册商标图样或者注册商标使用许可合同复印件的；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接受委托印刷广告宣传品、作为产品包装装潢的印刷品，未依照本条例的规定验证委托印刷单位的营业执照或者个人的居民身份证的，或者接受广告经营者的委托印刷广告宣传品，未验证广告经营资格证明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（三）盗印他人包装装潢印刷品的；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（四）接受委托印刷境外包装装潢印刷品未依照本条例的规定向出版行政部门备案的，或者未将印刷的境外包装装潢印刷品全部运输出境的。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对违反《印刷业管理条例》行为的处罚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(4)对接受委托印刷其他印刷品，未依照本条例的规定验证有关证明等行为的处罚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【行政法规】《印刷业管理条例》（2001年8月2日中华人民共和国国务院令第315号公布　根据2016年2月6日《国务院关于修改部分行政法规的决定》第一次修订　根据2017年3月1日《国务院关于修改和废止部分行政法规的决定》第二次修订）</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第四十二条　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（一）接受委托印刷其他印刷品，未依照本条例的规定验证有关证明的；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（二）擅自将接受委托印刷的其他印刷品再委托他人印刷的；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（三）将委托印刷的其他印刷品的纸型及印刷底片出售、出租、出借或者以其他形式转让的；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（四）伪造、变造学位证书、学历证书等国家机关公文、证件或者企业事业单位、人民团体公文、证件的，或者盗印他人的其他印刷品的；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（五）非法加印或者销售委托印刷的其他印刷品的；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（六）接受委托印刷境外其他印刷品未依照本条例的规定向出版行政部门备案的，或者未将印刷的境外其他印刷品全部运输出境的；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（七）从事其他印刷品印刷经营活动的个人超范围经营的。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对违反《印刷业管理条例》行为的处罚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(5)对印刷布告、通告、重大活动工作证、通行证、在社会上流通使用的票证，印刷企业没有验证主管部门的证明的，或者再委托他人印刷上述印刷品等行为的处罚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【行政法规】《印刷业管理条例》（2001年8月2日中华人民共和国国务院令第315号公布　根据2016年2月6日《国务院关于修改部分行政法规的决定》第一次修订　根据2017年3月1日《国务院关于修改和废止部分行政法规的决定》第二次修订）</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对违反《印刷业管理条例》行为的处罚</w:t>
            </w:r>
          </w:p>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(6)对从事包装装潢印刷品印刷经营活动的企业擅自留存委托印刷的包装装潢印刷品的成品、半成品、废品和印板、纸型、印刷底片、原稿等行为的处罚</w:t>
            </w:r>
          </w:p>
        </w:tc>
        <w:tc>
          <w:tcPr>
            <w:tcW w:w="1285" w:type="dxa"/>
            <w:vAlign w:val="center"/>
          </w:tcPr>
          <w:p>
            <w:pPr>
              <w:spacing w:line="240" w:lineRule="exac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【行政法规】《印刷业管理条例》（2001年8月2日中华人民共和国国务院令第315号公布　根据2016年2月6日《国务院关于修改部分行政法规的决定》第一次修订　根据2017年3月1日《国务院关于修改和废止部分行政法规的决定》第二次修订）第四十四条 印刷业经营者违反本条例规定，有下列行为之一的，由县级以上地方人民政府出版行政部门责令改正，给予警告；情节严重的，责令停业整顿或者由原发证机关吊销许可证：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（一）从事包装装潢印刷品印刷经营活动的企业擅自留存委托印刷的包装装潢印刷品的成品、半成品、废品和印板、纸型、印刷底片、原稿等的；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（二）从事其他印刷品印刷经营活动的企业和个人擅自保留其他印刷品的样本、样张的，或者在所保留的样本、样张上未加盖“样本”、“样张”戳记的。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49</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对违反《互联网视听节目服务管理规定》行为的处罚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(1)对擅自从事互联网视听节目服务等行为的处罚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【规章】《互联网视听节目服务管理规定》（国家广播电影电视总局、信息产业部令第56号，2007年12月20日颁布）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擅自从事互联网视听节目服务的，由县级以上广播电影电视主管部门予以警告、责令改正，可并处3万元以下罚款；情节严重的，根据《广播电视管理条例》第四十七条的规定予以处罚。传播的视听节目内容违反本规定的，由县级以上广播电影电视主管部门予以警告、责令改正，可并处3万元以下罚款；情节严重的，根据《广播电视管理条例》第四十九条的规定予以处罚。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对违反《互联网视听节目服务管理规定》行为的处罚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(2)对擅自在互联网上使用广播电视专有名称开展业务等行为的处罚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【规章】《互联网视听节目服务管理规定》（国家广播电影电视总局、信息产业部令第56号，2007年12月20日颁布）</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擅自从事互联网视听节目服务的，由县级以上广播电影电视主管部门予以警告、责令改正，可并处3万元以下罚款；情节严重的，根据《广播电视管理条例》第四十七条的规定予以处罚。传播的视听节目内容违反本规定的，由县级以上广播电影电视主管部门予以警告、责令改正，可并处3万元以下罚款；情节严重的，根据《广播电视管理条例》第四十九条的规定予以处罚。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50</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对违反《中华人民共和国电影产业促进法》行为的处罚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【法律】《中华人民共和国电影产业促进法》（2016年11月7日第十二届全国人民代表大会常务委员会第二十四次会议通过  2016年11月7日中华人民共和国主席令第五十四号公布  自2017年3月1日起施行）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第五十四条　有下列情形之一的，依照有关法律、行政法规及国家有关规定予以处罚：（一）违反国家有关规定，擅自将未取得电影公映许可证的电影制作为音像制品的；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（二）违反国家有关规定，擅自通过互联网、电信网、广播电视网等信息网络传播未取得电影公映许可证的电影的；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（三）以虚报、冒领等手段骗取农村电影公益放映补贴资金的；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（四）侵犯与电影有关的知识产权的；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（五）未依法接收、收集、整理、保管、移交电影档案的。</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电影院有前款第四项规定行为，情节严重的，由原发证机关吊销许可证。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51</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对公共体育设施管理单位违规管理行为的处罚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【行政法规】《公共文化体育设施条例》（国务院令第382号，自2003年8月1日起施行）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一)开展与公共文化体育设施功能、用途不相适应的服务活动的；(二)违反本条例规定出租公共文化体育设施的。</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52</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对擅自经营高危险性体育项目行为的处罚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【行政法规】《全民健身条例》（中华人民共和国国务院令第560号，2009年10月1日施行）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第三十六条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【规章】《经营高危险性体育项目许可管理办法》（2013年2月21日国家体育总局令第17号公布  自2013年5月1日起施行  根据2014年9月1日国家体育总局令第19号公布的《国家体育总局关于废止和修改部分规章和规范性文件的决定》第一次修正  根据2016年5月9日国家体育总局令第22号公布的《国家体育总局关于废止和修改部分规章和政策性文件的决定》第二次修正）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第二十六条　未经县级以上地方人民政府体育主管部门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1"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53</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对高危险性体育项目经营者取得许可证后，不再符合高危险性体育项目经营条件仍经营该体育项目行为的处罚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【行政法规】《全民健身条例》（中华人民共和国国务院令第560号，2009年10月1日施行）</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第三十七条 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【规章】《经营高危险性体育项目许可管理办法》（2013年2月21日国家体育总局令第17号公布  自2013年5月1日起施行  根据2014年9月1日国家体育总局令第19号公布的《国家体育总局关于废止和修改部分规章和规范性文件的决定》第一次修正  根据2016年5月9日国家体育总局令第22号公布的《国家体育总局关于废止和修改部分规章和政策性文件的决定》第二次修正）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第二十七条　经营者取得许可证后，不再符合本办法规定条件仍经营该体育项目的，由县级以上地方人民政府体育主管部门按照管理权限责令限期改正；有违法所得的，没收违法所得；违法所得不足3万元或者没有违法所得的，并处3万元以上10万元以下的罚款；违法所得3万元以上的，并处违法所得2倍以上5倍以下的罚款；拒不改正的，由做出行政许可决定的体育主管部门吊销许可证。</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540" w:type="dxa"/>
            <w:vMerge w:val="restart"/>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54</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对违反《经营高危险性体育项目许可管理办法》行为的处罚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（1）对经营过程出现违规行为的处罚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【规章】《经营高危险性体育项目许可管理办法》（2013年2月21日国家体育总局令第17号公布  自2013年5月1日起施行  根据2014年9月1日国家体育总局令第19号公布的《国家体育总局关于废止和修改部分规章和规范性文件的决定》第一次修正  根据2016年5月9日国家体育总局令第22号公布的《国家体育总局关于废止和修改部分规章和政策性文件的决定》第二次修正）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第二十九条　违反本办法第二十四条规定，由县级以上地方人民政府体育主管部门责令改正，处3万元以下的罚款。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经营者对体育执法人员依法履行监督检查职责，应当予以配合，不得拒绝、阻挠。</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540" w:type="dxa"/>
            <w:vMerge w:val="continue"/>
            <w:vAlign w:val="center"/>
          </w:tcPr>
          <w:p>
            <w:pPr>
              <w:spacing w:line="240" w:lineRule="exact"/>
              <w:rPr>
                <w:rFonts w:hint="eastAsia" w:ascii="仿宋_GB2312" w:hAnsi="仿宋_GB2312" w:eastAsia="仿宋_GB2312" w:cs="仿宋_GB2312"/>
                <w:color w:val="auto"/>
                <w:sz w:val="18"/>
                <w:szCs w:val="18"/>
                <w:highlight w:val="none"/>
                <w:lang w:val="en-US" w:eastAsia="zh-CN"/>
              </w:rPr>
            </w:pP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对违反《经营高危险性体育项目许可管理办法》行为的处罚</w:t>
            </w:r>
          </w:p>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（2）对不配合体育执法人员依法履行监督检查职责行为处罚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1.主体信息；</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2.案由；</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3.处理依据；</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4.处理结果。</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【规章】《经营高危险性体育项目许可管理办法》（2013年2月21日国家体育总局令第17号公布  自2013年5月1日起施行  根据2014年9月1日国家体育总局令第19号公布的《国家体育总局关于废止和修改部分规章和规范性文件的决定》第一次修正  根据2016年5月9日国家体育总局令第22号公布的《国家体育总局关于废止和修改部分规章和政策性文件的决定》第二次修正）</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第二十九条　违反本办法第二十四条规定，由县级以上地方人民政府体育主管部门责令改正，处3万元以下的罚款。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第二十四条　经营者对体育执法人员依法履行监督检查职责，应当予以配合，不得拒绝、阻挠。</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55</w:t>
            </w:r>
          </w:p>
        </w:tc>
        <w:tc>
          <w:tcPr>
            <w:tcW w:w="595" w:type="dxa"/>
            <w:vMerge w:val="restart"/>
            <w:vAlign w:val="center"/>
          </w:tcPr>
          <w:p>
            <w:pPr>
              <w:spacing w:line="240" w:lineRule="exact"/>
              <w:rPr>
                <w:rFonts w:hint="eastAsia" w:ascii="仿宋_GB2312" w:hAnsi="仿宋_GB2312" w:eastAsia="仿宋_GB2312" w:cs="仿宋_GB2312"/>
                <w:color w:val="auto"/>
                <w:sz w:val="18"/>
                <w:szCs w:val="18"/>
                <w:highlight w:val="none"/>
                <w:lang w:eastAsia="zh-CN"/>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图书馆、群众艺术馆、文化馆（站）施行免费或者优惠开放服务</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1.机构名称；2.开放时间；3.机构地址；4.联系电话；5.临时停止活动信息。</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【法律】《中华人民共和国公共文化服务保障法》（2016年12月25日第十二届全国人民代表大会常务委员会第二十五次会议通过） 第三十一条公共文化设施应当根据其功能、特点，按照国家有关规定，向公众免费或者优惠开放。</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56</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图书馆、群众艺术馆、文化馆（站）服务项目和开放时间公示</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1.活动时间；</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2.活动单位；</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3.活动地址；</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4.联系电话；</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5.临时停止活动信息。</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【法律】《中华人民共和国公共文化服务保障法》 第三十一条公共文化设施管理单位应当公示服务项目和开放时间；临时停止开放的，应当及时公告。</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57</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文化艺术知识普及和培训</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1.活动时间；</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2.活动单位；</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3.活动地址；</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4.联系电话；</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5.临时停止活动信息。</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【规范性文件】《中共中央办公厅国务院办公厅印发&lt;关于加快构建现代公共文化服务体系的意见&gt;的通知》（中办发〔2015〕2号） （十五）活跃群众文化生活。深入开展全民阅读活动，推动全民阅读进家庭、进社区、进校园、进农村、进企业、进机关。积极开展全民艺术普及、全民健身、全民科普和群众性法治文化活动。</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58</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旅游信息咨询服务</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1.培训时间；</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2.培训单位；</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3.培训地址；</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4.联系电话；</w:t>
            </w:r>
            <w:r>
              <w:rPr>
                <w:rFonts w:hint="eastAsia" w:ascii="仿宋_GB2312" w:hAnsi="仿宋_GB2312" w:eastAsia="仿宋_GB2312" w:cs="仿宋_GB2312"/>
                <w:color w:val="auto"/>
                <w:sz w:val="18"/>
                <w:szCs w:val="18"/>
                <w:highlight w:val="none"/>
              </w:rPr>
              <w:br w:type="textWrapping"/>
            </w:r>
            <w:r>
              <w:rPr>
                <w:rFonts w:hint="eastAsia" w:ascii="仿宋_GB2312" w:hAnsi="仿宋_GB2312" w:eastAsia="仿宋_GB2312" w:cs="仿宋_GB2312"/>
                <w:color w:val="auto"/>
                <w:sz w:val="18"/>
                <w:szCs w:val="18"/>
                <w:highlight w:val="none"/>
              </w:rPr>
              <w:t>5.临时停止活动信息。</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【法律】《中华人民共和国旅游法》（2016年11月7日予以修改） 第二十六条国务院旅游主管部门和县级以上地方人民政府应当根据需要建立旅游公共信息和咨询平台，无偿向旅游者提供旅游景区、线路、交通、气象、住宿、安全、医疗急救等必要信息和咨询服务。</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59</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县级非物质文化遗产代表性项目的代表性传承人资格认定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文物保护管理机构和博物馆名录</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【法律】《中华人民共和国非物质文化遗产法》（2011年2月25日颁布） 第二十九条第一款国务院文化主管部门和省、自治区、直辖市人民政府文化主管部门对本级人民政府批准公布的非物质文化遗产代表性项目，可以认定代表性传承人。</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60</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公共图书馆公共内容和馆藏信息公示</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1.活动时间；2.组织单位；3.活动地址；4.联系电话；5.临时停止活动信息。</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《中华人民共和国公共图书馆法》第二十七条 公共图书馆应当按照国家公布的标准、规范对馆藏文献信息进行整理，建立馆藏文献信息目录，并依法通过其网站或者其他方式向社会公开。</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61</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组织开展送戏下乡到基层演出服务</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1.活动时间；2.组织单位；3.活动地址；4.联系电话；5.临时停止活动信息。</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《盘锦市基本公共文化服务实施标准》（六）送戏下乡</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13、根据群众实际需求，采取政府购买等方式，为农村乡镇、村每年送戏曲等文艺演出。每个行政村每年看5场以上戏剧或文艺演出。每场演出时长不低于100分钟</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62</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提供非物质文化遗产信息查询服务</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文物保护管理机构和博物馆名录</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《中华人民共和国非物质文化遗产法》第十三章  文化主管部门应当全面了解非物质文化遗产有关情况，建立非物质文化遗产档案及相关数据库。除依法应当保密的外，非物质文化遗产档案及相关数据信息应当公开，便于公众查询。</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63</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公共图书馆、文化馆、美术馆、博物馆、纪念馆施行免费开放服务</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1.活动时间；2.组织单位；3.活动地址；4.联系电话；5.临时停止活动信息。</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《盘锦市基本公共文化服务实施标准》（七）设施开放</w:t>
            </w:r>
          </w:p>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15、公共图书馆、文化馆（站）、博物馆（非文物建筑及遗址类）、“非遗”展示馆、美术馆等公共文化设施免费开放。基本服务项目健全。</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540" w:type="dxa"/>
            <w:vAlign w:val="center"/>
          </w:tcPr>
          <w:p>
            <w:pPr>
              <w:spacing w:line="240" w:lineRule="exact"/>
              <w:rPr>
                <w:rFonts w:hint="default"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64</w:t>
            </w:r>
          </w:p>
        </w:tc>
        <w:tc>
          <w:tcPr>
            <w:tcW w:w="595" w:type="dxa"/>
            <w:vMerge w:val="continue"/>
            <w:vAlign w:val="center"/>
          </w:tcPr>
          <w:p>
            <w:pPr>
              <w:spacing w:line="240" w:lineRule="exact"/>
              <w:rPr>
                <w:rFonts w:hint="eastAsia" w:ascii="仿宋_GB2312" w:hAnsi="仿宋_GB2312" w:eastAsia="仿宋_GB2312" w:cs="仿宋_GB2312"/>
                <w:color w:val="auto"/>
                <w:sz w:val="18"/>
                <w:szCs w:val="18"/>
                <w:highlight w:val="none"/>
              </w:rPr>
            </w:pPr>
          </w:p>
        </w:tc>
        <w:tc>
          <w:tcPr>
            <w:tcW w:w="1759"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非物质文化遗产代表性项目的代表性传承人资格认定</w:t>
            </w:r>
          </w:p>
        </w:tc>
        <w:tc>
          <w:tcPr>
            <w:tcW w:w="12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文物保护管理机构和博物馆名录</w:t>
            </w:r>
          </w:p>
        </w:tc>
        <w:tc>
          <w:tcPr>
            <w:tcW w:w="4350"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【法律】《中华人民共和国非物质文化遗产法》（2011年2月25日颁布） 第二十九条第一款国务院文化主管部门和省、自治区、直辖市人民政府文化主管部门对本级人民政府批准公布的非物质文化遗产代表性项目，可以认定代表性传承人。</w:t>
            </w:r>
          </w:p>
        </w:tc>
        <w:tc>
          <w:tcPr>
            <w:tcW w:w="1181"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w:t>
            </w:r>
            <w:r>
              <w:rPr>
                <w:rFonts w:hint="eastAsia" w:ascii="仿宋_GB2312" w:hAnsi="仿宋_GB2312" w:eastAsia="仿宋_GB2312" w:cs="仿宋_GB2312"/>
                <w:color w:val="auto"/>
                <w:sz w:val="18"/>
                <w:szCs w:val="18"/>
                <w:highlight w:val="none"/>
                <w:lang w:val="en-US" w:eastAsia="zh-CN"/>
              </w:rPr>
              <w:t>2</w:t>
            </w:r>
            <w:r>
              <w:rPr>
                <w:rFonts w:hint="eastAsia" w:ascii="仿宋_GB2312" w:hAnsi="仿宋_GB2312" w:eastAsia="仿宋_GB2312" w:cs="仿宋_GB2312"/>
                <w:color w:val="auto"/>
                <w:sz w:val="18"/>
                <w:szCs w:val="18"/>
                <w:highlight w:val="none"/>
              </w:rPr>
              <w:t>0个工作日内公开</w:t>
            </w:r>
          </w:p>
        </w:tc>
        <w:tc>
          <w:tcPr>
            <w:tcW w:w="666" w:type="dxa"/>
            <w:vAlign w:val="center"/>
          </w:tcPr>
          <w:p>
            <w:pPr>
              <w:spacing w:line="240" w:lineRule="exact"/>
              <w:rPr>
                <w:rFonts w:hint="eastAsia" w:ascii="仿宋_GB2312" w:hAnsi="仿宋_GB2312" w:eastAsia="仿宋_GB2312" w:cs="仿宋_GB2312"/>
                <w:color w:val="auto"/>
                <w:sz w:val="18"/>
                <w:szCs w:val="18"/>
                <w:highlight w:val="none"/>
                <w:lang w:eastAsia="zh-CN"/>
              </w:rPr>
            </w:pPr>
            <w:r>
              <w:rPr>
                <w:rFonts w:hint="eastAsia" w:ascii="仿宋_GB2312" w:hAnsi="仿宋_GB2312" w:eastAsia="仿宋_GB2312" w:cs="仿宋_GB2312"/>
                <w:color w:val="auto"/>
                <w:sz w:val="18"/>
                <w:szCs w:val="18"/>
                <w:highlight w:val="none"/>
                <w:lang w:eastAsia="zh-CN"/>
              </w:rPr>
              <w:t>区文化旅游和广播电视局</w:t>
            </w:r>
          </w:p>
        </w:tc>
        <w:tc>
          <w:tcPr>
            <w:tcW w:w="155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tc>
        <w:tc>
          <w:tcPr>
            <w:tcW w:w="597"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85"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98"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803"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w:t>
            </w:r>
          </w:p>
        </w:tc>
        <w:tc>
          <w:tcPr>
            <w:tcW w:w="47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92" w:type="dxa"/>
            <w:vAlign w:val="center"/>
          </w:tcPr>
          <w:p>
            <w:pPr>
              <w:spacing w:line="24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bl>
    <w:p>
      <w:pPr>
        <w:rPr>
          <w:color w:val="auto"/>
          <w:highlight w:val="none"/>
        </w:rPr>
      </w:pPr>
    </w:p>
    <w:p>
      <w:pPr>
        <w:rPr>
          <w:color w:val="auto"/>
          <w:highlight w:val="none"/>
        </w:rPr>
      </w:pPr>
    </w:p>
    <w:p>
      <w:pPr>
        <w:rPr>
          <w:rFonts w:hint="eastAsia" w:ascii="仿宋_GB2312" w:hAnsi="仿宋_GB2312" w:eastAsia="仿宋_GB2312" w:cs="仿宋_GB2312"/>
          <w:b/>
          <w:bCs/>
          <w:color w:val="auto"/>
          <w:highlight w:val="none"/>
          <w:lang w:val="en-US" w:eastAsia="zh-CN"/>
        </w:rPr>
      </w:pPr>
      <w:r>
        <w:rPr>
          <w:rFonts w:hint="eastAsia" w:ascii="仿宋_GB2312" w:hAnsi="仿宋_GB2312" w:eastAsia="仿宋_GB2312" w:cs="仿宋_GB2312"/>
          <w:b/>
          <w:bCs/>
          <w:color w:val="auto"/>
          <w:highlight w:val="none"/>
          <w:lang w:val="en-US" w:eastAsia="zh-CN"/>
        </w:rPr>
        <w:br w:type="page"/>
      </w:r>
    </w:p>
    <w:p>
      <w:pPr>
        <w:rPr>
          <w:rFonts w:hint="eastAsia" w:ascii="仿宋_GB2312" w:hAnsi="仿宋_GB2312" w:eastAsia="仿宋_GB2312" w:cs="仿宋_GB2312"/>
          <w:b/>
          <w:bCs/>
          <w:color w:val="auto"/>
          <w:highlight w:val="none"/>
          <w:lang w:val="en-US" w:eastAsia="zh-CN"/>
        </w:rPr>
      </w:pPr>
    </w:p>
    <w:p>
      <w:pPr>
        <w:jc w:val="center"/>
        <w:rPr>
          <w:rFonts w:hint="eastAsia" w:ascii="黑体" w:hAnsi="黑体" w:eastAsia="黑体" w:cs="黑体"/>
          <w:b w:val="0"/>
          <w:bCs/>
          <w:i w:val="0"/>
          <w:color w:val="auto"/>
          <w:kern w:val="0"/>
          <w:sz w:val="36"/>
          <w:szCs w:val="36"/>
          <w:highlight w:val="none"/>
          <w:u w:val="none"/>
          <w:lang w:val="en-US" w:eastAsia="zh-CN" w:bidi="ar"/>
        </w:rPr>
      </w:pPr>
      <w:r>
        <w:rPr>
          <w:rFonts w:hint="eastAsia" w:ascii="黑体" w:hAnsi="黑体" w:eastAsia="黑体" w:cs="黑体"/>
          <w:b w:val="0"/>
          <w:bCs/>
          <w:i w:val="0"/>
          <w:color w:val="auto"/>
          <w:kern w:val="0"/>
          <w:sz w:val="36"/>
          <w:szCs w:val="36"/>
          <w:highlight w:val="none"/>
          <w:u w:val="none"/>
          <w:lang w:val="en-US" w:eastAsia="zh-CN" w:bidi="ar"/>
        </w:rPr>
        <w:t>双台子区安全生产领域基层政务公开标准目录</w:t>
      </w:r>
    </w:p>
    <w:tbl>
      <w:tblPr>
        <w:tblStyle w:val="7"/>
        <w:tblW w:w="15036" w:type="dxa"/>
        <w:tblInd w:w="-3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3"/>
        <w:gridCol w:w="451"/>
        <w:gridCol w:w="28"/>
        <w:gridCol w:w="1162"/>
        <w:gridCol w:w="1882"/>
        <w:gridCol w:w="23"/>
        <w:gridCol w:w="2168"/>
        <w:gridCol w:w="1180"/>
        <w:gridCol w:w="2"/>
        <w:gridCol w:w="866"/>
        <w:gridCol w:w="3221"/>
        <w:gridCol w:w="620"/>
        <w:gridCol w:w="500"/>
        <w:gridCol w:w="462"/>
        <w:gridCol w:w="507"/>
        <w:gridCol w:w="13"/>
        <w:gridCol w:w="461"/>
        <w:gridCol w:w="461"/>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540" w:hRule="atLeast"/>
          <w:tblHeader/>
        </w:trPr>
        <w:tc>
          <w:tcPr>
            <w:tcW w:w="266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公开事项</w:t>
            </w:r>
          </w:p>
        </w:tc>
        <w:tc>
          <w:tcPr>
            <w:tcW w:w="18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公开内容</w:t>
            </w:r>
          </w:p>
        </w:tc>
        <w:tc>
          <w:tcPr>
            <w:tcW w:w="2191"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公开依据</w:t>
            </w:r>
          </w:p>
        </w:tc>
        <w:tc>
          <w:tcPr>
            <w:tcW w:w="11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公开时限</w:t>
            </w:r>
          </w:p>
        </w:tc>
        <w:tc>
          <w:tcPr>
            <w:tcW w:w="868"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公开主体</w:t>
            </w:r>
          </w:p>
        </w:tc>
        <w:tc>
          <w:tcPr>
            <w:tcW w:w="322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公开渠道和载体</w:t>
            </w:r>
          </w:p>
        </w:tc>
        <w:tc>
          <w:tcPr>
            <w:tcW w:w="11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公开对象</w:t>
            </w:r>
          </w:p>
        </w:tc>
        <w:tc>
          <w:tcPr>
            <w:tcW w:w="9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公开方式</w:t>
            </w:r>
          </w:p>
        </w:tc>
        <w:tc>
          <w:tcPr>
            <w:tcW w:w="92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203" w:hRule="atLeast"/>
          <w:tblHeader/>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一级事项</w:t>
            </w:r>
          </w:p>
        </w:tc>
        <w:tc>
          <w:tcPr>
            <w:tcW w:w="164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二级事项</w:t>
            </w:r>
          </w:p>
        </w:tc>
        <w:tc>
          <w:tcPr>
            <w:tcW w:w="18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bCs w:val="0"/>
                <w:i w:val="0"/>
                <w:color w:val="auto"/>
                <w:sz w:val="18"/>
                <w:szCs w:val="18"/>
                <w:highlight w:val="none"/>
                <w:u w:val="none"/>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bCs w:val="0"/>
                <w:i w:val="0"/>
                <w:color w:val="auto"/>
                <w:sz w:val="18"/>
                <w:szCs w:val="18"/>
                <w:highlight w:val="none"/>
                <w:u w:val="none"/>
              </w:rPr>
            </w:pPr>
          </w:p>
        </w:tc>
        <w:tc>
          <w:tcPr>
            <w:tcW w:w="11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bCs w:val="0"/>
                <w:i w:val="0"/>
                <w:color w:val="auto"/>
                <w:sz w:val="18"/>
                <w:szCs w:val="18"/>
                <w:highlight w:val="none"/>
                <w:u w:val="none"/>
              </w:rPr>
            </w:pPr>
          </w:p>
        </w:tc>
        <w:tc>
          <w:tcPr>
            <w:tcW w:w="8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bCs w:val="0"/>
                <w:i w:val="0"/>
                <w:color w:val="auto"/>
                <w:sz w:val="18"/>
                <w:szCs w:val="18"/>
                <w:highlight w:val="none"/>
                <w:u w:val="none"/>
              </w:rPr>
            </w:pPr>
          </w:p>
        </w:tc>
        <w:tc>
          <w:tcPr>
            <w:tcW w:w="322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bCs w:val="0"/>
                <w:i w:val="0"/>
                <w:color w:val="auto"/>
                <w:sz w:val="18"/>
                <w:szCs w:val="18"/>
                <w:highlight w:val="none"/>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全社会</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特定群体</w:t>
            </w: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主动</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依申请</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县级</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auto"/>
                <w:sz w:val="18"/>
                <w:szCs w:val="18"/>
                <w:highlight w:val="none"/>
                <w:u w:val="none"/>
              </w:rPr>
            </w:pPr>
            <w:r>
              <w:rPr>
                <w:rFonts w:hint="eastAsia" w:ascii="仿宋_GB2312" w:hAnsi="仿宋_GB2312" w:eastAsia="仿宋_GB2312" w:cs="仿宋_GB2312"/>
                <w:b/>
                <w:bCs w:val="0"/>
                <w:i w:val="0"/>
                <w:color w:val="auto"/>
                <w:kern w:val="0"/>
                <w:sz w:val="18"/>
                <w:szCs w:val="18"/>
                <w:highlight w:val="none"/>
                <w:u w:val="none"/>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125" w:hRule="atLeast"/>
        </w:trPr>
        <w:tc>
          <w:tcPr>
            <w:tcW w:w="10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政策文件</w:t>
            </w: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1</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法律法规</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与安全生产有关的法律、法规</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8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39" w:hRule="atLeast"/>
        </w:trPr>
        <w:tc>
          <w:tcPr>
            <w:tcW w:w="10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2</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部门和地方规章</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《关于规范安全生产工作数据统计上报制度的通知》</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8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065" w:hRule="atLeast"/>
        </w:trPr>
        <w:tc>
          <w:tcPr>
            <w:tcW w:w="10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3</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其他政策文件</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其他可以公开的与安全生产有关的政策文件，包括改革方案、发展规划、专项规划、工作计划等</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8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714"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4</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标准</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安全生产领域有关的国家标准、行业标准、地方标准等</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8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919"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5</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重大决策草案</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涉及管理相对人切身利益、需社会广泛知晓的重要改革方案等重大决策，决策前向社会公开决策草案、决策依据</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《中华人民共和国政府信息公开条例》(国务院令第711号），中央办公厅、国务院办公厅《关于全面推进政务公开工作的意见》</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919" w:hRule="atLeast"/>
        </w:trPr>
        <w:tc>
          <w:tcPr>
            <w:tcW w:w="10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政策文件</w:t>
            </w: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6</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重大政策解读及回应</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有关重大政策的解读与回应，安全生产相关热点问题的解读与回应</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《中华人民共和国政府信息公开条例》(国务院令第711号）、中办国办</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《关于全面推进政务公开工作的意见》</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重大决策作出后及时公开</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919" w:hRule="atLeast"/>
        </w:trPr>
        <w:tc>
          <w:tcPr>
            <w:tcW w:w="10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7</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重要会议</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通过会议讨论作出重要改革方案等重大决策时，经党组研究认为有必要公开讨论决策过程的会议</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《中华人民共和国政府信息公开条例》(国务院令第711号）,中央办公厅、国务院办公厅《关于全面推进政务公开工作的意见》</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提前一周发通知邀请</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919"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政策文件</w:t>
            </w: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8</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征集采纳社会公众意见情况</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重大决策草案公布后征集到的社会公众意见情况、采纳与否情况及理由等</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《中华人民共和国政府信息公开条例》(国务院令第711号），中央办公厅、国务院办公厅《关于全面推进政务公开工作的意见》</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征求意见时对外公布的时限内公开</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0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依法行政</w:t>
            </w: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1</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行政许可</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办理行政许可和其他对外管理服务事项的依据、条件、程序</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《中华人民共和国政府信息公开条例》(国务院令第711号）、《中共中央  国务院关于推进安全生产领域改革发展的意见》</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区行政审批局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919" w:hRule="atLeast"/>
        </w:trPr>
        <w:tc>
          <w:tcPr>
            <w:tcW w:w="10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2</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行政处罚</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办理行政处罚的依据、条件、程序以及本级行政机关认为具有一定社会影响的行政处罚决定</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《中华人民共和国政府信息公开条例》(国务院令第711号）、《中共中央  国务院关于推进安全生产领域改革发展的意见》</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919" w:hRule="atLeast"/>
        </w:trPr>
        <w:tc>
          <w:tcPr>
            <w:tcW w:w="10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3</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行政强制</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办理行政强制的依据、条件、程序</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《中华人民共和国政府信息公开条例》(国务院令第711号）《中华人民共和国突发事件应对法</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》、《突发事件应急预案管理办法》、《中共中央  国务院关于推进安全生产领域改革发展的意见》</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90" w:hRule="atLeast"/>
        </w:trPr>
        <w:tc>
          <w:tcPr>
            <w:tcW w:w="10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行政管理</w:t>
            </w: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sz w:val="18"/>
                <w:szCs w:val="18"/>
                <w:highlight w:val="none"/>
                <w:u w:val="none"/>
                <w:lang w:val="en-US" w:eastAsia="zh-CN"/>
              </w:rPr>
              <w:t>1</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隐患管理</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重大隐患排查、挂牌督办及其整改情况，安全生产举报电话等</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《安全生产法》、《中华人民共和国政府信息公开条例》(国务院令第 711号）、《中共中央国务院关于推进安全生产领域改革发展的意见》</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919" w:hRule="atLeast"/>
        </w:trPr>
        <w:tc>
          <w:tcPr>
            <w:tcW w:w="10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2</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应急管理</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承担处置主责、非敏感的应急信息、包括事故灾害类预警信息、事故信息、事故后采取的应急处置措施和应对结果等</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《中华人民共和国政府信息公开条例》(国务院令第711号），《中华人民共和国突发事件应对法》，中央办公厅、国务院办公厅《关于全面加强政务公开工作的意见》</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 w:type="dxa"/>
          <w:trHeight w:val="1919"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行政管理</w:t>
            </w:r>
          </w:p>
        </w:tc>
        <w:tc>
          <w:tcPr>
            <w:tcW w:w="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3</w:t>
            </w:r>
          </w:p>
        </w:tc>
        <w:tc>
          <w:tcPr>
            <w:tcW w:w="11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黑名单管理</w:t>
            </w:r>
          </w:p>
        </w:tc>
        <w:tc>
          <w:tcPr>
            <w:tcW w:w="18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列入或撤销纳入安全生产黑名单管理的企业信息，具体企业名称、证照编号</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、经营地址、负责人姓名等</w:t>
            </w:r>
          </w:p>
        </w:tc>
        <w:tc>
          <w:tcPr>
            <w:tcW w:w="21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《中华人民共和国政府信息公开条例》（国务院令第711号）、《社会信用体系建设规划纲要（2014-2020年）》</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868"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3" w:hRule="atLeast"/>
        </w:trPr>
        <w:tc>
          <w:tcPr>
            <w:tcW w:w="102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行政管理</w:t>
            </w:r>
          </w:p>
        </w:tc>
        <w:tc>
          <w:tcPr>
            <w:tcW w:w="479"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4</w:t>
            </w:r>
          </w:p>
        </w:tc>
        <w:tc>
          <w:tcPr>
            <w:tcW w:w="116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事故通报</w:t>
            </w:r>
          </w:p>
        </w:tc>
        <w:tc>
          <w:tcPr>
            <w:tcW w:w="1905"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●事故信息:本部门接报查实的各类生产安全事故情况（事故发生时间、地点、伤亡情况、简要经 过）</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●典型事故通报:各类典型安全生产事故情况通 报，主要包括发生时间、地点、起因、经过、结果</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、相关领导批示情况、预防性措施建议等内容</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●事故调查报告：依照事故调查处理权限，经批复的生产安全事故调查报 告，依法应当保密的除外</w:t>
            </w:r>
          </w:p>
        </w:tc>
        <w:tc>
          <w:tcPr>
            <w:tcW w:w="216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《安全生产法》、《中华人民共和国政府信息公开条例》(国务院令第 711号）、《中共中央 国务院关于推进安全生产领域改革发展的意见</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118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按照中央有关要求公开</w:t>
            </w:r>
          </w:p>
        </w:tc>
        <w:tc>
          <w:tcPr>
            <w:tcW w:w="86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18" w:hRule="atLeast"/>
        </w:trPr>
        <w:tc>
          <w:tcPr>
            <w:tcW w:w="102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5</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动态信息</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●业务工作动态</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●安全生产执法检查动态</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《中华人民共和国政府信息公开条例》(国务院令第711号）、《中共中央  国务院关于推进安全生产领域改革发展的意见》</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行政管理</w:t>
            </w: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6</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安全生产预警提示信息</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●气象及灾害预警信息</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●不同时段、不同领域安全生产提示信息</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《中华人民共和国政府信息公开条例》(国务院令第711号）、《中共中央  国务院关于推进安全生产领域改革发展的意见》</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信息形成后及时公开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2"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公共服务</w:t>
            </w: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1</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政务公开目录</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政务公开事项的索引、名称、内容概述、生成日期等</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《中华人民共和国政府信息公开条例》(国务院令第711号）、《中共中央  国务院关于推进安全生产领域改革发展的意见》</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18"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公共服务</w:t>
            </w: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2</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政务公开标准</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政府信息公开指南等流程性信息</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7"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公共服务</w:t>
            </w: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3</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权力清单及责任清单</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同级政府审批通过的行政执法主体信息和行政许可、行政处罚、行政强制、行政检查、行政确认、行政奖励及其他行政职权等行政执法职权职责清单</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《中华人民共和国政府信息公开条例》(国务院令第711号）、《中共中央  国务院关于推进安全生产领域改革发展的意见》</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信息形成或者变更20个工作日内，如有更新，及时公开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2" w:hRule="atLeast"/>
        </w:trPr>
        <w:tc>
          <w:tcPr>
            <w:tcW w:w="102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公共服务</w:t>
            </w:r>
          </w:p>
        </w:tc>
        <w:tc>
          <w:tcPr>
            <w:tcW w:w="479"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4</w:t>
            </w:r>
          </w:p>
        </w:tc>
        <w:tc>
          <w:tcPr>
            <w:tcW w:w="116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主要业务办事指南</w:t>
            </w:r>
          </w:p>
        </w:tc>
        <w:tc>
          <w:tcPr>
            <w:tcW w:w="1905"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主要业务工作的办事依据、程序、时限，办事时间、地点、部门、联系方式及相关办理结果</w:t>
            </w:r>
          </w:p>
        </w:tc>
        <w:tc>
          <w:tcPr>
            <w:tcW w:w="216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《中华人民共和国政府信息公开条例》(国务院令第711号）、《中共中央  国务院关于推进安全生产领域改革发展的意见》</w:t>
            </w:r>
          </w:p>
        </w:tc>
        <w:tc>
          <w:tcPr>
            <w:tcW w:w="118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信息形成或者变更之日起20个工作日内</w:t>
            </w:r>
          </w:p>
        </w:tc>
        <w:tc>
          <w:tcPr>
            <w:tcW w:w="86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38" w:hRule="atLeast"/>
        </w:trPr>
        <w:tc>
          <w:tcPr>
            <w:tcW w:w="102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5</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年度报告</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政府信息公开年度报告及相关统计报表</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每年1月31日前</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重点领域信息公开</w:t>
            </w: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1</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财政资金信息</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●预算、决算</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●“三公”经费</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●安全生产专项资金使用等财政资金信息</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《中华人民共和国政府信息公开条例》(国务院令第711号）、《国务院关于深化预算管理制度改革的决定》、《国务院办公厅关于进一步推进预算公开工作意见的通知》</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按中央要求时限公开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023"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2</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政府采购信息</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本单位采购实施情况相关信息</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《中华人民共和国政府信息公开条例》(国务院令第711号）,《国务院关于深化预算管理制度改革的决定》(国发〔 2014〕45号),中办、国办印发《关于进一步推进预算公开工作的意见</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》的通知</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92" w:hRule="atLeast"/>
        </w:trPr>
        <w:tc>
          <w:tcPr>
            <w:tcW w:w="10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重点领域信息公开</w:t>
            </w: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3</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办事纪律和监督管理</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本单位的办事纪律,受理投诉、举报、信访的途径等内容</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《中华人民共和国政府信息公开条例》(国务院令第711号）、《中共中央  国务院关于推进安全生产领域改革发展的意见》</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1023"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4</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重大工程项目信息</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项目名称、执行措施、责任分工、取得成效、后续举措等</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《中华人民共和国政府信息公开条例》(国务院令第711号）、《国务院办公厅关于推进重大建设项目批准和实施领域政府信息公开的意见》</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（国办发〔2017〕 94号）</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按照中央有关要求公开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p>
            <w:pPr>
              <w:jc w:val="center"/>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96" w:hRule="atLeast"/>
        </w:trPr>
        <w:tc>
          <w:tcPr>
            <w:tcW w:w="1023"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重点领域信息公开</w:t>
            </w:r>
          </w:p>
        </w:tc>
        <w:tc>
          <w:tcPr>
            <w:tcW w:w="479"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5</w:t>
            </w:r>
          </w:p>
        </w:tc>
        <w:tc>
          <w:tcPr>
            <w:tcW w:w="116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检查和巡查发现安全监管监察问题</w:t>
            </w:r>
          </w:p>
        </w:tc>
        <w:tc>
          <w:tcPr>
            <w:tcW w:w="1905"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检查和巡查发现的、并要求向社会公开的问题及整改落实情况</w:t>
            </w:r>
          </w:p>
        </w:tc>
        <w:tc>
          <w:tcPr>
            <w:tcW w:w="216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《中华人民共和国政府信息公开条例》(国务院令第711号）、《中共中央  国务院关于推进安全生产领域改革发展的意见》</w:t>
            </w:r>
          </w:p>
        </w:tc>
        <w:tc>
          <w:tcPr>
            <w:tcW w:w="1182"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86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3" w:hRule="atLeast"/>
        </w:trPr>
        <w:tc>
          <w:tcPr>
            <w:tcW w:w="1023"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6</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建议提案办理</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●办理制度与推进情况</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●人大代表建议办理</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●政协委员提案办理</w:t>
            </w:r>
          </w:p>
        </w:tc>
        <w:tc>
          <w:tcPr>
            <w:tcW w:w="21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《中华人民共和国政府信息公开条例》(国务院令第711号）、《国务院办公厅关于做好全国人大代表建议和全国政协委员提案办理结果公开工作的通知》（国办发</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〔2014〕46号）</w:t>
            </w:r>
          </w:p>
        </w:tc>
        <w:tc>
          <w:tcPr>
            <w:tcW w:w="118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按照中央有关要求公开</w:t>
            </w:r>
          </w:p>
        </w:tc>
        <w:tc>
          <w:tcPr>
            <w:tcW w:w="8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2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b w:val="0"/>
                <w:bCs/>
                <w:i w:val="0"/>
                <w:color w:val="auto"/>
                <w:sz w:val="18"/>
                <w:szCs w:val="18"/>
                <w:highlight w:val="none"/>
                <w:u w:val="none"/>
              </w:rPr>
            </w:pPr>
          </w:p>
        </w:tc>
        <w:tc>
          <w:tcPr>
            <w:tcW w:w="4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b w:val="0"/>
                <w:bCs/>
                <w:i w:val="0"/>
                <w:color w:val="auto"/>
                <w:sz w:val="18"/>
                <w:szCs w:val="18"/>
                <w:highlight w:val="none"/>
                <w:u w:val="none"/>
                <w:lang w:val="en-US" w:eastAsia="zh-CN"/>
              </w:rPr>
            </w:pPr>
          </w:p>
        </w:tc>
      </w:tr>
    </w:tbl>
    <w:p>
      <w:pPr>
        <w:jc w:val="left"/>
        <w:rPr>
          <w:rFonts w:hint="eastAsia" w:ascii="Times New Roman" w:hAnsi="Times New Roman" w:eastAsia="方正小标宋_GBK"/>
          <w:color w:val="auto"/>
          <w:sz w:val="28"/>
          <w:szCs w:val="28"/>
          <w:highlight w:val="none"/>
        </w:rPr>
      </w:pPr>
    </w:p>
    <w:p>
      <w:pPr>
        <w:jc w:val="left"/>
        <w:rPr>
          <w:rFonts w:hint="eastAsia" w:ascii="Times New Roman" w:hAnsi="Times New Roman" w:eastAsia="方正小标宋_GBK"/>
          <w:b w:val="0"/>
          <w:bCs/>
          <w:color w:val="auto"/>
          <w:sz w:val="28"/>
          <w:szCs w:val="28"/>
          <w:highlight w:val="none"/>
        </w:rPr>
      </w:pPr>
    </w:p>
    <w:p>
      <w:pPr>
        <w:rPr>
          <w:rFonts w:hint="eastAsia" w:ascii="Times New Roman" w:hAnsi="Times New Roman" w:eastAsia="方正小标宋_GBK"/>
          <w:b w:val="0"/>
          <w:bCs/>
          <w:color w:val="auto"/>
          <w:sz w:val="28"/>
          <w:szCs w:val="28"/>
          <w:highlight w:val="none"/>
        </w:rPr>
      </w:pPr>
      <w:r>
        <w:rPr>
          <w:rFonts w:hint="eastAsia" w:ascii="Times New Roman" w:hAnsi="Times New Roman" w:eastAsia="方正小标宋_GBK"/>
          <w:b w:val="0"/>
          <w:bCs/>
          <w:color w:val="auto"/>
          <w:sz w:val="28"/>
          <w:szCs w:val="28"/>
          <w:highlight w:val="none"/>
        </w:rPr>
        <w:br w:type="page"/>
      </w:r>
    </w:p>
    <w:p>
      <w:pPr>
        <w:jc w:val="center"/>
        <w:rPr>
          <w:rFonts w:hint="eastAsia" w:ascii="Times New Roman" w:hAnsi="Times New Roman" w:eastAsia="方正小标宋_GBK"/>
          <w:b w:val="0"/>
          <w:bCs/>
          <w:color w:val="auto"/>
          <w:sz w:val="28"/>
          <w:szCs w:val="28"/>
          <w:highlight w:val="none"/>
        </w:rPr>
      </w:pPr>
      <w:r>
        <w:rPr>
          <w:rFonts w:hint="eastAsia" w:ascii="黑体" w:hAnsi="黑体" w:eastAsia="黑体" w:cs="黑体"/>
          <w:b w:val="0"/>
          <w:bCs/>
          <w:i w:val="0"/>
          <w:color w:val="auto"/>
          <w:kern w:val="0"/>
          <w:sz w:val="36"/>
          <w:szCs w:val="36"/>
          <w:highlight w:val="none"/>
          <w:u w:val="none"/>
          <w:lang w:val="en-US" w:eastAsia="zh-CN" w:bidi="ar"/>
        </w:rPr>
        <w:t>双台子区救灾领域基层政务公开标准目录</w:t>
      </w:r>
    </w:p>
    <w:tbl>
      <w:tblPr>
        <w:tblStyle w:val="7"/>
        <w:tblW w:w="151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6"/>
        <w:gridCol w:w="315"/>
        <w:gridCol w:w="929"/>
        <w:gridCol w:w="2475"/>
        <w:gridCol w:w="2430"/>
        <w:gridCol w:w="990"/>
        <w:gridCol w:w="1020"/>
        <w:gridCol w:w="3135"/>
        <w:gridCol w:w="522"/>
        <w:gridCol w:w="459"/>
        <w:gridCol w:w="414"/>
        <w:gridCol w:w="443"/>
        <w:gridCol w:w="440"/>
        <w:gridCol w:w="419"/>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90" w:hRule="atLeast"/>
          <w:tblHeader/>
          <w:jc w:val="center"/>
        </w:trPr>
        <w:tc>
          <w:tcPr>
            <w:tcW w:w="24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公开事项</w:t>
            </w:r>
          </w:p>
        </w:tc>
        <w:tc>
          <w:tcPr>
            <w:tcW w:w="24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公开内容</w:t>
            </w:r>
          </w:p>
        </w:tc>
        <w:tc>
          <w:tcPr>
            <w:tcW w:w="24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公开依据</w:t>
            </w:r>
          </w:p>
        </w:tc>
        <w:tc>
          <w:tcPr>
            <w:tcW w:w="9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公开主体</w:t>
            </w:r>
          </w:p>
        </w:tc>
        <w:tc>
          <w:tcPr>
            <w:tcW w:w="31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公开渠道和载体</w:t>
            </w:r>
          </w:p>
        </w:tc>
        <w:tc>
          <w:tcPr>
            <w:tcW w:w="98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公开对象</w:t>
            </w:r>
          </w:p>
        </w:tc>
        <w:tc>
          <w:tcPr>
            <w:tcW w:w="8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公开方式</w:t>
            </w:r>
          </w:p>
        </w:tc>
        <w:tc>
          <w:tcPr>
            <w:tcW w:w="8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502" w:hRule="atLeast"/>
          <w:tblHeader/>
          <w:jc w:val="center"/>
        </w:trPr>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一级事项</w:t>
            </w:r>
          </w:p>
        </w:tc>
        <w:tc>
          <w:tcPr>
            <w:tcW w:w="12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200"/>
              <w:jc w:val="left"/>
              <w:textAlignment w:val="center"/>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二级事项</w:t>
            </w:r>
          </w:p>
        </w:tc>
        <w:tc>
          <w:tcPr>
            <w:tcW w:w="24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24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31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全社会</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特定群体</w:t>
            </w: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主动</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依申请</w:t>
            </w: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县级</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b w:val="0"/>
                <w:bCs/>
                <w:i w:val="0"/>
                <w:color w:val="auto"/>
                <w:sz w:val="18"/>
                <w:szCs w:val="18"/>
                <w:highlight w:val="none"/>
                <w:u w:val="none"/>
              </w:rPr>
            </w:pPr>
            <w:r>
              <w:rPr>
                <w:rStyle w:val="18"/>
                <w:rFonts w:hint="eastAsia" w:ascii="仿宋_GB2312" w:hAnsi="仿宋_GB2312" w:eastAsia="仿宋_GB2312" w:cs="仿宋_GB2312"/>
                <w:b w:val="0"/>
                <w:bCs/>
                <w:color w:val="auto"/>
                <w:sz w:val="18"/>
                <w:szCs w:val="18"/>
                <w:highlight w:val="none"/>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90" w:hRule="atLeast"/>
          <w:jc w:val="center"/>
        </w:trPr>
        <w:tc>
          <w:tcPr>
            <w:tcW w:w="1176"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政策文件</w:t>
            </w:r>
          </w:p>
        </w:tc>
        <w:tc>
          <w:tcPr>
            <w:tcW w:w="3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1</w:t>
            </w:r>
          </w:p>
        </w:tc>
        <w:tc>
          <w:tcPr>
            <w:tcW w:w="92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法律法规</w:t>
            </w:r>
          </w:p>
        </w:tc>
        <w:tc>
          <w:tcPr>
            <w:tcW w:w="247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与救灾有关的法律、法规</w:t>
            </w:r>
          </w:p>
        </w:tc>
        <w:tc>
          <w:tcPr>
            <w:tcW w:w="243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《中华人民共和国政府信息公开条例》(国务院令第711号）</w:t>
            </w:r>
          </w:p>
        </w:tc>
        <w:tc>
          <w:tcPr>
            <w:tcW w:w="9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信息形成或变更之日起20个工作日内</w:t>
            </w:r>
          </w:p>
        </w:tc>
        <w:tc>
          <w:tcPr>
            <w:tcW w:w="10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Style w:val="22"/>
                <w:rFonts w:hint="eastAsia" w:ascii="仿宋_GB2312" w:hAnsi="仿宋_GB2312" w:eastAsia="仿宋_GB2312" w:cs="仿宋_GB2312"/>
                <w:b w:val="0"/>
                <w:bCs/>
                <w:color w:val="auto"/>
                <w:sz w:val="18"/>
                <w:szCs w:val="18"/>
                <w:highlight w:val="none"/>
                <w:lang w:val="en-US" w:eastAsia="zh-CN"/>
              </w:rPr>
              <w:t>■政府网站      □政府公报</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15"/>
                <w:rFonts w:hint="eastAsia" w:ascii="仿宋_GB2312" w:hAnsi="仿宋_GB2312" w:eastAsia="仿宋_GB2312" w:cs="仿宋_GB2312"/>
                <w:b w:val="0"/>
                <w:bCs/>
                <w:color w:val="auto"/>
                <w:sz w:val="18"/>
                <w:szCs w:val="18"/>
                <w:highlight w:val="none"/>
                <w:lang w:val="en-US" w:eastAsia="zh-CN"/>
              </w:rPr>
              <w:t>□</w:t>
            </w:r>
            <w:r>
              <w:rPr>
                <w:rStyle w:val="22"/>
                <w:rFonts w:hint="eastAsia" w:ascii="仿宋_GB2312" w:hAnsi="仿宋_GB2312" w:eastAsia="仿宋_GB2312" w:cs="仿宋_GB2312"/>
                <w:b w:val="0"/>
                <w:bCs/>
                <w:color w:val="auto"/>
                <w:sz w:val="18"/>
                <w:szCs w:val="18"/>
                <w:highlight w:val="none"/>
                <w:lang w:val="en-US" w:eastAsia="zh-CN"/>
              </w:rPr>
              <w:t>两微一端      □发布会</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22"/>
                <w:rFonts w:hint="eastAsia" w:ascii="仿宋_GB2312" w:hAnsi="仿宋_GB2312" w:eastAsia="仿宋_GB2312" w:cs="仿宋_GB2312"/>
                <w:b w:val="0"/>
                <w:bCs/>
                <w:color w:val="auto"/>
                <w:sz w:val="18"/>
                <w:szCs w:val="18"/>
                <w:highlight w:val="none"/>
                <w:lang w:val="en-US" w:eastAsia="zh-CN"/>
              </w:rPr>
              <w:t>□广播电视      □纸质媒体</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15"/>
                <w:rFonts w:hint="eastAsia" w:ascii="仿宋_GB2312" w:hAnsi="仿宋_GB2312" w:eastAsia="仿宋_GB2312" w:cs="仿宋_GB2312"/>
                <w:b w:val="0"/>
                <w:bCs/>
                <w:color w:val="auto"/>
                <w:sz w:val="18"/>
                <w:szCs w:val="18"/>
                <w:highlight w:val="none"/>
                <w:lang w:val="en-US" w:eastAsia="zh-CN"/>
              </w:rPr>
              <w:t>□</w:t>
            </w:r>
            <w:r>
              <w:rPr>
                <w:rStyle w:val="22"/>
                <w:rFonts w:hint="eastAsia" w:ascii="仿宋_GB2312" w:hAnsi="仿宋_GB2312" w:eastAsia="仿宋_GB2312" w:cs="仿宋_GB2312"/>
                <w:b w:val="0"/>
                <w:bCs/>
                <w:color w:val="auto"/>
                <w:sz w:val="18"/>
                <w:szCs w:val="18"/>
                <w:highlight w:val="none"/>
                <w:lang w:val="en-US" w:eastAsia="zh-CN"/>
              </w:rPr>
              <w:t>公开查阅点  □政务服务中心</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22"/>
                <w:rFonts w:hint="eastAsia" w:ascii="仿宋_GB2312" w:hAnsi="仿宋_GB2312" w:eastAsia="仿宋_GB2312" w:cs="仿宋_GB2312"/>
                <w:b w:val="0"/>
                <w:bCs/>
                <w:color w:val="auto"/>
                <w:sz w:val="18"/>
                <w:szCs w:val="18"/>
                <w:highlight w:val="none"/>
                <w:lang w:val="en-US" w:eastAsia="zh-CN"/>
              </w:rPr>
              <w:t>□便民服务站  □入户/现场</w:t>
            </w:r>
            <w:r>
              <w:rPr>
                <w:rStyle w:val="2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22"/>
                <w:rFonts w:hint="eastAsia" w:ascii="仿宋_GB2312" w:hAnsi="仿宋_GB2312" w:eastAsia="仿宋_GB2312" w:cs="仿宋_GB2312"/>
                <w:b w:val="0"/>
                <w:bCs/>
                <w:color w:val="auto"/>
                <w:sz w:val="18"/>
                <w:szCs w:val="18"/>
                <w:highlight w:val="none"/>
                <w:lang w:val="en-US" w:eastAsia="zh-CN"/>
              </w:rPr>
              <w:t>社区/企事业单位、村公示栏（电子屏）</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22"/>
                <w:rFonts w:hint="eastAsia" w:ascii="仿宋_GB2312" w:hAnsi="仿宋_GB2312" w:eastAsia="仿宋_GB2312" w:cs="仿宋_GB2312"/>
                <w:b w:val="0"/>
                <w:bCs/>
                <w:color w:val="auto"/>
                <w:sz w:val="18"/>
                <w:szCs w:val="18"/>
                <w:highlight w:val="none"/>
                <w:lang w:val="en-US" w:eastAsia="zh-CN"/>
              </w:rPr>
              <w:t>□精准推送      □其他</w:t>
            </w:r>
          </w:p>
        </w:tc>
        <w:tc>
          <w:tcPr>
            <w:tcW w:w="52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w:t>
            </w:r>
          </w:p>
        </w:tc>
        <w:tc>
          <w:tcPr>
            <w:tcW w:w="459"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w:t>
            </w:r>
          </w:p>
        </w:tc>
        <w:tc>
          <w:tcPr>
            <w:tcW w:w="443" w:type="dxa"/>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w:t>
            </w:r>
          </w:p>
        </w:tc>
        <w:tc>
          <w:tcPr>
            <w:tcW w:w="41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339" w:hRule="atLeast"/>
          <w:jc w:val="center"/>
        </w:trPr>
        <w:tc>
          <w:tcPr>
            <w:tcW w:w="1176"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2</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部门和地方规章</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《全国综合减灾示范社区创建管理办法》</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《中华人民共和国政府信息公开条例》(国务院令第711号）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Style w:val="22"/>
                <w:rFonts w:hint="eastAsia" w:ascii="仿宋_GB2312" w:hAnsi="仿宋_GB2312" w:eastAsia="仿宋_GB2312" w:cs="仿宋_GB2312"/>
                <w:b w:val="0"/>
                <w:bCs/>
                <w:color w:val="auto"/>
                <w:sz w:val="18"/>
                <w:szCs w:val="18"/>
                <w:highlight w:val="none"/>
                <w:lang w:val="en-US" w:eastAsia="zh-CN"/>
              </w:rPr>
              <w:t>■政府网站      □政府公报</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15"/>
                <w:rFonts w:hint="eastAsia" w:ascii="仿宋_GB2312" w:hAnsi="仿宋_GB2312" w:eastAsia="仿宋_GB2312" w:cs="仿宋_GB2312"/>
                <w:b w:val="0"/>
                <w:bCs/>
                <w:color w:val="auto"/>
                <w:sz w:val="18"/>
                <w:szCs w:val="18"/>
                <w:highlight w:val="none"/>
                <w:lang w:val="en-US" w:eastAsia="zh-CN"/>
              </w:rPr>
              <w:t>□</w:t>
            </w:r>
            <w:r>
              <w:rPr>
                <w:rStyle w:val="22"/>
                <w:rFonts w:hint="eastAsia" w:ascii="仿宋_GB2312" w:hAnsi="仿宋_GB2312" w:eastAsia="仿宋_GB2312" w:cs="仿宋_GB2312"/>
                <w:b w:val="0"/>
                <w:bCs/>
                <w:color w:val="auto"/>
                <w:sz w:val="18"/>
                <w:szCs w:val="18"/>
                <w:highlight w:val="none"/>
                <w:lang w:val="en-US" w:eastAsia="zh-CN"/>
              </w:rPr>
              <w:t>两微一端      □发布会</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22"/>
                <w:rFonts w:hint="eastAsia" w:ascii="仿宋_GB2312" w:hAnsi="仿宋_GB2312" w:eastAsia="仿宋_GB2312" w:cs="仿宋_GB2312"/>
                <w:b w:val="0"/>
                <w:bCs/>
                <w:color w:val="auto"/>
                <w:sz w:val="18"/>
                <w:szCs w:val="18"/>
                <w:highlight w:val="none"/>
                <w:lang w:val="en-US" w:eastAsia="zh-CN"/>
              </w:rPr>
              <w:t>□广播电视      □纸质媒体</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15"/>
                <w:rFonts w:hint="eastAsia" w:ascii="仿宋_GB2312" w:hAnsi="仿宋_GB2312" w:eastAsia="仿宋_GB2312" w:cs="仿宋_GB2312"/>
                <w:b w:val="0"/>
                <w:bCs/>
                <w:color w:val="auto"/>
                <w:sz w:val="18"/>
                <w:szCs w:val="18"/>
                <w:highlight w:val="none"/>
                <w:lang w:val="en-US" w:eastAsia="zh-CN"/>
              </w:rPr>
              <w:t>□</w:t>
            </w:r>
            <w:r>
              <w:rPr>
                <w:rStyle w:val="22"/>
                <w:rFonts w:hint="eastAsia" w:ascii="仿宋_GB2312" w:hAnsi="仿宋_GB2312" w:eastAsia="仿宋_GB2312" w:cs="仿宋_GB2312"/>
                <w:b w:val="0"/>
                <w:bCs/>
                <w:color w:val="auto"/>
                <w:sz w:val="18"/>
                <w:szCs w:val="18"/>
                <w:highlight w:val="none"/>
                <w:lang w:val="en-US" w:eastAsia="zh-CN"/>
              </w:rPr>
              <w:t>公开查阅点  □政务服务中心</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22"/>
                <w:rFonts w:hint="eastAsia" w:ascii="仿宋_GB2312" w:hAnsi="仿宋_GB2312" w:eastAsia="仿宋_GB2312" w:cs="仿宋_GB2312"/>
                <w:b w:val="0"/>
                <w:bCs/>
                <w:color w:val="auto"/>
                <w:sz w:val="18"/>
                <w:szCs w:val="18"/>
                <w:highlight w:val="none"/>
                <w:lang w:val="en-US" w:eastAsia="zh-CN"/>
              </w:rPr>
              <w:t>□便民服务站  □入户/现场</w:t>
            </w:r>
            <w:r>
              <w:rPr>
                <w:rStyle w:val="2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22"/>
                <w:rFonts w:hint="eastAsia" w:ascii="仿宋_GB2312" w:hAnsi="仿宋_GB2312" w:eastAsia="仿宋_GB2312" w:cs="仿宋_GB2312"/>
                <w:b w:val="0"/>
                <w:bCs/>
                <w:color w:val="auto"/>
                <w:sz w:val="18"/>
                <w:szCs w:val="18"/>
                <w:highlight w:val="none"/>
                <w:lang w:val="en-US" w:eastAsia="zh-CN"/>
              </w:rPr>
              <w:t>社区/企事业单位、村公示栏（电子屏）</w:t>
            </w:r>
            <w:r>
              <w:rPr>
                <w:rStyle w:val="22"/>
                <w:rFonts w:hint="eastAsia" w:ascii="仿宋_GB2312" w:hAnsi="仿宋_GB2312" w:eastAsia="仿宋_GB2312" w:cs="仿宋_GB2312"/>
                <w:b w:val="0"/>
                <w:bCs/>
                <w:color w:val="auto"/>
                <w:sz w:val="18"/>
                <w:szCs w:val="18"/>
                <w:highlight w:val="none"/>
                <w:lang w:val="en-US" w:eastAsia="zh-CN"/>
              </w:rPr>
              <w:br w:type="textWrapping"/>
            </w:r>
            <w:r>
              <w:rPr>
                <w:rStyle w:val="22"/>
                <w:rFonts w:hint="eastAsia" w:ascii="仿宋_GB2312" w:hAnsi="仿宋_GB2312" w:eastAsia="仿宋_GB2312" w:cs="仿宋_GB2312"/>
                <w:b w:val="0"/>
                <w:bCs/>
                <w:color w:val="auto"/>
                <w:sz w:val="18"/>
                <w:szCs w:val="18"/>
                <w:highlight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Style w:val="16"/>
                <w:rFonts w:hint="eastAsia" w:ascii="仿宋_GB2312" w:hAnsi="仿宋_GB2312" w:eastAsia="仿宋_GB2312" w:cs="仿宋_GB2312"/>
                <w:b w:val="0"/>
                <w:bCs/>
                <w:color w:val="auto"/>
                <w:sz w:val="18"/>
                <w:szCs w:val="18"/>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49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政策文件</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3</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其他政策文件</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其他可以公开的与救灾有关的政策文件，包括改革方案、发展规划、专项规划、工作计划等</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Style w:val="12"/>
                <w:rFonts w:hint="eastAsia" w:ascii="仿宋_GB2312" w:hAnsi="仿宋_GB2312" w:eastAsia="仿宋_GB2312" w:cs="仿宋_GB2312"/>
                <w:b w:val="0"/>
                <w:bCs/>
                <w:color w:val="auto"/>
                <w:sz w:val="18"/>
                <w:szCs w:val="18"/>
                <w:highlight w:val="none"/>
                <w:lang w:val="en-US" w:eastAsia="zh-CN"/>
              </w:rPr>
              <w:t>■政府网站      □政府公报</w:t>
            </w:r>
            <w:r>
              <w:rPr>
                <w:rStyle w:val="1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12"/>
                <w:rFonts w:hint="eastAsia" w:ascii="仿宋_GB2312" w:hAnsi="仿宋_GB2312" w:eastAsia="仿宋_GB2312" w:cs="仿宋_GB2312"/>
                <w:b w:val="0"/>
                <w:bCs/>
                <w:color w:val="auto"/>
                <w:sz w:val="18"/>
                <w:szCs w:val="18"/>
                <w:highlight w:val="none"/>
                <w:lang w:val="en-US" w:eastAsia="zh-CN"/>
              </w:rPr>
              <w:t>两微一端      □发布会</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□广播电视      □纸质媒体</w:t>
            </w:r>
            <w:r>
              <w:rPr>
                <w:rStyle w:val="1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12"/>
                <w:rFonts w:hint="eastAsia" w:ascii="仿宋_GB2312" w:hAnsi="仿宋_GB2312" w:eastAsia="仿宋_GB2312" w:cs="仿宋_GB2312"/>
                <w:b w:val="0"/>
                <w:bCs/>
                <w:color w:val="auto"/>
                <w:sz w:val="18"/>
                <w:szCs w:val="18"/>
                <w:highlight w:val="none"/>
                <w:lang w:val="en-US" w:eastAsia="zh-CN"/>
              </w:rPr>
              <w:t>公开查阅点  □政务服务中心</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□便民服务站  □入户/现场</w:t>
            </w:r>
            <w:r>
              <w:rPr>
                <w:rStyle w:val="1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12"/>
                <w:rFonts w:hint="eastAsia" w:ascii="仿宋_GB2312" w:hAnsi="仿宋_GB2312" w:eastAsia="仿宋_GB2312" w:cs="仿宋_GB2312"/>
                <w:b w:val="0"/>
                <w:bCs/>
                <w:color w:val="auto"/>
                <w:sz w:val="18"/>
                <w:szCs w:val="18"/>
                <w:highlight w:val="none"/>
                <w:lang w:val="en-US" w:eastAsia="zh-CN"/>
              </w:rPr>
              <w:t>社区/企事业单位、村公示栏（电子屏）</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535"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4</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标准</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救灾领域有关的国家标准、行业标准、地方标准等</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Style w:val="12"/>
                <w:rFonts w:hint="eastAsia" w:ascii="仿宋_GB2312" w:hAnsi="仿宋_GB2312" w:eastAsia="仿宋_GB2312" w:cs="仿宋_GB2312"/>
                <w:b w:val="0"/>
                <w:bCs/>
                <w:color w:val="auto"/>
                <w:sz w:val="18"/>
                <w:szCs w:val="18"/>
                <w:highlight w:val="none"/>
                <w:lang w:val="en-US" w:eastAsia="zh-CN"/>
              </w:rPr>
              <w:t>■政府网站      □政府公报</w:t>
            </w:r>
            <w:r>
              <w:rPr>
                <w:rStyle w:val="1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12"/>
                <w:rFonts w:hint="eastAsia" w:ascii="仿宋_GB2312" w:hAnsi="仿宋_GB2312" w:eastAsia="仿宋_GB2312" w:cs="仿宋_GB2312"/>
                <w:b w:val="0"/>
                <w:bCs/>
                <w:color w:val="auto"/>
                <w:sz w:val="18"/>
                <w:szCs w:val="18"/>
                <w:highlight w:val="none"/>
                <w:lang w:val="en-US" w:eastAsia="zh-CN"/>
              </w:rPr>
              <w:t>两微一端      □发布会</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□广播电视      □纸质媒体</w:t>
            </w:r>
            <w:r>
              <w:rPr>
                <w:rStyle w:val="1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12"/>
                <w:rFonts w:hint="eastAsia" w:ascii="仿宋_GB2312" w:hAnsi="仿宋_GB2312" w:eastAsia="仿宋_GB2312" w:cs="仿宋_GB2312"/>
                <w:b w:val="0"/>
                <w:bCs/>
                <w:color w:val="auto"/>
                <w:sz w:val="18"/>
                <w:szCs w:val="18"/>
                <w:highlight w:val="none"/>
                <w:lang w:val="en-US" w:eastAsia="zh-CN"/>
              </w:rPr>
              <w:t>公开查阅点  □政务服务中心</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□便民服务站  □入户/现场</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□社区/企事业单位、村公示栏（电子屏）</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385"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5</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重大决策草案</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涉及管理相对人切身利益、需社会广泛知晓的重要改革方案等重大决策，决策前向社会公开决策草案、决策依据</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《中华人民共和国政府信息公开条例》(国务院令第711号），中央办公厅、国务院办公厅</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《关于全面推进政务公开工作的意见》</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Style w:val="12"/>
                <w:rFonts w:hint="eastAsia" w:ascii="仿宋_GB2312" w:hAnsi="仿宋_GB2312" w:eastAsia="仿宋_GB2312" w:cs="仿宋_GB2312"/>
                <w:b w:val="0"/>
                <w:bCs/>
                <w:color w:val="auto"/>
                <w:sz w:val="18"/>
                <w:szCs w:val="18"/>
                <w:highlight w:val="none"/>
                <w:lang w:val="en-US" w:eastAsia="zh-CN"/>
              </w:rPr>
              <w:t>■政府网站      □政府公报</w:t>
            </w:r>
            <w:r>
              <w:rPr>
                <w:rStyle w:val="1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12"/>
                <w:rFonts w:hint="eastAsia" w:ascii="仿宋_GB2312" w:hAnsi="仿宋_GB2312" w:eastAsia="仿宋_GB2312" w:cs="仿宋_GB2312"/>
                <w:b w:val="0"/>
                <w:bCs/>
                <w:color w:val="auto"/>
                <w:sz w:val="18"/>
                <w:szCs w:val="18"/>
                <w:highlight w:val="none"/>
                <w:lang w:val="en-US" w:eastAsia="zh-CN"/>
              </w:rPr>
              <w:t>两微一端      □发布会</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□广播电视      □纸质媒体</w:t>
            </w:r>
            <w:r>
              <w:rPr>
                <w:rStyle w:val="1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12"/>
                <w:rFonts w:hint="eastAsia" w:ascii="仿宋_GB2312" w:hAnsi="仿宋_GB2312" w:eastAsia="仿宋_GB2312" w:cs="仿宋_GB2312"/>
                <w:b w:val="0"/>
                <w:bCs/>
                <w:color w:val="auto"/>
                <w:sz w:val="18"/>
                <w:szCs w:val="18"/>
                <w:highlight w:val="none"/>
                <w:lang w:val="en-US" w:eastAsia="zh-CN"/>
              </w:rPr>
              <w:t>公开查阅点  □政务服务中心</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□便民服务站  □入户/现场</w:t>
            </w:r>
            <w:r>
              <w:rPr>
                <w:rStyle w:val="12"/>
                <w:rFonts w:hint="eastAsia" w:ascii="仿宋_GB2312" w:hAnsi="仿宋_GB2312" w:eastAsia="仿宋_GB2312" w:cs="仿宋_GB2312"/>
                <w:b w:val="0"/>
                <w:bCs/>
                <w:color w:val="auto"/>
                <w:sz w:val="18"/>
                <w:szCs w:val="18"/>
                <w:highlight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w:t>
            </w:r>
            <w:r>
              <w:rPr>
                <w:rStyle w:val="12"/>
                <w:rFonts w:hint="eastAsia" w:ascii="仿宋_GB2312" w:hAnsi="仿宋_GB2312" w:eastAsia="仿宋_GB2312" w:cs="仿宋_GB2312"/>
                <w:b w:val="0"/>
                <w:bCs/>
                <w:color w:val="auto"/>
                <w:sz w:val="18"/>
                <w:szCs w:val="18"/>
                <w:highlight w:val="none"/>
                <w:lang w:val="en-US" w:eastAsia="zh-CN"/>
              </w:rPr>
              <w:t>社区/企事业单位、村公示栏（电子屏）</w:t>
            </w:r>
            <w:r>
              <w:rPr>
                <w:rStyle w:val="12"/>
                <w:rFonts w:hint="eastAsia" w:ascii="仿宋_GB2312" w:hAnsi="仿宋_GB2312" w:eastAsia="仿宋_GB2312" w:cs="仿宋_GB2312"/>
                <w:b w:val="0"/>
                <w:bCs/>
                <w:color w:val="auto"/>
                <w:sz w:val="18"/>
                <w:szCs w:val="18"/>
                <w:highlight w:val="none"/>
                <w:lang w:val="en-US" w:eastAsia="zh-CN"/>
              </w:rPr>
              <w:br w:type="textWrapping"/>
            </w:r>
            <w:r>
              <w:rPr>
                <w:rStyle w:val="12"/>
                <w:rFonts w:hint="eastAsia" w:ascii="仿宋_GB2312" w:hAnsi="仿宋_GB2312" w:eastAsia="仿宋_GB2312" w:cs="仿宋_GB2312"/>
                <w:b w:val="0"/>
                <w:bCs/>
                <w:color w:val="auto"/>
                <w:sz w:val="18"/>
                <w:szCs w:val="18"/>
                <w:highlight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610"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政策文件</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6</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重大政策解读及回应</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●有关重大政策的解读及回应</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●相关热点问题的解读及回应</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《中华人民共和国政府信息公开条例》(国务院令第711号），中央办公厅、国务院办公厅</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《关于全面推进政务公开工作的意见》，《国务院办公厅关于在政务公开工作中进一步做好政务舆情回应的通知》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（国办发〔2016〕 61号）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重大决策作出后及时公开</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017"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7</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重要会议</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以会议讨论作出重要改革方案等重大决策时，经党组研究认为有必要公开讨论决策过程的会议</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《中华人民共和国政府信息公开条例》(国务院令第711号），中央办公厅、国务院办公厅</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《关于全面推进政务公开工作的意见》</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提前一周发通知邀请</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90" w:hRule="atLeast"/>
          <w:jc w:val="center"/>
        </w:trPr>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政策文件</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8</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征集采纳社会公众意见情况</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重大决策草案公布后征集到的社会公众意见情况、采纳与否情况及理由等</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《中华人民共和国政府信息公开条例》(国务院令第711号）,中央办公厅、国务院办公厅《关于全面推进政务公开工作的意见》</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011" w:hRule="atLeast"/>
          <w:jc w:val="center"/>
        </w:trPr>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备灾管理</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1</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综合减灾示范社区</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综合减灾示范社区分布情况（其具体位置、创建时间、创建级别等）</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《中华人民共和国政府信息公开条例》(国务院令第711号）、《社会救助暂行办法》</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（2014）、《国家综合防灾减灾规划（2016- 2020年）》</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117"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备灾管理</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2</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灾害信息员队伍</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县乡两级灾害信息员工作职责和办公电话</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《中华人民共和国政府信息公开条例》(国务院令第711号）、《社会救助暂行办法》</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（2014）、《国家综合防灾减灾规划（2016- 2020年）》</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022"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3</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预警信息</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气象、地震等单位发布的预警信息</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p>
            <w:pPr>
              <w:jc w:val="left"/>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2" w:hRule="atLeast"/>
          <w:jc w:val="center"/>
        </w:trPr>
        <w:tc>
          <w:tcPr>
            <w:tcW w:w="1176" w:type="dxa"/>
            <w:vMerge w:val="restart"/>
            <w:tcBorders>
              <w:top w:val="single" w:color="auto" w:sz="4" w:space="0"/>
              <w:left w:val="single" w:color="auto"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灾后救助</w:t>
            </w:r>
          </w:p>
        </w:tc>
        <w:tc>
          <w:tcPr>
            <w:tcW w:w="31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1</w:t>
            </w:r>
          </w:p>
        </w:tc>
        <w:tc>
          <w:tcPr>
            <w:tcW w:w="92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灾情核定信息</w:t>
            </w:r>
          </w:p>
        </w:tc>
        <w:tc>
          <w:tcPr>
            <w:tcW w:w="24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本行政区域内因自然灾害造成的损失情况（受灾时间、灾害种类、受灾范围、灾害造成的损失等）</w:t>
            </w:r>
          </w:p>
        </w:tc>
        <w:tc>
          <w:tcPr>
            <w:tcW w:w="243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《中华人民共和国政府信息公开条例》(国务院令第711号）、《中华人民共和国自然灾害救助条例》（国务院令第577号）</w:t>
            </w:r>
          </w:p>
        </w:tc>
        <w:tc>
          <w:tcPr>
            <w:tcW w:w="9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29" w:type="dxa"/>
            <w:gridSpan w:val="2"/>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7" w:hRule="atLeast"/>
          <w:jc w:val="center"/>
        </w:trPr>
        <w:tc>
          <w:tcPr>
            <w:tcW w:w="1176" w:type="dxa"/>
            <w:vMerge w:val="continue"/>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31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2</w:t>
            </w:r>
          </w:p>
        </w:tc>
        <w:tc>
          <w:tcPr>
            <w:tcW w:w="92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救助审定信息</w:t>
            </w:r>
          </w:p>
        </w:tc>
        <w:tc>
          <w:tcPr>
            <w:tcW w:w="24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自然灾害救助（6类）的救助对象、申报材料、办理程序及时限等</w:t>
            </w:r>
          </w:p>
        </w:tc>
        <w:tc>
          <w:tcPr>
            <w:tcW w:w="243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《中华人民共和国政府信息公开条例》(国务院令第711号）、《中华人民共和国自然灾害救助条例》（国务院令第577号）</w:t>
            </w:r>
          </w:p>
        </w:tc>
        <w:tc>
          <w:tcPr>
            <w:tcW w:w="9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29" w:type="dxa"/>
            <w:gridSpan w:val="2"/>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707" w:hRule="atLeast"/>
          <w:jc w:val="center"/>
        </w:trPr>
        <w:tc>
          <w:tcPr>
            <w:tcW w:w="11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灾害救助</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3</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应急管理部门审批</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救助款物通知及划拨情况</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《中华人民共和国政府信息公开条例》(国务院令第711号）、《中华人民共和国自然灾害救助条例》（国务院令第577号）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153" w:hRule="atLeast"/>
          <w:jc w:val="center"/>
        </w:trPr>
        <w:tc>
          <w:tcPr>
            <w:tcW w:w="11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仿宋_GB2312" w:eastAsia="仿宋_GB2312" w:cs="仿宋_GB2312"/>
                <w:b w:val="0"/>
                <w:bCs/>
                <w:i w:val="0"/>
                <w:color w:val="auto"/>
                <w:sz w:val="18"/>
                <w:szCs w:val="18"/>
                <w:highlight w:val="none"/>
                <w:u w:val="none"/>
              </w:rPr>
            </w:pP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4</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因灾过渡期生活救助</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●因灾过渡期生活救助标准、过渡期生活救助对象评议结果公示（灾民姓名、受灾情况、拟救助金额、监督举报电话）</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●过渡期生活救助对象确定（灾民姓名、受灾情况、救助金额、监督举报电话)</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《中华人民共和国政府信息公开条例》(国务院令第711号）、《中华人民共和国自然灾害救助条例》（国务院令第577号）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257" w:hRule="atLeast"/>
          <w:jc w:val="center"/>
        </w:trPr>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灾后救助</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5</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居民住房恢复重建救助</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●居民住房恢复重建救助标准（居民因灾倒房</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、损房恢复重建具体救助标准）</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●居民住房恢复重建救助对象评议结果公示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（公开灾民姓名、受灾情况、拟救助标准、监督举报电话）</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《中华人民共和国政府信息公开条例》(国务院令第711号）、《中华人民共和国自然灾害救助条例》（国务院令第577号）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1407" w:hRule="atLeast"/>
          <w:jc w:val="center"/>
        </w:trPr>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款物管理</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1</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捐赠款物信息</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年度捐赠款物信息以及款物使用情况</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p>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r>
              <w:rPr>
                <w:rFonts w:hint="eastAsia" w:ascii="仿宋_GB2312" w:hAnsi="仿宋_GB2312" w:eastAsia="仿宋_GB2312" w:cs="仿宋_GB2312"/>
                <w:b w:val="0"/>
                <w:bCs/>
                <w:i w:val="0"/>
                <w:color w:val="auto"/>
                <w:kern w:val="0"/>
                <w:sz w:val="18"/>
                <w:szCs w:val="18"/>
                <w:highlight w:val="none"/>
                <w:u w:val="none"/>
                <w:lang w:val="en-US" w:eastAsia="zh-CN"/>
              </w:rPr>
              <w:t>√</w:t>
            </w:r>
          </w:p>
          <w:p>
            <w:pPr>
              <w:keepNext w:val="0"/>
              <w:keepLines w:val="0"/>
              <w:widowControl/>
              <w:suppressLineNumbers w:val="0"/>
              <w:jc w:val="left"/>
              <w:textAlignment w:val="center"/>
              <w:rPr>
                <w:rFonts w:hint="eastAsia" w:ascii="仿宋_GB2312" w:hAnsi="仿宋_GB2312" w:eastAsia="仿宋_GB2312" w:cs="仿宋_GB2312"/>
                <w:b w:val="0"/>
                <w:bCs/>
                <w:i w:val="0"/>
                <w:color w:val="auto"/>
                <w:kern w:val="0"/>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7" w:hRule="atLeast"/>
          <w:jc w:val="center"/>
        </w:trPr>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款物管理</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2</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年度款物使用情况</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年度救灾资金和救灾物资等使用情况</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3" w:hRule="atLeast"/>
          <w:jc w:val="center"/>
        </w:trPr>
        <w:tc>
          <w:tcPr>
            <w:tcW w:w="11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Chars="10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工作动态</w:t>
            </w:r>
          </w:p>
        </w:tc>
        <w:tc>
          <w:tcPr>
            <w:tcW w:w="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1</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工作信息</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防灾减灾救灾其他相关动态信息</w:t>
            </w:r>
          </w:p>
        </w:tc>
        <w:tc>
          <w:tcPr>
            <w:tcW w:w="2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《中华人民共和国政府信息公开条例》（国务院令第711号）</w:t>
            </w:r>
          </w:p>
        </w:tc>
        <w:tc>
          <w:tcPr>
            <w:tcW w:w="9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按进展情况及时公开</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区应急管理局</w:t>
            </w:r>
          </w:p>
        </w:tc>
        <w:tc>
          <w:tcPr>
            <w:tcW w:w="31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■政府网站      □政府公报</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□两微一端      □发布会</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□广播电视      □纸质媒体</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□公开查阅点  □政务服务中心</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□便民服务站  □入户/现场</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□社区/企事业单位、村公示栏（电子屏）</w:t>
            </w:r>
            <w:r>
              <w:rPr>
                <w:rFonts w:hint="eastAsia" w:ascii="仿宋_GB2312" w:hAnsi="仿宋_GB2312" w:eastAsia="仿宋_GB2312" w:cs="仿宋_GB2312"/>
                <w:b w:val="0"/>
                <w:bCs/>
                <w:i w:val="0"/>
                <w:color w:val="auto"/>
                <w:kern w:val="0"/>
                <w:sz w:val="18"/>
                <w:szCs w:val="18"/>
                <w:highlight w:val="none"/>
                <w:u w:val="none"/>
                <w:lang w:val="en-US" w:eastAsia="zh-CN"/>
              </w:rPr>
              <w:br w:type="textWrapping"/>
            </w:r>
            <w:r>
              <w:rPr>
                <w:rFonts w:hint="eastAsia" w:ascii="仿宋_GB2312" w:hAnsi="仿宋_GB2312" w:eastAsia="仿宋_GB2312" w:cs="仿宋_GB2312"/>
                <w:b w:val="0"/>
                <w:bCs/>
                <w:i w:val="0"/>
                <w:color w:val="auto"/>
                <w:kern w:val="0"/>
                <w:sz w:val="18"/>
                <w:szCs w:val="18"/>
                <w:highlight w:val="none"/>
                <w:u w:val="none"/>
                <w:lang w:val="en-US" w:eastAsia="zh-CN"/>
              </w:rPr>
              <w:t>□精准推送      □其他</w:t>
            </w:r>
          </w:p>
        </w:tc>
        <w:tc>
          <w:tcPr>
            <w:tcW w:w="5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left"/>
              <w:rPr>
                <w:rFonts w:hint="eastAsia" w:ascii="仿宋_GB2312" w:hAnsi="仿宋_GB2312" w:eastAsia="仿宋_GB2312" w:cs="仿宋_GB2312"/>
                <w:b w:val="0"/>
                <w:bCs/>
                <w:i w:val="0"/>
                <w:color w:val="auto"/>
                <w:sz w:val="18"/>
                <w:szCs w:val="18"/>
                <w:highlight w:val="none"/>
                <w:u w:val="none"/>
              </w:rPr>
            </w:pPr>
          </w:p>
        </w:tc>
        <w:tc>
          <w:tcPr>
            <w:tcW w:w="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c>
          <w:tcPr>
            <w:tcW w:w="42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val="0"/>
                <w:bCs/>
                <w:i w:val="0"/>
                <w:color w:val="auto"/>
                <w:sz w:val="18"/>
                <w:szCs w:val="18"/>
                <w:highlight w:val="none"/>
                <w:u w:val="none"/>
              </w:rPr>
            </w:pPr>
            <w:r>
              <w:rPr>
                <w:rFonts w:hint="eastAsia" w:ascii="仿宋_GB2312" w:hAnsi="仿宋_GB2312" w:eastAsia="仿宋_GB2312" w:cs="仿宋_GB2312"/>
                <w:b w:val="0"/>
                <w:bCs/>
                <w:i w:val="0"/>
                <w:color w:val="auto"/>
                <w:kern w:val="0"/>
                <w:sz w:val="18"/>
                <w:szCs w:val="18"/>
                <w:highlight w:val="none"/>
                <w:u w:val="none"/>
                <w:lang w:val="en-US" w:eastAsia="zh-CN"/>
              </w:rPr>
              <w:t>√</w:t>
            </w:r>
          </w:p>
        </w:tc>
      </w:tr>
    </w:tbl>
    <w:p>
      <w:pPr>
        <w:rPr>
          <w:rFonts w:hint="default" w:ascii="黑体" w:hAnsi="方正小标宋_GBK" w:eastAsia="黑体"/>
          <w:color w:val="auto"/>
          <w:sz w:val="30"/>
          <w:szCs w:val="30"/>
          <w:highlight w:val="none"/>
          <w:lang w:val="en-US" w:eastAsia="zh-CN"/>
        </w:rPr>
      </w:pPr>
      <w:r>
        <w:rPr>
          <w:rFonts w:hint="default" w:ascii="黑体" w:hAnsi="方正小标宋_GBK" w:eastAsia="黑体"/>
          <w:color w:val="auto"/>
          <w:sz w:val="30"/>
          <w:szCs w:val="30"/>
          <w:highlight w:val="none"/>
          <w:lang w:val="en-US" w:eastAsia="zh-CN"/>
        </w:rPr>
        <w:br w:type="page"/>
      </w:r>
    </w:p>
    <w:p>
      <w:pPr>
        <w:spacing w:line="700" w:lineRule="exact"/>
        <w:jc w:val="center"/>
        <w:rPr>
          <w:rFonts w:hint="eastAsia" w:ascii="黑体" w:hAnsi="黑体" w:eastAsia="黑体" w:cs="黑体"/>
          <w:b w:val="0"/>
          <w:bCs w:val="0"/>
          <w:color w:val="auto"/>
          <w:kern w:val="44"/>
          <w:sz w:val="36"/>
          <w:szCs w:val="36"/>
          <w:highlight w:val="none"/>
        </w:rPr>
      </w:pPr>
      <w:r>
        <w:rPr>
          <w:rFonts w:hint="eastAsia" w:ascii="黑体" w:hAnsi="黑体" w:eastAsia="黑体" w:cs="黑体"/>
          <w:b w:val="0"/>
          <w:bCs w:val="0"/>
          <w:color w:val="auto"/>
          <w:kern w:val="44"/>
          <w:sz w:val="36"/>
          <w:szCs w:val="36"/>
          <w:highlight w:val="none"/>
          <w:lang w:val="en-US" w:eastAsia="zh-CN"/>
        </w:rPr>
        <w:t>双台子区</w:t>
      </w:r>
      <w:r>
        <w:rPr>
          <w:rFonts w:hint="eastAsia" w:ascii="黑体" w:hAnsi="黑体" w:eastAsia="黑体" w:cs="黑体"/>
          <w:b w:val="0"/>
          <w:bCs w:val="0"/>
          <w:color w:val="auto"/>
          <w:kern w:val="44"/>
          <w:sz w:val="36"/>
          <w:szCs w:val="36"/>
          <w:highlight w:val="none"/>
        </w:rPr>
        <w:t>食品药品监管领域基层政务公开标准目录</w:t>
      </w:r>
    </w:p>
    <w:tbl>
      <w:tblPr>
        <w:tblStyle w:val="7"/>
        <w:tblW w:w="14243" w:type="dxa"/>
        <w:jc w:val="center"/>
        <w:tblLayout w:type="fixed"/>
        <w:tblCellMar>
          <w:top w:w="0" w:type="dxa"/>
          <w:left w:w="108" w:type="dxa"/>
          <w:bottom w:w="0" w:type="dxa"/>
          <w:right w:w="108" w:type="dxa"/>
        </w:tblCellMar>
      </w:tblPr>
      <w:tblGrid>
        <w:gridCol w:w="537"/>
        <w:gridCol w:w="600"/>
        <w:gridCol w:w="803"/>
        <w:gridCol w:w="1837"/>
        <w:gridCol w:w="1965"/>
        <w:gridCol w:w="930"/>
        <w:gridCol w:w="613"/>
        <w:gridCol w:w="3359"/>
        <w:gridCol w:w="542"/>
        <w:gridCol w:w="680"/>
        <w:gridCol w:w="548"/>
        <w:gridCol w:w="665"/>
        <w:gridCol w:w="597"/>
        <w:gridCol w:w="567"/>
      </w:tblGrid>
      <w:tr>
        <w:tblPrEx>
          <w:tblCellMar>
            <w:top w:w="0" w:type="dxa"/>
            <w:left w:w="108" w:type="dxa"/>
            <w:bottom w:w="0" w:type="dxa"/>
            <w:right w:w="108" w:type="dxa"/>
          </w:tblCellMar>
        </w:tblPrEx>
        <w:trPr>
          <w:trHeight w:val="351" w:hRule="atLeast"/>
          <w:tblHeader/>
          <w:jc w:val="center"/>
        </w:trPr>
        <w:tc>
          <w:tcPr>
            <w:tcW w:w="5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序号</w:t>
            </w:r>
          </w:p>
        </w:tc>
        <w:tc>
          <w:tcPr>
            <w:tcW w:w="140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公开事项</w:t>
            </w:r>
          </w:p>
        </w:tc>
        <w:tc>
          <w:tcPr>
            <w:tcW w:w="18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公开内容（要素）</w:t>
            </w:r>
          </w:p>
        </w:tc>
        <w:tc>
          <w:tcPr>
            <w:tcW w:w="19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公开依据</w:t>
            </w:r>
          </w:p>
        </w:tc>
        <w:tc>
          <w:tcPr>
            <w:tcW w:w="9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公开时限</w:t>
            </w:r>
          </w:p>
        </w:tc>
        <w:tc>
          <w:tcPr>
            <w:tcW w:w="6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w:t>
            </w:r>
          </w:p>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主体</w:t>
            </w:r>
          </w:p>
        </w:tc>
        <w:tc>
          <w:tcPr>
            <w:tcW w:w="33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公开渠道和载体</w:t>
            </w:r>
          </w:p>
        </w:tc>
        <w:tc>
          <w:tcPr>
            <w:tcW w:w="122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公开对象</w:t>
            </w:r>
          </w:p>
        </w:tc>
        <w:tc>
          <w:tcPr>
            <w:tcW w:w="121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公开方式</w:t>
            </w:r>
          </w:p>
        </w:tc>
        <w:tc>
          <w:tcPr>
            <w:tcW w:w="116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公开层级</w:t>
            </w:r>
          </w:p>
        </w:tc>
      </w:tr>
      <w:tr>
        <w:tblPrEx>
          <w:tblCellMar>
            <w:top w:w="0" w:type="dxa"/>
            <w:left w:w="108" w:type="dxa"/>
            <w:bottom w:w="0" w:type="dxa"/>
            <w:right w:w="108" w:type="dxa"/>
          </w:tblCellMar>
        </w:tblPrEx>
        <w:trPr>
          <w:trHeight w:val="384" w:hRule="atLeast"/>
          <w:tblHeader/>
          <w:jc w:val="center"/>
        </w:trPr>
        <w:tc>
          <w:tcPr>
            <w:tcW w:w="5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60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一级事项</w:t>
            </w:r>
          </w:p>
        </w:tc>
        <w:tc>
          <w:tcPr>
            <w:tcW w:w="803"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二级 事项</w:t>
            </w:r>
          </w:p>
        </w:tc>
        <w:tc>
          <w:tcPr>
            <w:tcW w:w="18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19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9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6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33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542" w:type="dxa"/>
            <w:tcBorders>
              <w:top w:val="nil"/>
              <w:left w:val="nil"/>
              <w:bottom w:val="single" w:color="auto" w:sz="4" w:space="0"/>
              <w:right w:val="single" w:color="auto" w:sz="4" w:space="0"/>
            </w:tcBorders>
            <w:noWrap w:val="0"/>
            <w:textDirection w:val="tbRlV"/>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全社会</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特定群体</w:t>
            </w:r>
          </w:p>
        </w:tc>
        <w:tc>
          <w:tcPr>
            <w:tcW w:w="54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主动</w:t>
            </w:r>
          </w:p>
        </w:tc>
        <w:tc>
          <w:tcPr>
            <w:tcW w:w="665" w:type="dxa"/>
            <w:tcBorders>
              <w:top w:val="nil"/>
              <w:left w:val="nil"/>
              <w:bottom w:val="single" w:color="auto" w:sz="4" w:space="0"/>
              <w:right w:val="single" w:color="auto" w:sz="4" w:space="0"/>
            </w:tcBorders>
            <w:noWrap w:val="0"/>
            <w:textDirection w:val="tbRlV"/>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依申请</w:t>
            </w:r>
          </w:p>
        </w:tc>
        <w:tc>
          <w:tcPr>
            <w:tcW w:w="597"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县级</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乡级</w:t>
            </w:r>
          </w:p>
        </w:tc>
      </w:tr>
      <w:tr>
        <w:tblPrEx>
          <w:tblCellMar>
            <w:top w:w="0" w:type="dxa"/>
            <w:left w:w="108" w:type="dxa"/>
            <w:bottom w:w="0" w:type="dxa"/>
            <w:right w:w="108" w:type="dxa"/>
          </w:tblCellMar>
        </w:tblPrEx>
        <w:trPr>
          <w:trHeight w:val="198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w:t>
            </w:r>
          </w:p>
        </w:tc>
        <w:tc>
          <w:tcPr>
            <w:tcW w:w="600"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p>
            <w:pPr>
              <w:spacing w:line="300" w:lineRule="exact"/>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审批</w:t>
            </w: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食品生产经营许可服务指南</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适用范围、审批依据、受理机构、申请条件、申请材料目录、办理基本流程、办结时限、收费依据及标准、结果送达、监督投诉渠道等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《中华人民共和国食品安全法》《中华人民共和国政府信息公开条例》《关于全面推进政务公开工作的意见》《食品药品安全监管信息公开管理办法》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区行政审批局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widowControl/>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其他_______</w:t>
            </w:r>
          </w:p>
        </w:tc>
        <w:tc>
          <w:tcPr>
            <w:tcW w:w="5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1793"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2</w:t>
            </w:r>
          </w:p>
        </w:tc>
        <w:tc>
          <w:tcPr>
            <w:tcW w:w="600" w:type="dxa"/>
            <w:vMerge w:val="continue"/>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食品生产经营许可基本信息</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生产经营者名称、许可证编号、法定代表人（负责人）、生产地址/经营场所、食品类别/经营项目、日常监督管理机构、投诉举报电话、有效期限等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《中华人民共和国食品安全法》《中华人民共和国政府信息公开条例》《关于全面推进政务公开工作的意见》《食品药品安全监管信息公开管理办法》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区行政审批局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其他_______</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1625"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3</w:t>
            </w:r>
          </w:p>
        </w:tc>
        <w:tc>
          <w:tcPr>
            <w:tcW w:w="600"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审批</w:t>
            </w: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药品零售许可服务指南</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适用范围、审批依据、受理机构、申请条件、申请材料目录、办理基本流程、办结时限、收费依据及标准、结果送达、监督投诉渠道等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《中华人民共和国政府信息公开条例》《关于全面推进政务公开工作的意见》《食品药品安全监管信息公开管理办法》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区行政审批局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widowControl/>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其他_______</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188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4</w:t>
            </w:r>
          </w:p>
        </w:tc>
        <w:tc>
          <w:tcPr>
            <w:tcW w:w="600" w:type="dxa"/>
            <w:vMerge w:val="continue"/>
            <w:tcBorders>
              <w:top w:val="single" w:color="auto" w:sz="4" w:space="0"/>
              <w:left w:val="nil"/>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药品零售许可企业基本信息</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经营者名称、许可证编号、社会信用代码、法定代表人（负责人）、注册地址、经营范围、变更项目等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《中华人民共和国政府信息公开条例》《关于全面推进政务公开工作的意见》《食品药品安全监管信息公开管理办法》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区行政审批局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widowControl/>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其他_______</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2548"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5</w:t>
            </w:r>
          </w:p>
        </w:tc>
        <w:tc>
          <w:tcPr>
            <w:tcW w:w="600" w:type="dxa"/>
            <w:tcBorders>
              <w:top w:val="single" w:color="auto" w:sz="4" w:space="0"/>
              <w:left w:val="nil"/>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监督</w:t>
            </w: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检查</w:t>
            </w:r>
          </w:p>
          <w:p>
            <w:pPr>
              <w:spacing w:line="300" w:lineRule="exact"/>
              <w:jc w:val="center"/>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食品生产经营监督检查</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检查制度、检查标准、检查结果等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《中华人民共和国食品安全法》《中华人民共和国政府信息公开条例》《关于全面推进政务公开工作的意见》《食品生产经营日常监督检查管理办法》《食品药品安全监管信息公开管理办法》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widowControl/>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CellMar>
            <w:top w:w="0" w:type="dxa"/>
            <w:left w:w="108" w:type="dxa"/>
            <w:bottom w:w="0" w:type="dxa"/>
            <w:right w:w="108" w:type="dxa"/>
          </w:tblCellMar>
        </w:tblPrEx>
        <w:trPr>
          <w:trHeight w:val="2388"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6</w:t>
            </w:r>
          </w:p>
        </w:tc>
        <w:tc>
          <w:tcPr>
            <w:tcW w:w="600" w:type="dxa"/>
            <w:tcBorders>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特殊食品生产经营监督检查</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检查制度、检查标准、检查结果等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《中华人民共和国食品安全法》《中华人民共和国政府信息公开条例》《关于全面推进政务公开工作的意见》《食品生产经营日常监督检查管理办法》《食品药品安全监管信息公开管理办法》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cantSplit/>
          <w:trHeight w:val="1632"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7</w:t>
            </w:r>
          </w:p>
        </w:tc>
        <w:tc>
          <w:tcPr>
            <w:tcW w:w="6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lang w:val="en-US" w:eastAsia="zh-CN"/>
              </w:rPr>
            </w:pPr>
            <w:r>
              <w:rPr>
                <w:rFonts w:hint="eastAsia" w:ascii="仿宋_GB2312" w:hAnsi="仿宋_GB2312" w:eastAsia="仿宋_GB2312" w:cs="仿宋_GB2312"/>
                <w:color w:val="auto"/>
                <w:sz w:val="18"/>
                <w:szCs w:val="18"/>
                <w:highlight w:val="none"/>
                <w:lang w:val="en-US" w:eastAsia="zh-CN"/>
              </w:rPr>
              <w:t>监督检查</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由县级组织的食品安全抽</w:t>
            </w:r>
            <w:r>
              <w:rPr>
                <w:rFonts w:hint="eastAsia" w:ascii="仿宋_GB2312" w:hAnsi="仿宋_GB2312" w:eastAsia="仿宋_GB2312" w:cs="仿宋_GB2312"/>
                <w:color w:val="auto"/>
                <w:sz w:val="18"/>
                <w:szCs w:val="18"/>
                <w:highlight w:val="none"/>
                <w:lang w:val="en-US" w:eastAsia="zh-CN"/>
              </w:rPr>
              <w:t xml:space="preserve"> </w:t>
            </w:r>
            <w:r>
              <w:rPr>
                <w:rFonts w:hint="eastAsia" w:ascii="仿宋_GB2312" w:hAnsi="仿宋_GB2312" w:eastAsia="仿宋_GB2312" w:cs="仿宋_GB2312"/>
                <w:color w:val="auto"/>
                <w:sz w:val="18"/>
                <w:szCs w:val="18"/>
                <w:highlight w:val="none"/>
              </w:rPr>
              <w:t>检</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检查实施主体、被抽检单位名称、被抽检食品名称、标示的产品生产日期/批号/规格、检验依据、检验机构、检查结果等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《中华人民共和国食品安全法》《中华人民共和国政府信息公开条例》《关于全面推进政务公开工作的意见》《食品生产经营日常监督检查管理办法》《食品药品安全监管信息公开管理办法》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FE"/>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2573"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8</w:t>
            </w:r>
          </w:p>
        </w:tc>
        <w:tc>
          <w:tcPr>
            <w:tcW w:w="600" w:type="dxa"/>
            <w:vMerge w:val="restart"/>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监督</w:t>
            </w: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检查</w:t>
            </w: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药品零售/医疗器械经营监督检查</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检查制度、检查标准、检查结果等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《中华人民共和国政府信息公开条例》《关于全面推进政务公开工作的意见》《食品药品安全监管信息公开管理办法》《医疗器械监督管理条例》《药品医疗器械飞行检查办法》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2195"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9</w:t>
            </w:r>
          </w:p>
        </w:tc>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化妆品经营企业监督检查</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检查制度、检查标准、检查结果等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《中华人民共和国政府信息公开条例》《关于全面推进政务公开工作的意见》《食品药品安全监管信息公开管理办法》《化妆品卫生监督条例》</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931"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10</w:t>
            </w:r>
          </w:p>
        </w:tc>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医疗机构使用药品质量安全监督检查</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检查制度、检查标准、检查结果等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《中华人民共和国政府信息公开条例》《关于全面推进政务公开工作的意见》《食品药品安全监管信息公开管理办法》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9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11</w:t>
            </w:r>
          </w:p>
        </w:tc>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由县级组织的医疗器械抽检</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被抽检单位名称、抽检产品名称、标示的生产单位、标示的产品生产日期/批号/规格、检验依据、检验结果、检验机构等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《中华人民共和国政府信息公开条例》《关于全面推进政务公开工作的意见》《食品药品安全监管信息公开管理办法》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信息形成或变更之日起20个工作日内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2677"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12</w:t>
            </w:r>
          </w:p>
        </w:tc>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处罚</w:t>
            </w:r>
          </w:p>
        </w:tc>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食品生产经营行政处罚</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处罚对象、案件名称、违法主要事实、处罚种类和内容、处罚依据、作出处罚决定部门、处罚时间、处罚决定书文号、处罚履行方式和期限等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《中华人民共和国政府信息公开条例》《关于全面推进政务公开工作的意见》《食品药品行政处罚案件信息公开实施细则》《市场监督管理行政处罚程序暂行规定》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行政处罚决定形成之日起20个工作日内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CellMar>
            <w:top w:w="0" w:type="dxa"/>
            <w:left w:w="108" w:type="dxa"/>
            <w:bottom w:w="0" w:type="dxa"/>
            <w:right w:w="108" w:type="dxa"/>
          </w:tblCellMar>
        </w:tblPrEx>
        <w:trPr>
          <w:trHeight w:val="1592"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13</w:t>
            </w:r>
          </w:p>
        </w:tc>
        <w:tc>
          <w:tcPr>
            <w:tcW w:w="600" w:type="dxa"/>
            <w:vMerge w:val="continue"/>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药品监管行政处罚</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处罚对象、案件名称、违法主要事实、处罚种类和内容、处罚依据、作出处罚决定部门、处罚时间、处罚决定书文号、处罚履行方式和期限等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《中华人民共和国政府信息公开条例》《关于全面推进政务公开工作的意见》《食品药品行政处罚案件信息公开实施细则》《市场监督管理行政处罚程序暂行规定》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行政处罚决定形成之日起20个工作日内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2714"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14</w:t>
            </w:r>
          </w:p>
        </w:tc>
        <w:tc>
          <w:tcPr>
            <w:tcW w:w="600" w:type="dxa"/>
            <w:vMerge w:val="restart"/>
            <w:tcBorders>
              <w:top w:val="single" w:color="auto" w:sz="4" w:space="0"/>
              <w:left w:val="nil"/>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w:t>
            </w: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处罚</w:t>
            </w:r>
          </w:p>
          <w:p>
            <w:pPr>
              <w:spacing w:line="300" w:lineRule="exact"/>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医疗器械监管行政处罚</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处罚对象、案件名称、违法主要事实、处罚种类和内容、处罚依据、作出处罚决定部门、处罚时间、处罚决定书文号、处罚履行方式和期限等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《中华人民共和国政府信息公开条例》《关于全面推进政务公开工作的意见》《食品药品行政处罚案件信息公开实施细则》《市场监督管理行政处罚程序暂行规定》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行政处罚决定形成之日起20个工作日内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2714"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15</w:t>
            </w:r>
          </w:p>
        </w:tc>
        <w:tc>
          <w:tcPr>
            <w:tcW w:w="600" w:type="dxa"/>
            <w:vMerge w:val="continue"/>
            <w:tcBorders>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化妆品监管行政处罚</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处罚对象、案件名称、违法主要事实、处罚种类和内容、处罚依据、作出处罚决定部门、处罚时间、处罚决定书文号、处罚履行方式和期限等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《中华人民共和国政府信息公开条例》《关于全面推进政务公开工作的意见》《食品药品行政处罚案件信息公开实施细则》《市场监督管理行政处罚程序暂行规定》</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行政处罚决定形成之日起20个工作日内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widowControl/>
              <w:spacing w:line="300" w:lineRule="exact"/>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sz w:val="18"/>
                <w:szCs w:val="18"/>
                <w:highlight w:val="none"/>
              </w:rPr>
              <w:t>■其他：</w:t>
            </w:r>
            <w:r>
              <w:rPr>
                <w:rFonts w:hint="eastAsia" w:ascii="仿宋_GB2312" w:hAnsi="仿宋_GB2312" w:eastAsia="仿宋_GB2312" w:cs="仿宋_GB2312"/>
                <w:color w:val="auto"/>
                <w:sz w:val="18"/>
                <w:szCs w:val="18"/>
                <w:highlight w:val="none"/>
                <w:u w:val="single"/>
              </w:rPr>
              <w:t>国家企业信用信息公示系统</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r>
      <w:tr>
        <w:tblPrEx>
          <w:tblCellMar>
            <w:top w:w="0" w:type="dxa"/>
            <w:left w:w="108" w:type="dxa"/>
            <w:bottom w:w="0" w:type="dxa"/>
            <w:right w:w="108" w:type="dxa"/>
          </w:tblCellMar>
        </w:tblPrEx>
        <w:trPr>
          <w:trHeight w:val="71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16</w:t>
            </w:r>
          </w:p>
        </w:tc>
        <w:tc>
          <w:tcPr>
            <w:tcW w:w="600" w:type="dxa"/>
            <w:vMerge w:val="restart"/>
            <w:tcBorders>
              <w:top w:val="single" w:color="auto" w:sz="4" w:space="0"/>
              <w:left w:val="nil"/>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公共</w:t>
            </w:r>
          </w:p>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服务</w:t>
            </w: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食品安全消费提示警示</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食品安全消费提示、警示信息</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信息形成之日起7个工作日内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其他_______</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r>
      <w:tr>
        <w:tblPrEx>
          <w:tblCellMar>
            <w:top w:w="0" w:type="dxa"/>
            <w:left w:w="108" w:type="dxa"/>
            <w:bottom w:w="0" w:type="dxa"/>
            <w:right w:w="108" w:type="dxa"/>
          </w:tblCellMar>
        </w:tblPrEx>
        <w:trPr>
          <w:trHeight w:val="116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17</w:t>
            </w:r>
          </w:p>
        </w:tc>
        <w:tc>
          <w:tcPr>
            <w:tcW w:w="600" w:type="dxa"/>
            <w:vMerge w:val="continue"/>
            <w:tcBorders>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食品安全应急处置</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应急组织机构及职责、应急保障、监测预警、应急响应、热点问题落实情况等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《中华人民共和国政府信息公开条例》《关于全面推进政务公开工作的意见》 </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其他_______ </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r>
              <w:rPr>
                <w:rFonts w:hint="eastAsia" w:ascii="仿宋_GB2312" w:hAnsi="仿宋_GB2312" w:eastAsia="仿宋_GB2312" w:cs="仿宋_GB2312"/>
                <w:color w:val="auto"/>
                <w:sz w:val="18"/>
                <w:szCs w:val="18"/>
                <w:highlight w:val="none"/>
                <w:shd w:val="clear" w:color="auto" w:fill="FFFFFF"/>
              </w:rPr>
              <w:t>√</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r>
              <w:rPr>
                <w:rFonts w:hint="eastAsia" w:ascii="仿宋_GB2312" w:hAnsi="仿宋_GB2312" w:eastAsia="仿宋_GB2312" w:cs="仿宋_GB2312"/>
                <w:color w:val="auto"/>
                <w:sz w:val="18"/>
                <w:szCs w:val="18"/>
                <w:highlight w:val="none"/>
                <w:shd w:val="clear" w:color="auto" w:fill="FFFFFF"/>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r>
              <w:rPr>
                <w:rFonts w:hint="eastAsia" w:ascii="仿宋_GB2312" w:hAnsi="仿宋_GB2312" w:eastAsia="仿宋_GB2312" w:cs="仿宋_GB2312"/>
                <w:color w:val="auto"/>
                <w:sz w:val="18"/>
                <w:szCs w:val="18"/>
                <w:highlight w:val="none"/>
                <w:shd w:val="clear" w:color="auto" w:fill="FFFFFF"/>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shd w:val="clear" w:color="auto" w:fill="FFFFFF"/>
              </w:rPr>
              <w:t>√</w:t>
            </w:r>
          </w:p>
        </w:tc>
      </w:tr>
      <w:tr>
        <w:tblPrEx>
          <w:tblCellMar>
            <w:top w:w="0" w:type="dxa"/>
            <w:left w:w="108" w:type="dxa"/>
            <w:bottom w:w="0" w:type="dxa"/>
            <w:right w:w="108" w:type="dxa"/>
          </w:tblCellMar>
        </w:tblPrEx>
        <w:trPr>
          <w:trHeight w:val="1500"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18</w:t>
            </w:r>
          </w:p>
        </w:tc>
        <w:tc>
          <w:tcPr>
            <w:tcW w:w="600" w:type="dxa"/>
            <w:vMerge w:val="continue"/>
            <w:tcBorders>
              <w:top w:val="single" w:color="auto" w:sz="4" w:space="0"/>
              <w:left w:val="nil"/>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食品药品投诉举报</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食品药品投诉举报管理制度和政策、受理投诉举报的途径等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《中华人民共和国政府信息公开条例》、《关于全面推进政务公开工作的意见》《食品药品投诉举报管理办法》</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信息形成之日起20个工作日内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其他_______</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r>
              <w:rPr>
                <w:rFonts w:hint="eastAsia" w:ascii="仿宋_GB2312" w:hAnsi="仿宋_GB2312" w:eastAsia="仿宋_GB2312" w:cs="仿宋_GB2312"/>
                <w:color w:val="auto"/>
                <w:sz w:val="18"/>
                <w:szCs w:val="18"/>
                <w:highlight w:val="none"/>
                <w:shd w:val="clear" w:color="auto" w:fill="FFFFFF"/>
              </w:rPr>
              <w:t>√</w:t>
            </w:r>
          </w:p>
        </w:tc>
        <w:tc>
          <w:tcPr>
            <w:tcW w:w="68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r>
              <w:rPr>
                <w:rFonts w:hint="eastAsia" w:ascii="仿宋_GB2312" w:hAnsi="仿宋_GB2312" w:eastAsia="仿宋_GB2312" w:cs="仿宋_GB2312"/>
                <w:color w:val="auto"/>
                <w:sz w:val="18"/>
                <w:szCs w:val="18"/>
                <w:highlight w:val="none"/>
                <w:shd w:val="clear" w:color="auto" w:fill="FFFFFF"/>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r>
              <w:rPr>
                <w:rFonts w:hint="eastAsia" w:ascii="仿宋_GB2312" w:hAnsi="仿宋_GB2312" w:eastAsia="仿宋_GB2312" w:cs="仿宋_GB2312"/>
                <w:color w:val="auto"/>
                <w:sz w:val="18"/>
                <w:szCs w:val="18"/>
                <w:highlight w:val="none"/>
                <w:shd w:val="clear" w:color="auto" w:fill="FFFFFF"/>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shd w:val="clear" w:color="auto" w:fill="FFFFFF"/>
              </w:rPr>
              <w:t>√</w:t>
            </w:r>
          </w:p>
        </w:tc>
      </w:tr>
      <w:tr>
        <w:tblPrEx>
          <w:tblCellMar>
            <w:top w:w="0" w:type="dxa"/>
            <w:left w:w="108" w:type="dxa"/>
            <w:bottom w:w="0" w:type="dxa"/>
            <w:right w:w="108" w:type="dxa"/>
          </w:tblCellMar>
        </w:tblPrEx>
        <w:trPr>
          <w:trHeight w:val="1388" w:hRule="atLeast"/>
          <w:jc w:val="center"/>
        </w:trPr>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19</w:t>
            </w:r>
          </w:p>
        </w:tc>
        <w:tc>
          <w:tcPr>
            <w:tcW w:w="600" w:type="dxa"/>
            <w:vMerge w:val="continue"/>
            <w:tcBorders>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highlight w:val="none"/>
              </w:rPr>
            </w:pPr>
          </w:p>
        </w:tc>
        <w:tc>
          <w:tcPr>
            <w:tcW w:w="80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食品、用药安全宣传活动</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活动时间、活动地点、活动形式、活动主题和内容等</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《中华人民共和国政府信息公开条例》、《关于全面推进政务公开工作的意见》</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信息形成之日起7个工作日内</w:t>
            </w:r>
          </w:p>
        </w:tc>
        <w:tc>
          <w:tcPr>
            <w:tcW w:w="61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区市场监督管理局</w:t>
            </w:r>
          </w:p>
        </w:tc>
        <w:tc>
          <w:tcPr>
            <w:tcW w:w="33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t xml:space="preserve">■政府网站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政府公报</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两微一端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发布会/听证会</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广播电视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纸质媒体</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公开查阅点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便民服务站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入户/现场宣传</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auto"/>
                <w:kern w:val="0"/>
                <w:sz w:val="18"/>
                <w:szCs w:val="18"/>
                <w:highlight w:val="none"/>
                <w:shd w:val="clear" w:color="auto" w:fill="FFFFFF"/>
              </w:rPr>
            </w:pP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 xml:space="preserve">精准推送    </w:t>
            </w:r>
            <w:r>
              <w:rPr>
                <w:rFonts w:hint="eastAsia" w:ascii="仿宋_GB2312" w:hAnsi="仿宋_GB2312" w:eastAsia="仿宋_GB2312" w:cs="仿宋_GB2312"/>
                <w:color w:val="auto"/>
                <w:kern w:val="0"/>
                <w:sz w:val="18"/>
                <w:szCs w:val="18"/>
                <w:highlight w:val="none"/>
                <w:shd w:val="clear" w:color="auto" w:fill="FFFFFF"/>
              </w:rPr>
              <w:sym w:font="Wingdings" w:char="00A8"/>
            </w:r>
            <w:r>
              <w:rPr>
                <w:rFonts w:hint="eastAsia" w:ascii="仿宋_GB2312" w:hAnsi="仿宋_GB2312" w:eastAsia="仿宋_GB2312" w:cs="仿宋_GB2312"/>
                <w:color w:val="auto"/>
                <w:kern w:val="0"/>
                <w:sz w:val="18"/>
                <w:szCs w:val="18"/>
                <w:highlight w:val="none"/>
                <w:shd w:val="clear" w:color="auto" w:fill="FFFFFF"/>
              </w:rPr>
              <w:t>其他_______</w:t>
            </w:r>
          </w:p>
        </w:tc>
        <w:tc>
          <w:tcPr>
            <w:tcW w:w="54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r>
              <w:rPr>
                <w:rFonts w:hint="eastAsia" w:ascii="仿宋_GB2312" w:hAnsi="仿宋_GB2312" w:eastAsia="仿宋_GB2312" w:cs="仿宋_GB2312"/>
                <w:color w:val="auto"/>
                <w:sz w:val="18"/>
                <w:szCs w:val="18"/>
                <w:highlight w:val="none"/>
                <w:shd w:val="clear" w:color="auto" w:fill="FFFFFF"/>
              </w:rPr>
              <w:t>√</w:t>
            </w:r>
          </w:p>
        </w:tc>
        <w:tc>
          <w:tcPr>
            <w:tcW w:w="680"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仿宋_GB2312" w:eastAsia="仿宋_GB2312" w:cs="仿宋_GB2312"/>
                <w:color w:val="auto"/>
                <w:sz w:val="18"/>
                <w:szCs w:val="18"/>
                <w:highlight w:val="none"/>
                <w:shd w:val="clear" w:color="auto" w:fill="FFFFFF"/>
              </w:rPr>
            </w:pPr>
          </w:p>
        </w:tc>
        <w:tc>
          <w:tcPr>
            <w:tcW w:w="548"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r>
              <w:rPr>
                <w:rFonts w:hint="eastAsia" w:ascii="仿宋_GB2312" w:hAnsi="仿宋_GB2312" w:eastAsia="仿宋_GB2312" w:cs="仿宋_GB2312"/>
                <w:color w:val="auto"/>
                <w:sz w:val="18"/>
                <w:szCs w:val="18"/>
                <w:highlight w:val="none"/>
                <w:shd w:val="clear" w:color="auto" w:fill="FFFFFF"/>
              </w:rPr>
              <w:t>√</w:t>
            </w:r>
          </w:p>
        </w:tc>
        <w:tc>
          <w:tcPr>
            <w:tcW w:w="66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p>
        </w:tc>
        <w:tc>
          <w:tcPr>
            <w:tcW w:w="59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shd w:val="clear" w:color="auto" w:fill="FFFFFF"/>
              </w:rPr>
            </w:pPr>
            <w:r>
              <w:rPr>
                <w:rFonts w:hint="eastAsia" w:ascii="仿宋_GB2312" w:hAnsi="仿宋_GB2312" w:eastAsia="仿宋_GB2312" w:cs="仿宋_GB2312"/>
                <w:color w:val="auto"/>
                <w:sz w:val="18"/>
                <w:szCs w:val="18"/>
                <w:highlight w:val="none"/>
                <w:shd w:val="clear" w:color="auto" w:fill="FFFFFF"/>
              </w:rPr>
              <w:t>√</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shd w:val="clear" w:color="auto" w:fill="FFFFFF"/>
              </w:rPr>
              <w:t>√</w:t>
            </w:r>
          </w:p>
        </w:tc>
      </w:tr>
    </w:tbl>
    <w:p>
      <w:pPr>
        <w:spacing w:before="55"/>
        <w:ind w:right="4413"/>
        <w:jc w:val="both"/>
        <w:rPr>
          <w:rFonts w:hint="eastAsia" w:ascii="黑体" w:eastAsia="黑体"/>
          <w:color w:val="auto"/>
          <w:sz w:val="32"/>
          <w:highlight w:val="none"/>
          <w:lang w:val="en-US" w:eastAsia="zh-CN"/>
        </w:rPr>
      </w:pPr>
      <w:r>
        <w:rPr>
          <w:rFonts w:hint="eastAsia" w:ascii="黑体" w:eastAsia="黑体"/>
          <w:color w:val="auto"/>
          <w:sz w:val="32"/>
          <w:highlight w:val="none"/>
          <w:lang w:val="en-US" w:eastAsia="zh-CN"/>
        </w:rPr>
        <w:t>注：第4项只负责单体药房。</w:t>
      </w:r>
    </w:p>
    <w:p>
      <w:pPr>
        <w:rPr>
          <w:rFonts w:hint="eastAsia" w:ascii="黑体" w:eastAsia="黑体"/>
          <w:color w:val="auto"/>
          <w:sz w:val="32"/>
          <w:highlight w:val="none"/>
          <w:lang w:val="en-US" w:eastAsia="zh-CN"/>
        </w:rPr>
      </w:pPr>
      <w:r>
        <w:rPr>
          <w:rFonts w:hint="eastAsia" w:ascii="黑体" w:eastAsia="黑体"/>
          <w:color w:val="auto"/>
          <w:sz w:val="32"/>
          <w:highlight w:val="none"/>
          <w:lang w:val="en-US" w:eastAsia="zh-CN"/>
        </w:rPr>
        <w:br w:type="page"/>
      </w:r>
    </w:p>
    <w:p>
      <w:pPr>
        <w:pStyle w:val="2"/>
        <w:spacing w:line="240" w:lineRule="auto"/>
        <w:jc w:val="center"/>
        <w:rPr>
          <w:rFonts w:hint="eastAsia" w:ascii="黑体" w:hAnsi="黑体" w:eastAsia="黑体" w:cs="黑体"/>
          <w:b w:val="0"/>
          <w:bCs w:val="0"/>
          <w:color w:val="auto"/>
          <w:sz w:val="36"/>
          <w:szCs w:val="36"/>
          <w:highlight w:val="none"/>
          <w:lang w:val="en-US" w:eastAsia="zh-CN"/>
        </w:rPr>
      </w:pPr>
      <w:bookmarkStart w:id="8" w:name="_Toc24724728"/>
      <w:r>
        <w:rPr>
          <w:rFonts w:hint="eastAsia" w:ascii="黑体" w:hAnsi="黑体" w:eastAsia="黑体" w:cs="黑体"/>
          <w:b w:val="0"/>
          <w:bCs w:val="0"/>
          <w:color w:val="auto"/>
          <w:sz w:val="36"/>
          <w:szCs w:val="36"/>
          <w:highlight w:val="none"/>
          <w:lang w:val="en-US" w:eastAsia="zh-CN"/>
        </w:rPr>
        <w:t>双台子区税收管理领域基层政务公开标准目录</w:t>
      </w:r>
      <w:bookmarkEnd w:id="8"/>
    </w:p>
    <w:tbl>
      <w:tblPr>
        <w:tblStyle w:val="7"/>
        <w:tblW w:w="15960" w:type="dxa"/>
        <w:tblInd w:w="-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3984"/>
        <w:gridCol w:w="2077"/>
        <w:gridCol w:w="1859"/>
        <w:gridCol w:w="800"/>
        <w:gridCol w:w="1271"/>
        <w:gridCol w:w="604"/>
        <w:gridCol w:w="604"/>
        <w:gridCol w:w="450"/>
        <w:gridCol w:w="810"/>
        <w:gridCol w:w="552"/>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40"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序号</w:t>
            </w:r>
          </w:p>
        </w:tc>
        <w:tc>
          <w:tcPr>
            <w:tcW w:w="1800" w:type="dxa"/>
            <w:gridSpan w:val="2"/>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公开事项</w:t>
            </w:r>
          </w:p>
        </w:tc>
        <w:tc>
          <w:tcPr>
            <w:tcW w:w="3984"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公开内容（要素）</w:t>
            </w:r>
          </w:p>
        </w:tc>
        <w:tc>
          <w:tcPr>
            <w:tcW w:w="2077"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公开依据</w:t>
            </w:r>
          </w:p>
        </w:tc>
        <w:tc>
          <w:tcPr>
            <w:tcW w:w="1859"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公开时限</w:t>
            </w:r>
          </w:p>
        </w:tc>
        <w:tc>
          <w:tcPr>
            <w:tcW w:w="800"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公开主体</w:t>
            </w:r>
          </w:p>
        </w:tc>
        <w:tc>
          <w:tcPr>
            <w:tcW w:w="1271" w:type="dxa"/>
            <w:vMerge w:val="restart"/>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公开渠道和载体</w:t>
            </w:r>
          </w:p>
        </w:tc>
        <w:tc>
          <w:tcPr>
            <w:tcW w:w="1208" w:type="dxa"/>
            <w:gridSpan w:val="2"/>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公开对象</w:t>
            </w:r>
          </w:p>
        </w:tc>
        <w:tc>
          <w:tcPr>
            <w:tcW w:w="1260" w:type="dxa"/>
            <w:gridSpan w:val="2"/>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公开方式</w:t>
            </w:r>
          </w:p>
        </w:tc>
        <w:tc>
          <w:tcPr>
            <w:tcW w:w="1161" w:type="dxa"/>
            <w:gridSpan w:val="2"/>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540"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900"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一级事项</w:t>
            </w:r>
          </w:p>
        </w:tc>
        <w:tc>
          <w:tcPr>
            <w:tcW w:w="900"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二级事项</w:t>
            </w:r>
          </w:p>
        </w:tc>
        <w:tc>
          <w:tcPr>
            <w:tcW w:w="3984"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2077"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1859"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800"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1271" w:type="dxa"/>
            <w:vMerge w:val="continue"/>
            <w:vAlign w:val="center"/>
          </w:tcPr>
          <w:p>
            <w:pPr>
              <w:widowControl/>
              <w:jc w:val="left"/>
              <w:rPr>
                <w:rFonts w:hint="eastAsia" w:ascii="仿宋_GB2312" w:hAnsi="仿宋_GB2312" w:eastAsia="仿宋_GB2312" w:cs="仿宋_GB2312"/>
                <w:b/>
                <w:bCs/>
                <w:color w:val="auto"/>
                <w:kern w:val="0"/>
                <w:sz w:val="18"/>
                <w:szCs w:val="18"/>
                <w:highlight w:val="none"/>
              </w:rPr>
            </w:pPr>
          </w:p>
        </w:tc>
        <w:tc>
          <w:tcPr>
            <w:tcW w:w="604"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全社会</w:t>
            </w:r>
          </w:p>
        </w:tc>
        <w:tc>
          <w:tcPr>
            <w:tcW w:w="604"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特定群众</w:t>
            </w:r>
          </w:p>
        </w:tc>
        <w:tc>
          <w:tcPr>
            <w:tcW w:w="450"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主动</w:t>
            </w:r>
          </w:p>
        </w:tc>
        <w:tc>
          <w:tcPr>
            <w:tcW w:w="810"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依申请公开</w:t>
            </w:r>
          </w:p>
        </w:tc>
        <w:tc>
          <w:tcPr>
            <w:tcW w:w="552"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县级</w:t>
            </w:r>
          </w:p>
        </w:tc>
        <w:tc>
          <w:tcPr>
            <w:tcW w:w="609" w:type="dxa"/>
            <w:vAlign w:val="center"/>
          </w:tcPr>
          <w:p>
            <w:pPr>
              <w:widowControl/>
              <w:jc w:val="center"/>
              <w:rPr>
                <w:rFonts w:hint="eastAsia" w:ascii="仿宋_GB2312" w:hAnsi="仿宋_GB2312" w:eastAsia="仿宋_GB2312" w:cs="仿宋_GB2312"/>
                <w:b/>
                <w:bCs/>
                <w:color w:val="auto"/>
                <w:kern w:val="0"/>
                <w:sz w:val="18"/>
                <w:szCs w:val="18"/>
                <w:highlight w:val="none"/>
              </w:rPr>
            </w:pPr>
            <w:r>
              <w:rPr>
                <w:rFonts w:hint="eastAsia" w:ascii="仿宋_GB2312" w:hAnsi="仿宋_GB2312" w:eastAsia="仿宋_GB2312" w:cs="仿宋_GB2312"/>
                <w:b/>
                <w:bCs/>
                <w:color w:val="auto"/>
                <w:kern w:val="0"/>
                <w:sz w:val="18"/>
                <w:szCs w:val="18"/>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trPr>
        <w:tc>
          <w:tcPr>
            <w:tcW w:w="540" w:type="dxa"/>
            <w:vAlign w:val="center"/>
          </w:tcPr>
          <w:p>
            <w:pPr>
              <w:jc w:val="center"/>
              <w:rPr>
                <w:rFonts w:hint="eastAsia" w:ascii="仿宋_GB2312" w:hAnsi="宋体" w:eastAsia="仿宋_GB2312" w:cs="宋体"/>
                <w:b/>
                <w:bCs/>
                <w:color w:val="auto"/>
                <w:sz w:val="18"/>
                <w:szCs w:val="18"/>
                <w:highlight w:val="none"/>
              </w:rPr>
            </w:pPr>
            <w:r>
              <w:rPr>
                <w:rFonts w:hint="eastAsia" w:ascii="仿宋_GB2312" w:eastAsia="仿宋_GB2312"/>
                <w:b/>
                <w:bCs/>
                <w:color w:val="auto"/>
                <w:sz w:val="18"/>
                <w:szCs w:val="18"/>
                <w:highlight w:val="none"/>
              </w:rPr>
              <w:t>1</w:t>
            </w:r>
          </w:p>
        </w:tc>
        <w:tc>
          <w:tcPr>
            <w:tcW w:w="900" w:type="dxa"/>
            <w:vMerge w:val="restart"/>
            <w:vAlign w:val="center"/>
          </w:tcPr>
          <w:p>
            <w:pPr>
              <w:rPr>
                <w:rFonts w:hint="eastAsia" w:ascii="仿宋_GB2312" w:hAnsi="宋体" w:eastAsia="仿宋_GB2312" w:cs="宋体"/>
                <w:bCs/>
                <w:color w:val="auto"/>
                <w:sz w:val="18"/>
                <w:szCs w:val="18"/>
                <w:highlight w:val="none"/>
              </w:rPr>
            </w:pPr>
            <w:r>
              <w:rPr>
                <w:rFonts w:hint="eastAsia" w:ascii="仿宋_GB2312" w:hAnsi="宋体" w:eastAsia="仿宋_GB2312"/>
                <w:bCs/>
                <w:color w:val="auto"/>
                <w:sz w:val="18"/>
                <w:szCs w:val="18"/>
                <w:highlight w:val="none"/>
              </w:rPr>
              <w:t>政策法规</w:t>
            </w:r>
          </w:p>
        </w:tc>
        <w:tc>
          <w:tcPr>
            <w:tcW w:w="900" w:type="dxa"/>
            <w:vAlign w:val="center"/>
          </w:tcPr>
          <w:p>
            <w:pPr>
              <w:rPr>
                <w:rFonts w:hint="eastAsia" w:ascii="仿宋_GB2312" w:hAnsi="宋体" w:eastAsia="仿宋_GB2312" w:cs="宋体"/>
                <w:bCs/>
                <w:color w:val="auto"/>
                <w:sz w:val="18"/>
                <w:szCs w:val="18"/>
                <w:highlight w:val="none"/>
              </w:rPr>
            </w:pPr>
            <w:r>
              <w:rPr>
                <w:rFonts w:hint="eastAsia" w:ascii="仿宋_GB2312" w:hAnsi="宋体" w:eastAsia="仿宋_GB2312"/>
                <w:bCs/>
                <w:color w:val="auto"/>
                <w:sz w:val="18"/>
                <w:szCs w:val="18"/>
                <w:highlight w:val="none"/>
              </w:rPr>
              <w:t>税收法律法规</w:t>
            </w:r>
          </w:p>
        </w:tc>
        <w:tc>
          <w:tcPr>
            <w:tcW w:w="3984"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税务机关履职相关的法律、法规、规章</w:t>
            </w:r>
          </w:p>
        </w:tc>
        <w:tc>
          <w:tcPr>
            <w:tcW w:w="2077"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xml:space="preserve">《政府信息公开条例》、《国家税务总局关于印发&lt;全面推进政务公开工作实施办法&gt;的通知》 </w:t>
            </w:r>
          </w:p>
        </w:tc>
        <w:tc>
          <w:tcPr>
            <w:tcW w:w="1859"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p>
            <w:pPr>
              <w:rPr>
                <w:rFonts w:hint="eastAsia" w:ascii="仿宋_GB2312" w:hAnsi="宋体" w:eastAsia="仿宋_GB2312" w:cs="宋体"/>
                <w:color w:val="auto"/>
                <w:sz w:val="18"/>
                <w:szCs w:val="18"/>
                <w:highlight w:val="none"/>
              </w:rPr>
            </w:pPr>
          </w:p>
        </w:tc>
        <w:tc>
          <w:tcPr>
            <w:tcW w:w="800" w:type="dxa"/>
            <w:vMerge w:val="restart"/>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p>
            <w:pPr>
              <w:rPr>
                <w:rFonts w:hint="eastAsia" w:ascii="仿宋_GB2312" w:hAnsi="宋体" w:eastAsia="仿宋_GB2312" w:cs="宋体"/>
                <w:color w:val="auto"/>
                <w:sz w:val="18"/>
                <w:szCs w:val="18"/>
                <w:highlight w:val="none"/>
              </w:rPr>
            </w:pPr>
          </w:p>
        </w:tc>
        <w:tc>
          <w:tcPr>
            <w:tcW w:w="1271"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xml:space="preserve">■ 其他：办税服务厅                                                          </w:t>
            </w:r>
          </w:p>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xml:space="preserve">                                                   </w:t>
            </w:r>
          </w:p>
        </w:tc>
        <w:tc>
          <w:tcPr>
            <w:tcW w:w="604"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540" w:type="dxa"/>
            <w:vAlign w:val="center"/>
          </w:tcPr>
          <w:p>
            <w:pPr>
              <w:jc w:val="center"/>
              <w:rPr>
                <w:rFonts w:hint="eastAsia" w:ascii="仿宋_GB2312" w:hAnsi="宋体" w:eastAsia="仿宋_GB2312" w:cs="宋体"/>
                <w:b/>
                <w:bCs/>
                <w:color w:val="auto"/>
                <w:sz w:val="18"/>
                <w:szCs w:val="18"/>
                <w:highlight w:val="none"/>
              </w:rPr>
            </w:pPr>
            <w:r>
              <w:rPr>
                <w:rFonts w:hint="eastAsia" w:ascii="仿宋_GB2312" w:eastAsia="仿宋_GB2312"/>
                <w:b/>
                <w:bCs/>
                <w:color w:val="auto"/>
                <w:sz w:val="18"/>
                <w:szCs w:val="18"/>
                <w:highlight w:val="none"/>
              </w:rPr>
              <w:t>2</w:t>
            </w:r>
          </w:p>
        </w:tc>
        <w:tc>
          <w:tcPr>
            <w:tcW w:w="900" w:type="dxa"/>
            <w:vMerge w:val="continue"/>
            <w:vAlign w:val="center"/>
          </w:tcPr>
          <w:p>
            <w:pPr>
              <w:rPr>
                <w:rFonts w:hint="eastAsia" w:ascii="仿宋_GB2312" w:hAnsi="宋体" w:eastAsia="仿宋_GB2312" w:cs="宋体"/>
                <w:bCs/>
                <w:color w:val="auto"/>
                <w:sz w:val="18"/>
                <w:szCs w:val="18"/>
                <w:highlight w:val="none"/>
              </w:rPr>
            </w:pPr>
          </w:p>
        </w:tc>
        <w:tc>
          <w:tcPr>
            <w:tcW w:w="900" w:type="dxa"/>
            <w:vAlign w:val="center"/>
          </w:tcPr>
          <w:p>
            <w:pPr>
              <w:rPr>
                <w:rFonts w:hint="eastAsia" w:ascii="仿宋_GB2312" w:hAnsi="宋体" w:eastAsia="仿宋_GB2312" w:cs="宋体"/>
                <w:bCs/>
                <w:color w:val="auto"/>
                <w:sz w:val="18"/>
                <w:szCs w:val="18"/>
                <w:highlight w:val="none"/>
              </w:rPr>
            </w:pPr>
            <w:r>
              <w:rPr>
                <w:rFonts w:hint="eastAsia" w:ascii="仿宋_GB2312" w:hAnsi="宋体" w:eastAsia="仿宋_GB2312"/>
                <w:bCs/>
                <w:color w:val="auto"/>
                <w:sz w:val="18"/>
                <w:szCs w:val="18"/>
                <w:highlight w:val="none"/>
              </w:rPr>
              <w:t>税收规范性文件</w:t>
            </w:r>
          </w:p>
        </w:tc>
        <w:tc>
          <w:tcPr>
            <w:tcW w:w="3984"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税务机关履职相关的规范性文件</w:t>
            </w:r>
          </w:p>
        </w:tc>
        <w:tc>
          <w:tcPr>
            <w:tcW w:w="2077" w:type="dxa"/>
            <w:vMerge w:val="continue"/>
            <w:vAlign w:val="center"/>
          </w:tcPr>
          <w:p>
            <w:pPr>
              <w:rPr>
                <w:rFonts w:hint="eastAsia" w:ascii="仿宋_GB2312" w:hAnsi="宋体" w:eastAsia="仿宋_GB2312" w:cs="宋体"/>
                <w:color w:val="auto"/>
                <w:sz w:val="18"/>
                <w:szCs w:val="18"/>
                <w:highlight w:val="none"/>
              </w:rPr>
            </w:pPr>
          </w:p>
        </w:tc>
        <w:tc>
          <w:tcPr>
            <w:tcW w:w="1859" w:type="dxa"/>
            <w:vMerge w:val="continue"/>
            <w:vAlign w:val="center"/>
          </w:tcPr>
          <w:p>
            <w:pPr>
              <w:rPr>
                <w:rFonts w:hint="eastAsia" w:ascii="仿宋_GB2312" w:hAnsi="宋体" w:eastAsia="仿宋_GB2312" w:cs="宋体"/>
                <w:color w:val="auto"/>
                <w:sz w:val="18"/>
                <w:szCs w:val="18"/>
                <w:highlight w:val="none"/>
              </w:rPr>
            </w:pPr>
          </w:p>
        </w:tc>
        <w:tc>
          <w:tcPr>
            <w:tcW w:w="800" w:type="dxa"/>
            <w:vMerge w:val="continue"/>
            <w:vAlign w:val="center"/>
          </w:tcPr>
          <w:p>
            <w:pPr>
              <w:rPr>
                <w:rFonts w:hint="eastAsia" w:ascii="仿宋_GB2312" w:hAnsi="宋体" w:eastAsia="仿宋_GB2312" w:cs="宋体"/>
                <w:color w:val="auto"/>
                <w:sz w:val="18"/>
                <w:szCs w:val="18"/>
                <w:highlight w:val="none"/>
              </w:rPr>
            </w:pPr>
          </w:p>
        </w:tc>
        <w:tc>
          <w:tcPr>
            <w:tcW w:w="1271" w:type="dxa"/>
            <w:vMerge w:val="continue"/>
            <w:vAlign w:val="center"/>
          </w:tcPr>
          <w:p>
            <w:pPr>
              <w:rPr>
                <w:rFonts w:hint="eastAsia" w:ascii="仿宋_GB2312" w:hAnsi="宋体" w:eastAsia="仿宋_GB2312" w:cs="宋体"/>
                <w:color w:val="auto"/>
                <w:sz w:val="18"/>
                <w:szCs w:val="18"/>
                <w:highlight w:val="none"/>
              </w:rPr>
            </w:pPr>
          </w:p>
        </w:tc>
        <w:tc>
          <w:tcPr>
            <w:tcW w:w="604"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3</w:t>
            </w:r>
          </w:p>
        </w:tc>
        <w:tc>
          <w:tcPr>
            <w:tcW w:w="900"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纳税服务</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纳税人权利</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税收法律法规规定的纳税人权利</w:t>
            </w:r>
          </w:p>
        </w:tc>
        <w:tc>
          <w:tcPr>
            <w:tcW w:w="2077"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《税收征收管理法》、《国家税务总局关于纳税人权利与义务的公告》</w:t>
            </w:r>
          </w:p>
        </w:tc>
        <w:tc>
          <w:tcPr>
            <w:tcW w:w="1859" w:type="dxa"/>
            <w:vMerge w:val="restart"/>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政府网站</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4</w:t>
            </w:r>
          </w:p>
        </w:tc>
        <w:tc>
          <w:tcPr>
            <w:tcW w:w="900" w:type="dxa"/>
            <w:vMerge w:val="continue"/>
            <w:vAlign w:val="center"/>
          </w:tcPr>
          <w:p>
            <w:pPr>
              <w:jc w:val="center"/>
              <w:rPr>
                <w:rFonts w:ascii="仿宋_GB2312" w:hAnsi="宋体" w:eastAsia="仿宋_GB2312"/>
                <w:color w:val="auto"/>
                <w:sz w:val="18"/>
                <w:szCs w:val="18"/>
                <w:highlight w:val="none"/>
              </w:rPr>
            </w:pP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纳税人义务</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税收法律法规规定的纳税人义务</w:t>
            </w:r>
          </w:p>
        </w:tc>
        <w:tc>
          <w:tcPr>
            <w:tcW w:w="2077" w:type="dxa"/>
            <w:vMerge w:val="continue"/>
            <w:vAlign w:val="center"/>
          </w:tcPr>
          <w:p>
            <w:pPr>
              <w:rPr>
                <w:rFonts w:ascii="仿宋_GB2312" w:hAnsi="宋体" w:eastAsia="仿宋_GB2312"/>
                <w:color w:val="auto"/>
                <w:sz w:val="18"/>
                <w:szCs w:val="18"/>
                <w:highlight w:val="none"/>
              </w:rPr>
            </w:pPr>
          </w:p>
        </w:tc>
        <w:tc>
          <w:tcPr>
            <w:tcW w:w="1859" w:type="dxa"/>
            <w:vMerge w:val="continue"/>
            <w:vAlign w:val="center"/>
          </w:tcPr>
          <w:p>
            <w:pPr>
              <w:rPr>
                <w:rFonts w:ascii="仿宋_GB2312" w:hAnsi="宋体" w:eastAsia="仿宋_GB2312"/>
                <w:color w:val="auto"/>
                <w:sz w:val="18"/>
                <w:szCs w:val="18"/>
                <w:highlight w:val="none"/>
              </w:rPr>
            </w:pPr>
          </w:p>
        </w:tc>
        <w:tc>
          <w:tcPr>
            <w:tcW w:w="800" w:type="dxa"/>
            <w:vMerge w:val="continue"/>
            <w:vAlign w:val="center"/>
          </w:tcPr>
          <w:p>
            <w:pPr>
              <w:rPr>
                <w:rFonts w:ascii="仿宋_GB2312" w:hAnsi="宋体" w:eastAsia="仿宋_GB2312"/>
                <w:color w:val="auto"/>
                <w:sz w:val="18"/>
                <w:szCs w:val="18"/>
                <w:highlight w:val="none"/>
              </w:rPr>
            </w:pPr>
          </w:p>
        </w:tc>
        <w:tc>
          <w:tcPr>
            <w:tcW w:w="1271" w:type="dxa"/>
            <w:vMerge w:val="continue"/>
            <w:vAlign w:val="center"/>
          </w:tcPr>
          <w:p>
            <w:pPr>
              <w:rPr>
                <w:rFonts w:ascii="仿宋_GB2312" w:hAnsi="宋体" w:eastAsia="仿宋_GB2312"/>
                <w:color w:val="auto"/>
                <w:sz w:val="18"/>
                <w:szCs w:val="18"/>
                <w:highlight w:val="none"/>
              </w:rPr>
            </w:pP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540" w:type="dxa"/>
            <w:vAlign w:val="center"/>
          </w:tcPr>
          <w:p>
            <w:pPr>
              <w:jc w:val="center"/>
              <w:rPr>
                <w:rFonts w:ascii="宋体" w:hAnsi="宋体" w:cs="宋体"/>
                <w:b/>
                <w:bCs/>
                <w:color w:val="auto"/>
                <w:sz w:val="15"/>
                <w:szCs w:val="15"/>
                <w:highlight w:val="none"/>
              </w:rPr>
            </w:pPr>
            <w:r>
              <w:rPr>
                <w:rFonts w:hint="eastAsia" w:ascii="宋体" w:hAnsi="宋体"/>
                <w:b/>
                <w:bCs/>
                <w:color w:val="auto"/>
                <w:sz w:val="15"/>
                <w:szCs w:val="15"/>
                <w:highlight w:val="none"/>
              </w:rPr>
              <w:t>5</w:t>
            </w:r>
          </w:p>
        </w:tc>
        <w:tc>
          <w:tcPr>
            <w:tcW w:w="900"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纳税服务</w:t>
            </w: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A级纳税人名单</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纳税人识别号、纳税人名称、评价年度</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《关于明确纳税信用管理若干业务口径的公告》、《国家税务总局关于印发&lt;全面推进政务公开工作实施办法&gt;的通知》 </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6</w:t>
            </w:r>
          </w:p>
        </w:tc>
        <w:tc>
          <w:tcPr>
            <w:tcW w:w="900" w:type="dxa"/>
            <w:vMerge w:val="continue"/>
            <w:vAlign w:val="center"/>
          </w:tcPr>
          <w:p>
            <w:pPr>
              <w:jc w:val="center"/>
              <w:rPr>
                <w:rFonts w:ascii="仿宋_GB2312" w:hAnsi="宋体" w:eastAsia="仿宋_GB2312"/>
                <w:color w:val="auto"/>
                <w:sz w:val="18"/>
                <w:szCs w:val="18"/>
                <w:highlight w:val="none"/>
              </w:rPr>
            </w:pP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涉税专业服务相关信息</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纳入监管的涉税专业服务机构名单及其信用情况、未经行政登记的税务师事务所名单、涉税服务失信名录</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《涉税专业服务监管办法（试行）》、《涉税专业服务信用评价管理办法（试行）》</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7</w:t>
            </w:r>
          </w:p>
        </w:tc>
        <w:tc>
          <w:tcPr>
            <w:tcW w:w="900" w:type="dxa"/>
            <w:vMerge w:val="restart"/>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纳税服务</w:t>
            </w: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办税地图</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办税服务厅名称、地址、电话、办公时间、主要职责</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《关于印发&lt;全面推进政务公开工作实施办法&gt;的通知》</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54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8</w:t>
            </w:r>
          </w:p>
        </w:tc>
        <w:tc>
          <w:tcPr>
            <w:tcW w:w="900" w:type="dxa"/>
            <w:vMerge w:val="continue"/>
            <w:vAlign w:val="center"/>
          </w:tcPr>
          <w:p>
            <w:pPr>
              <w:rPr>
                <w:rFonts w:ascii="仿宋_GB2312" w:hAnsi="宋体" w:eastAsia="仿宋_GB2312"/>
                <w:color w:val="auto"/>
                <w:sz w:val="18"/>
                <w:szCs w:val="18"/>
                <w:highlight w:val="none"/>
              </w:rPr>
            </w:pP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办税日历</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申报征收期、申报征收项目、备注</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《关于印发&lt;全面推进政务公开工作实施办法&gt;的通知》</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54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9</w:t>
            </w:r>
          </w:p>
        </w:tc>
        <w:tc>
          <w:tcPr>
            <w:tcW w:w="900" w:type="dxa"/>
            <w:vMerge w:val="continue"/>
            <w:vAlign w:val="center"/>
          </w:tcPr>
          <w:p>
            <w:pPr>
              <w:rPr>
                <w:rFonts w:ascii="仿宋_GB2312" w:hAnsi="宋体" w:eastAsia="仿宋_GB2312"/>
                <w:color w:val="auto"/>
                <w:sz w:val="18"/>
                <w:szCs w:val="18"/>
                <w:highlight w:val="none"/>
              </w:rPr>
            </w:pP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办税指南</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事项名称、设定依据、申请条件、办理材料、办理地点、办理机构、收费标准、办理时间、联系电话、办理流程、纳税人注意事项、政策依据</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《关于印发&lt;全面推进政务公开工作实施办法&gt;的通知》 </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bottom"/>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bottom"/>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bottom"/>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10</w:t>
            </w:r>
          </w:p>
        </w:tc>
        <w:tc>
          <w:tcPr>
            <w:tcW w:w="900" w:type="dxa"/>
            <w:vMerge w:val="restart"/>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jc w:val="center"/>
              <w:rPr>
                <w:rFonts w:ascii="仿宋_GB2312" w:hAnsi="宋体" w:eastAsia="仿宋_GB2312"/>
                <w:color w:val="auto"/>
                <w:sz w:val="18"/>
                <w:szCs w:val="18"/>
                <w:highlight w:val="none"/>
              </w:rPr>
            </w:pP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权责清单</w:t>
            </w:r>
          </w:p>
        </w:tc>
        <w:tc>
          <w:tcPr>
            <w:tcW w:w="3984" w:type="dxa"/>
            <w:vAlign w:val="center"/>
          </w:tcPr>
          <w:p>
            <w:pPr>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职权名称、设定依据、履责方式、追责情形、权责事项信息表（包括基本信息、办理信息、监管措施、咨询查询、行政相对人责任、监督责任、法律救济、行政职权运行流程图等）           </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《关于印发&lt;全面推进政务公开工作实施办法&gt;的通知》 </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政府网站</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11</w:t>
            </w:r>
          </w:p>
        </w:tc>
        <w:tc>
          <w:tcPr>
            <w:tcW w:w="900" w:type="dxa"/>
            <w:vMerge w:val="continue"/>
            <w:vAlign w:val="center"/>
          </w:tcPr>
          <w:p>
            <w:pPr>
              <w:jc w:val="center"/>
              <w:rPr>
                <w:rFonts w:ascii="宋体" w:hAnsi="宋体" w:cs="宋体"/>
                <w:bCs/>
                <w:color w:val="auto"/>
                <w:sz w:val="20"/>
                <w:szCs w:val="20"/>
                <w:highlight w:val="none"/>
              </w:rPr>
            </w:pP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准予行政许可决定公示</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行政许可决定书及其文号、设定依据、项目名称、行政相对人统一社会信用代码、审批部门</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《关于做好行政许可和行政处罚等信用信息公示工作的通知》</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在做出行政许可决定之日起7个工作日内完成公示</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12</w:t>
            </w:r>
          </w:p>
        </w:tc>
        <w:tc>
          <w:tcPr>
            <w:tcW w:w="900" w:type="dxa"/>
            <w:vMerge w:val="continue"/>
            <w:vAlign w:val="center"/>
          </w:tcPr>
          <w:p>
            <w:pPr>
              <w:jc w:val="center"/>
              <w:rPr>
                <w:rFonts w:ascii="仿宋_GB2312" w:hAnsi="宋体" w:eastAsia="仿宋_GB2312"/>
                <w:color w:val="auto"/>
                <w:sz w:val="18"/>
                <w:szCs w:val="18"/>
                <w:highlight w:val="none"/>
              </w:rPr>
            </w:pP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行政处罚决定和结果公示</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行政处罚决定书文号、执法依据、案件名称、行政相对人统一社会信用代码、处罚事由、作出处罚决定的部门、处罚结果</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《关于做好行政许可和行政处罚等信用信息公示工作的通知》                           </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在做出行政处罚决定之日起7个工作日内完成公示</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ascii="宋体" w:hAnsi="宋体" w:cs="宋体"/>
                <w:color w:val="auto"/>
                <w:sz w:val="15"/>
                <w:szCs w:val="15"/>
                <w:highlight w:val="none"/>
              </w:rPr>
            </w:pPr>
            <w:r>
              <w:rPr>
                <w:rFonts w:hint="eastAsia" w:ascii="宋体" w:hAnsi="宋体"/>
                <w:color w:val="auto"/>
                <w:sz w:val="15"/>
                <w:szCs w:val="15"/>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13</w:t>
            </w: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vAlign w:val="center"/>
          </w:tcPr>
          <w:p>
            <w:pPr>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非正常户公告</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《税收征收管理法》、《税收征收管理法实施细则》、《关于进一步完善税务登记管理有关问题的公告》</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在非正常户认定的次月公告非正常户</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14</w:t>
            </w: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欠税公告</w:t>
            </w:r>
          </w:p>
        </w:tc>
        <w:tc>
          <w:tcPr>
            <w:tcW w:w="398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企业或单位欠税的：公告企业或单位的名称、纳税人识别号、法定代表人或负责人姓名、居民身份证或其他有效身份证件号码（隐去出生年月日）、经营地点、欠税税种、欠税余额和当期新发生的欠税金额；</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个体工商户欠税的：公告业户名称、业主姓名、纳税人识别号、居民身份证或其他有效身份证件号码（隐去出生年月日）、经营地点、欠税税种、欠税余额和当期新发生的欠税金额；</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个人（不含个体工商户）欠税的：公告其姓名、居民身份证或其他有效身份证件号码（隐去出生年月日）、欠税税种、欠税余额和当期新发生的欠税金额</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对走逃、失踪的纳税户以及其他经税务机关查无下落的纳税人欠税的，由各省级和计划单列市税务局公告 </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《税收征收管理法》、《税收征收管理法实施细则》、《欠税公告办法（试行）》</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企业或单位欠税的，每季公告一次；个体工商户和其他个人欠税的，每半年公告一次；走逃、失踪的纳税户以及其他经税务机关查无下落的非正常户欠税的，随时公告</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15</w:t>
            </w: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个体工商户定额公示公告</w:t>
            </w:r>
          </w:p>
        </w:tc>
        <w:tc>
          <w:tcPr>
            <w:tcW w:w="398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纳税人名称、统一社会信息代码（纳税人识别号）、生产经营地址、定额项目、行业类别、核定定额、应纳税额、定额执行起止日期、主管税务机关</w:t>
            </w:r>
          </w:p>
        </w:tc>
        <w:tc>
          <w:tcPr>
            <w:tcW w:w="2077"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《关于印发个体工商户税收定期定额征收管理文书的通知》、《关于个体工商户定期定额征收管理有关问题的通知》</w:t>
            </w:r>
          </w:p>
        </w:tc>
        <w:tc>
          <w:tcPr>
            <w:tcW w:w="185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 w:hRule="atLeast"/>
        </w:trPr>
        <w:tc>
          <w:tcPr>
            <w:tcW w:w="54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16</w:t>
            </w:r>
          </w:p>
        </w:tc>
        <w:tc>
          <w:tcPr>
            <w:tcW w:w="900"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vAlign w:val="center"/>
          </w:tcPr>
          <w:p>
            <w:pPr>
              <w:jc w:val="left"/>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委托代征公告</w:t>
            </w:r>
          </w:p>
        </w:tc>
        <w:tc>
          <w:tcPr>
            <w:tcW w:w="3984"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务机关和代征人的名称、联系电话,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2077"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《税收征收管理法》、《税收征收管理法实施细则》、《国家税务总局关于发布＜委托代征管理办法＞的公告》</w:t>
            </w:r>
          </w:p>
        </w:tc>
        <w:tc>
          <w:tcPr>
            <w:tcW w:w="1859"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4"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45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810"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552"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9" w:type="dxa"/>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540" w:type="dxa"/>
            <w:noWrap w:val="0"/>
            <w:vAlign w:val="center"/>
          </w:tcPr>
          <w:p>
            <w:pPr>
              <w:jc w:val="center"/>
              <w:rPr>
                <w:rFonts w:hint="default" w:ascii="仿宋_GB2312" w:hAnsi="宋体" w:eastAsia="仿宋_GB2312"/>
                <w:color w:val="auto"/>
                <w:sz w:val="18"/>
                <w:szCs w:val="18"/>
                <w:highlight w:val="none"/>
                <w:lang w:val="en-US" w:eastAsia="zh-CN"/>
              </w:rPr>
            </w:pPr>
            <w:r>
              <w:rPr>
                <w:rFonts w:hint="eastAsia" w:ascii="仿宋_GB2312" w:hAnsi="宋体" w:eastAsia="仿宋_GB2312"/>
                <w:color w:val="auto"/>
                <w:sz w:val="18"/>
                <w:szCs w:val="18"/>
                <w:highlight w:val="none"/>
                <w:lang w:val="en-US" w:eastAsia="zh-CN"/>
              </w:rPr>
              <w:t>1</w:t>
            </w:r>
          </w:p>
        </w:tc>
        <w:tc>
          <w:tcPr>
            <w:tcW w:w="900" w:type="dxa"/>
            <w:vMerge w:val="restart"/>
            <w:noWrap w:val="0"/>
            <w:vAlign w:val="center"/>
          </w:tcPr>
          <w:p>
            <w:pPr>
              <w:rPr>
                <w:rFonts w:hint="eastAsia" w:ascii="仿宋_GB2312" w:hAnsi="宋体" w:eastAsia="仿宋_GB2312" w:cs="宋体"/>
                <w:bCs/>
                <w:color w:val="auto"/>
                <w:sz w:val="18"/>
                <w:szCs w:val="18"/>
                <w:highlight w:val="none"/>
              </w:rPr>
            </w:pPr>
            <w:r>
              <w:rPr>
                <w:rFonts w:hint="eastAsia" w:ascii="仿宋_GB2312" w:hAnsi="宋体" w:eastAsia="仿宋_GB2312"/>
                <w:bCs/>
                <w:color w:val="auto"/>
                <w:sz w:val="18"/>
                <w:szCs w:val="18"/>
                <w:highlight w:val="none"/>
              </w:rPr>
              <w:t>政策法规</w:t>
            </w:r>
          </w:p>
        </w:tc>
        <w:tc>
          <w:tcPr>
            <w:tcW w:w="900" w:type="dxa"/>
            <w:noWrap w:val="0"/>
            <w:vAlign w:val="center"/>
          </w:tcPr>
          <w:p>
            <w:pPr>
              <w:rPr>
                <w:rFonts w:hint="eastAsia" w:ascii="仿宋_GB2312" w:hAnsi="宋体" w:eastAsia="仿宋_GB2312" w:cs="宋体"/>
                <w:bCs/>
                <w:color w:val="auto"/>
                <w:sz w:val="18"/>
                <w:szCs w:val="18"/>
                <w:highlight w:val="none"/>
              </w:rPr>
            </w:pPr>
            <w:r>
              <w:rPr>
                <w:rFonts w:hint="eastAsia" w:ascii="仿宋_GB2312" w:hAnsi="宋体" w:eastAsia="仿宋_GB2312"/>
                <w:bCs/>
                <w:color w:val="auto"/>
                <w:sz w:val="18"/>
                <w:szCs w:val="18"/>
                <w:highlight w:val="none"/>
              </w:rPr>
              <w:t>税收法律法规</w:t>
            </w:r>
          </w:p>
        </w:tc>
        <w:tc>
          <w:tcPr>
            <w:tcW w:w="3984" w:type="dxa"/>
            <w:noWrap w:val="0"/>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税务机关履职相关的法律、法规、规章</w:t>
            </w:r>
          </w:p>
        </w:tc>
        <w:tc>
          <w:tcPr>
            <w:tcW w:w="2077" w:type="dxa"/>
            <w:vMerge w:val="restart"/>
            <w:noWrap w:val="0"/>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xml:space="preserve">《政府信息公开条例》、《国家税务总局关于印发&lt;全面推进政务公开工作实施办法&gt;的通知》 </w:t>
            </w:r>
          </w:p>
        </w:tc>
        <w:tc>
          <w:tcPr>
            <w:tcW w:w="1859" w:type="dxa"/>
            <w:vMerge w:val="restart"/>
            <w:noWrap w:val="0"/>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p>
            <w:pPr>
              <w:rPr>
                <w:rFonts w:hint="eastAsia" w:ascii="仿宋_GB2312" w:hAnsi="宋体" w:eastAsia="仿宋_GB2312" w:cs="宋体"/>
                <w:color w:val="auto"/>
                <w:sz w:val="18"/>
                <w:szCs w:val="18"/>
                <w:highlight w:val="none"/>
              </w:rPr>
            </w:pPr>
          </w:p>
        </w:tc>
        <w:tc>
          <w:tcPr>
            <w:tcW w:w="800" w:type="dxa"/>
            <w:vMerge w:val="restart"/>
            <w:noWrap w:val="0"/>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p>
            <w:pPr>
              <w:rPr>
                <w:rFonts w:hint="eastAsia" w:ascii="仿宋_GB2312" w:hAnsi="宋体" w:eastAsia="仿宋_GB2312" w:cs="宋体"/>
                <w:color w:val="auto"/>
                <w:sz w:val="18"/>
                <w:szCs w:val="18"/>
                <w:highlight w:val="none"/>
              </w:rPr>
            </w:pPr>
          </w:p>
        </w:tc>
        <w:tc>
          <w:tcPr>
            <w:tcW w:w="1271" w:type="dxa"/>
            <w:vMerge w:val="restart"/>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xml:space="preserve">■ 其他：办税服务厅                                                          </w:t>
            </w:r>
          </w:p>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xml:space="preserve">                                                   </w:t>
            </w:r>
          </w:p>
        </w:tc>
        <w:tc>
          <w:tcPr>
            <w:tcW w:w="604"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540" w:type="dxa"/>
            <w:noWrap w:val="0"/>
            <w:vAlign w:val="center"/>
          </w:tcPr>
          <w:p>
            <w:pPr>
              <w:jc w:val="cente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2</w:t>
            </w:r>
          </w:p>
        </w:tc>
        <w:tc>
          <w:tcPr>
            <w:tcW w:w="900" w:type="dxa"/>
            <w:vMerge w:val="continue"/>
            <w:noWrap w:val="0"/>
            <w:vAlign w:val="center"/>
          </w:tcPr>
          <w:p>
            <w:pPr>
              <w:rPr>
                <w:rFonts w:hint="eastAsia" w:ascii="仿宋_GB2312" w:hAnsi="宋体" w:eastAsia="仿宋_GB2312" w:cs="宋体"/>
                <w:bCs/>
                <w:color w:val="auto"/>
                <w:sz w:val="18"/>
                <w:szCs w:val="18"/>
                <w:highlight w:val="none"/>
              </w:rPr>
            </w:pPr>
          </w:p>
        </w:tc>
        <w:tc>
          <w:tcPr>
            <w:tcW w:w="900" w:type="dxa"/>
            <w:noWrap w:val="0"/>
            <w:vAlign w:val="center"/>
          </w:tcPr>
          <w:p>
            <w:pPr>
              <w:rPr>
                <w:rFonts w:hint="eastAsia" w:ascii="仿宋_GB2312" w:hAnsi="宋体" w:eastAsia="仿宋_GB2312" w:cs="宋体"/>
                <w:bCs/>
                <w:color w:val="auto"/>
                <w:sz w:val="18"/>
                <w:szCs w:val="18"/>
                <w:highlight w:val="none"/>
              </w:rPr>
            </w:pPr>
            <w:r>
              <w:rPr>
                <w:rFonts w:hint="eastAsia" w:ascii="仿宋_GB2312" w:hAnsi="宋体" w:eastAsia="仿宋_GB2312"/>
                <w:bCs/>
                <w:color w:val="auto"/>
                <w:sz w:val="18"/>
                <w:szCs w:val="18"/>
                <w:highlight w:val="none"/>
              </w:rPr>
              <w:t>税收规范性文件</w:t>
            </w:r>
          </w:p>
        </w:tc>
        <w:tc>
          <w:tcPr>
            <w:tcW w:w="3984" w:type="dxa"/>
            <w:noWrap w:val="0"/>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税务机关履职相关的规范性文件</w:t>
            </w:r>
          </w:p>
        </w:tc>
        <w:tc>
          <w:tcPr>
            <w:tcW w:w="2077" w:type="dxa"/>
            <w:vMerge w:val="continue"/>
            <w:noWrap w:val="0"/>
            <w:vAlign w:val="center"/>
          </w:tcPr>
          <w:p>
            <w:pPr>
              <w:rPr>
                <w:rFonts w:hint="eastAsia" w:ascii="仿宋_GB2312" w:hAnsi="宋体" w:eastAsia="仿宋_GB2312" w:cs="宋体"/>
                <w:color w:val="auto"/>
                <w:sz w:val="18"/>
                <w:szCs w:val="18"/>
                <w:highlight w:val="none"/>
              </w:rPr>
            </w:pPr>
          </w:p>
        </w:tc>
        <w:tc>
          <w:tcPr>
            <w:tcW w:w="1859" w:type="dxa"/>
            <w:vMerge w:val="continue"/>
            <w:noWrap w:val="0"/>
            <w:vAlign w:val="center"/>
          </w:tcPr>
          <w:p>
            <w:pPr>
              <w:rPr>
                <w:rFonts w:hint="eastAsia" w:ascii="仿宋_GB2312" w:hAnsi="宋体" w:eastAsia="仿宋_GB2312" w:cs="宋体"/>
                <w:color w:val="auto"/>
                <w:sz w:val="18"/>
                <w:szCs w:val="18"/>
                <w:highlight w:val="none"/>
              </w:rPr>
            </w:pPr>
          </w:p>
        </w:tc>
        <w:tc>
          <w:tcPr>
            <w:tcW w:w="800" w:type="dxa"/>
            <w:vMerge w:val="continue"/>
            <w:noWrap w:val="0"/>
            <w:vAlign w:val="center"/>
          </w:tcPr>
          <w:p>
            <w:pPr>
              <w:rPr>
                <w:rFonts w:hint="eastAsia" w:ascii="仿宋_GB2312" w:hAnsi="宋体" w:eastAsia="仿宋_GB2312" w:cs="宋体"/>
                <w:color w:val="auto"/>
                <w:sz w:val="18"/>
                <w:szCs w:val="18"/>
                <w:highlight w:val="none"/>
              </w:rPr>
            </w:pPr>
          </w:p>
        </w:tc>
        <w:tc>
          <w:tcPr>
            <w:tcW w:w="1271" w:type="dxa"/>
            <w:vMerge w:val="continue"/>
            <w:noWrap w:val="0"/>
            <w:vAlign w:val="center"/>
          </w:tcPr>
          <w:p>
            <w:pPr>
              <w:rPr>
                <w:rFonts w:hint="eastAsia" w:ascii="仿宋_GB2312" w:hAnsi="宋体" w:eastAsia="仿宋_GB2312" w:cs="宋体"/>
                <w:color w:val="auto"/>
                <w:sz w:val="18"/>
                <w:szCs w:val="18"/>
                <w:highlight w:val="none"/>
              </w:rPr>
            </w:pPr>
          </w:p>
        </w:tc>
        <w:tc>
          <w:tcPr>
            <w:tcW w:w="604"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3</w:t>
            </w:r>
          </w:p>
        </w:tc>
        <w:tc>
          <w:tcPr>
            <w:tcW w:w="900" w:type="dxa"/>
            <w:vMerge w:val="restart"/>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纳税服务</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纳税人权利</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税收法律法规规定的纳税人权利</w:t>
            </w:r>
          </w:p>
        </w:tc>
        <w:tc>
          <w:tcPr>
            <w:tcW w:w="2077" w:type="dxa"/>
            <w:vMerge w:val="restart"/>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《税收征收管理法》、《国家税务总局关于纳税人权利与义务的公告》</w:t>
            </w:r>
          </w:p>
        </w:tc>
        <w:tc>
          <w:tcPr>
            <w:tcW w:w="1859" w:type="dxa"/>
            <w:vMerge w:val="restart"/>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vMerge w:val="restart"/>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vMerge w:val="restart"/>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政府网站</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4</w:t>
            </w:r>
          </w:p>
        </w:tc>
        <w:tc>
          <w:tcPr>
            <w:tcW w:w="900" w:type="dxa"/>
            <w:vMerge w:val="continue"/>
            <w:noWrap w:val="0"/>
            <w:vAlign w:val="center"/>
          </w:tcPr>
          <w:p>
            <w:pPr>
              <w:jc w:val="center"/>
              <w:rPr>
                <w:rFonts w:ascii="仿宋_GB2312" w:hAnsi="宋体" w:eastAsia="仿宋_GB2312"/>
                <w:color w:val="auto"/>
                <w:sz w:val="18"/>
                <w:szCs w:val="18"/>
                <w:highlight w:val="none"/>
              </w:rPr>
            </w:pP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纳税人义务</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税收法律法规规定的纳税人义务</w:t>
            </w:r>
          </w:p>
        </w:tc>
        <w:tc>
          <w:tcPr>
            <w:tcW w:w="2077" w:type="dxa"/>
            <w:vMerge w:val="continue"/>
            <w:noWrap w:val="0"/>
            <w:vAlign w:val="center"/>
          </w:tcPr>
          <w:p>
            <w:pPr>
              <w:rPr>
                <w:rFonts w:ascii="仿宋_GB2312" w:hAnsi="宋体" w:eastAsia="仿宋_GB2312"/>
                <w:color w:val="auto"/>
                <w:sz w:val="18"/>
                <w:szCs w:val="18"/>
                <w:highlight w:val="none"/>
              </w:rPr>
            </w:pPr>
          </w:p>
        </w:tc>
        <w:tc>
          <w:tcPr>
            <w:tcW w:w="1859" w:type="dxa"/>
            <w:vMerge w:val="continue"/>
            <w:noWrap w:val="0"/>
            <w:vAlign w:val="center"/>
          </w:tcPr>
          <w:p>
            <w:pPr>
              <w:rPr>
                <w:rFonts w:ascii="仿宋_GB2312" w:hAnsi="宋体" w:eastAsia="仿宋_GB2312"/>
                <w:color w:val="auto"/>
                <w:sz w:val="18"/>
                <w:szCs w:val="18"/>
                <w:highlight w:val="none"/>
              </w:rPr>
            </w:pPr>
          </w:p>
        </w:tc>
        <w:tc>
          <w:tcPr>
            <w:tcW w:w="800" w:type="dxa"/>
            <w:vMerge w:val="continue"/>
            <w:noWrap w:val="0"/>
            <w:vAlign w:val="center"/>
          </w:tcPr>
          <w:p>
            <w:pPr>
              <w:rPr>
                <w:rFonts w:ascii="仿宋_GB2312" w:hAnsi="宋体" w:eastAsia="仿宋_GB2312"/>
                <w:color w:val="auto"/>
                <w:sz w:val="18"/>
                <w:szCs w:val="18"/>
                <w:highlight w:val="none"/>
              </w:rPr>
            </w:pPr>
          </w:p>
        </w:tc>
        <w:tc>
          <w:tcPr>
            <w:tcW w:w="1271" w:type="dxa"/>
            <w:vMerge w:val="continue"/>
            <w:noWrap w:val="0"/>
            <w:vAlign w:val="center"/>
          </w:tcPr>
          <w:p>
            <w:pPr>
              <w:rPr>
                <w:rFonts w:ascii="仿宋_GB2312" w:hAnsi="宋体" w:eastAsia="仿宋_GB2312"/>
                <w:color w:val="auto"/>
                <w:sz w:val="18"/>
                <w:szCs w:val="18"/>
                <w:highlight w:val="none"/>
              </w:rPr>
            </w:pP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540" w:type="dxa"/>
            <w:noWrap w:val="0"/>
            <w:vAlign w:val="center"/>
          </w:tcPr>
          <w:p>
            <w:pPr>
              <w:jc w:val="center"/>
              <w:rPr>
                <w:rFonts w:ascii="宋体" w:hAnsi="宋体" w:cs="宋体"/>
                <w:b/>
                <w:bCs/>
                <w:color w:val="auto"/>
                <w:sz w:val="15"/>
                <w:szCs w:val="15"/>
                <w:highlight w:val="none"/>
              </w:rPr>
            </w:pPr>
            <w:r>
              <w:rPr>
                <w:rFonts w:hint="eastAsia" w:ascii="宋体" w:hAnsi="宋体"/>
                <w:b/>
                <w:bCs/>
                <w:color w:val="auto"/>
                <w:sz w:val="15"/>
                <w:szCs w:val="15"/>
                <w:highlight w:val="none"/>
              </w:rPr>
              <w:t>5</w:t>
            </w:r>
          </w:p>
        </w:tc>
        <w:tc>
          <w:tcPr>
            <w:tcW w:w="900" w:type="dxa"/>
            <w:vMerge w:val="restart"/>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纳税服务</w:t>
            </w: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A级纳税人名单</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纳税人识别号、纳税人名称、评价年度</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《关于明确纳税信用管理若干业务口径的公告》、《国家税务总局关于印发&lt;全面推进政务公开工作实施办法&gt;的通知》 </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6</w:t>
            </w:r>
          </w:p>
        </w:tc>
        <w:tc>
          <w:tcPr>
            <w:tcW w:w="900" w:type="dxa"/>
            <w:vMerge w:val="continue"/>
            <w:noWrap w:val="0"/>
            <w:vAlign w:val="center"/>
          </w:tcPr>
          <w:p>
            <w:pPr>
              <w:jc w:val="center"/>
              <w:rPr>
                <w:rFonts w:ascii="仿宋_GB2312" w:hAnsi="宋体" w:eastAsia="仿宋_GB2312"/>
                <w:color w:val="auto"/>
                <w:sz w:val="18"/>
                <w:szCs w:val="18"/>
                <w:highlight w:val="none"/>
              </w:rPr>
            </w:pP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涉税专业服务相关信息</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纳入监管的涉税专业服务机构名单及其信用情况、未经行政登记的税务师事务所名单、涉税服务失信名录</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《涉税专业服务监管办法（试行）》、《涉税专业服务信用评价管理办法（试行）》</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7</w:t>
            </w:r>
          </w:p>
        </w:tc>
        <w:tc>
          <w:tcPr>
            <w:tcW w:w="900" w:type="dxa"/>
            <w:vMerge w:val="restart"/>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纳税服务　</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办税地图</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办税服务厅名称、地址、电话、办公时间、主要职责</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《关于印发&lt;全面推进政务公开工作实施办法&gt;的通知》</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8</w:t>
            </w:r>
          </w:p>
        </w:tc>
        <w:tc>
          <w:tcPr>
            <w:tcW w:w="900" w:type="dxa"/>
            <w:vMerge w:val="continue"/>
            <w:noWrap w:val="0"/>
            <w:vAlign w:val="center"/>
          </w:tcPr>
          <w:p>
            <w:pPr>
              <w:rPr>
                <w:rFonts w:ascii="仿宋_GB2312" w:hAnsi="宋体" w:eastAsia="仿宋_GB2312"/>
                <w:color w:val="auto"/>
                <w:sz w:val="18"/>
                <w:szCs w:val="18"/>
                <w:highlight w:val="none"/>
              </w:rPr>
            </w:pP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办税日历</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申报征收期、申报征收项目、备注</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《关于印发&lt;全面推进政务公开工作实施办法&gt;的通知》</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9</w:t>
            </w:r>
          </w:p>
        </w:tc>
        <w:tc>
          <w:tcPr>
            <w:tcW w:w="900" w:type="dxa"/>
            <w:vMerge w:val="continue"/>
            <w:noWrap w:val="0"/>
            <w:vAlign w:val="center"/>
          </w:tcPr>
          <w:p>
            <w:pPr>
              <w:rPr>
                <w:rFonts w:ascii="仿宋_GB2312" w:hAnsi="宋体" w:eastAsia="仿宋_GB2312"/>
                <w:color w:val="auto"/>
                <w:sz w:val="18"/>
                <w:szCs w:val="18"/>
                <w:highlight w:val="none"/>
              </w:rPr>
            </w:pP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办税指南</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事项名称、设定依据、申请条件、办理材料、办理地点、办理机构、收费标准、办理时间、联系电话、办理流程、纳税人注意事项、政策依据</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《关于印发&lt;全面推进政务公开工作实施办法&gt;的通知》 </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bottom"/>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bottom"/>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bottom"/>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10</w:t>
            </w:r>
          </w:p>
        </w:tc>
        <w:tc>
          <w:tcPr>
            <w:tcW w:w="900" w:type="dxa"/>
            <w:vMerge w:val="restart"/>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权责清单</w:t>
            </w:r>
          </w:p>
        </w:tc>
        <w:tc>
          <w:tcPr>
            <w:tcW w:w="3984" w:type="dxa"/>
            <w:noWrap w:val="0"/>
            <w:vAlign w:val="center"/>
          </w:tcPr>
          <w:p>
            <w:pPr>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职权名称、设定依据、履责方式、追责情形、权责事项信息表（包括基本信息、办理信息、监管措施、咨询查询、行政相对人责任、监督责任、法律救济、行政职权运行流程图等）</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《关于印发&lt;全面推进政务公开工作实施办法&gt;的通知》 </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政府网站</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11</w:t>
            </w:r>
          </w:p>
        </w:tc>
        <w:tc>
          <w:tcPr>
            <w:tcW w:w="900" w:type="dxa"/>
            <w:vMerge w:val="continue"/>
            <w:noWrap w:val="0"/>
            <w:vAlign w:val="center"/>
          </w:tcPr>
          <w:p>
            <w:pPr>
              <w:jc w:val="center"/>
              <w:rPr>
                <w:rFonts w:ascii="宋体" w:hAnsi="宋体" w:cs="宋体"/>
                <w:bCs/>
                <w:color w:val="auto"/>
                <w:sz w:val="20"/>
                <w:szCs w:val="20"/>
                <w:highlight w:val="none"/>
              </w:rPr>
            </w:pP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准予行政许可决定公示</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行政许可决定书及其文号、设定依据、项目名称、行政相对人统一社会信用代码、审批部门</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《关于做好行政许可和行政处罚等信用信息公示工作的通知》</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在做出行政许可决定之日起7个工作日内完成公示</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12</w:t>
            </w:r>
          </w:p>
        </w:tc>
        <w:tc>
          <w:tcPr>
            <w:tcW w:w="900" w:type="dxa"/>
            <w:vMerge w:val="continue"/>
            <w:noWrap w:val="0"/>
            <w:vAlign w:val="center"/>
          </w:tcPr>
          <w:p>
            <w:pPr>
              <w:jc w:val="center"/>
              <w:rPr>
                <w:rFonts w:ascii="仿宋_GB2312" w:hAnsi="宋体" w:eastAsia="仿宋_GB2312"/>
                <w:color w:val="auto"/>
                <w:sz w:val="18"/>
                <w:szCs w:val="18"/>
                <w:highlight w:val="none"/>
              </w:rPr>
            </w:pP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行政处罚决定和结果公示</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行政处罚决定书文号、执法依据、案件名称、行政相对人统一社会信用代码、处罚事由、作出处罚决定的部门、处罚结果</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《关于做好行政许可和行政处罚等信用信息公示工作的通知》                           </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在做出行政处罚决定之日起7个工作日内完成公示</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ascii="宋体" w:hAnsi="宋体" w:cs="宋体"/>
                <w:color w:val="auto"/>
                <w:sz w:val="15"/>
                <w:szCs w:val="15"/>
                <w:highlight w:val="none"/>
              </w:rPr>
            </w:pPr>
            <w:r>
              <w:rPr>
                <w:rFonts w:hint="eastAsia" w:ascii="宋体" w:hAnsi="宋体"/>
                <w:color w:val="auto"/>
                <w:sz w:val="15"/>
                <w:szCs w:val="15"/>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6"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13</w:t>
            </w: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noWrap w:val="0"/>
            <w:vAlign w:val="center"/>
          </w:tcPr>
          <w:p>
            <w:pPr>
              <w:jc w:val="left"/>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非正常户公告</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为企业或单位的，公告企业或单位的名称、纳税人识别号、法定代表人或负责人姓名、居民身份证或其他有效身份证件号码（隐去出生年月日）、经营地点；纳税人为个体工商户的，公告业户名称、业主姓名、纳税人识别号、居民身份证或其他有效身份证件号码（隐去出生年月日）、经营地点</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《税收征收管理法》、《税收征收管理法实施细则》、《关于进一步完善税务登记管理有关问题的公告》</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在非正常户认定的次月公告非正常户</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1"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14</w:t>
            </w: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欠税公告</w:t>
            </w:r>
          </w:p>
        </w:tc>
        <w:tc>
          <w:tcPr>
            <w:tcW w:w="398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企业或单位欠税的：公告企业或单位的名称、纳税人识别号、法定代表人或负责人姓名、居民身份证或其他有效身份证件号码（隐去出生年月日）、经营地点、欠税税种、欠税余额和当期新发生的欠税金额；</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个体工商户欠税的：公告业户名称、业主姓名、纳税人识别号、居民身份证或其他有效身份证件号码（隐去出生年月日）、经营地点、欠税税种、欠税余额和当期新发生的欠税金额；</w:t>
            </w:r>
            <w:r>
              <w:rPr>
                <w:rFonts w:hint="eastAsia" w:ascii="仿宋_GB2312" w:hAnsi="宋体" w:eastAsia="仿宋_GB2312"/>
                <w:color w:val="auto"/>
                <w:sz w:val="18"/>
                <w:szCs w:val="18"/>
                <w:highlight w:val="none"/>
              </w:rPr>
              <w:br w:type="textWrapping"/>
            </w:r>
            <w:r>
              <w:rPr>
                <w:rFonts w:hint="eastAsia" w:ascii="仿宋_GB2312" w:hAnsi="宋体" w:eastAsia="仿宋_GB2312"/>
                <w:color w:val="auto"/>
                <w:sz w:val="18"/>
                <w:szCs w:val="18"/>
                <w:highlight w:val="none"/>
              </w:rPr>
              <w:t>个人（不含个体工商户）欠税的：公告其姓名、居民身份证或其他有效身份证件号码（隐去出生年月日）、欠税税种、欠税余额和当期新发生的欠税金额对走逃、失踪的纳税户以及其他经税务机关查无下落的纳税人欠税的，由各省级和计划单列市税务局公告</w:t>
            </w:r>
          </w:p>
        </w:tc>
        <w:tc>
          <w:tcPr>
            <w:tcW w:w="2077"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《税收征收管理法》、《税收征收管理法实施细则》、《欠税公告办法（试行）》</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企业或单位欠税的，每季公告一次；个体工商户和其他个人欠税的，每半年公告一次；走逃、失踪的纳税户以及其他经税务机关查无下落的非正常户欠税的，随时公告</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15</w:t>
            </w: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个体工商户定额公示公告</w:t>
            </w:r>
          </w:p>
        </w:tc>
        <w:tc>
          <w:tcPr>
            <w:tcW w:w="398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纳税人名称、统一社会信息代码（纳税人识别号）、生产经营地址、定额项目、行业类别、核定定额、应纳税额、定额执行起止日期、主管税务机关</w:t>
            </w:r>
          </w:p>
        </w:tc>
        <w:tc>
          <w:tcPr>
            <w:tcW w:w="207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《关于印发个体工商户税收定期定额征收管理文书的通知》、《关于个体工商户定期定额征收管理有关问题的通知》</w:t>
            </w:r>
          </w:p>
        </w:tc>
        <w:tc>
          <w:tcPr>
            <w:tcW w:w="185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rPr>
                <w:rFonts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540"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16</w:t>
            </w:r>
          </w:p>
        </w:tc>
        <w:tc>
          <w:tcPr>
            <w:tcW w:w="900"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行政执法</w:t>
            </w:r>
          </w:p>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委托代征公告</w:t>
            </w:r>
          </w:p>
        </w:tc>
        <w:tc>
          <w:tcPr>
            <w:tcW w:w="398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税务机关和代征人的名称、联系电话,代征人为行政、事业、企业单位及其他社会组织的，应包括法定代表人或负责人姓名和地址；代征人为自然人的，应包括姓名、户口所在地、现居住地址；委托代征的范围和期限；委托代征的税种及附加、计税依据及税率税务机关确定的其他需要公告的事项</w:t>
            </w:r>
          </w:p>
        </w:tc>
        <w:tc>
          <w:tcPr>
            <w:tcW w:w="2077" w:type="dxa"/>
            <w:noWrap w:val="0"/>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《税收征收管理法》、《税收征收管理法实施细则》、《国家税务总局关于发布＜委托代征管理办法＞的公告》</w:t>
            </w:r>
          </w:p>
        </w:tc>
        <w:tc>
          <w:tcPr>
            <w:tcW w:w="1859" w:type="dxa"/>
            <w:noWrap w:val="0"/>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自该政府信息形成或者变更之日起20个工作日内及时公开</w:t>
            </w:r>
          </w:p>
        </w:tc>
        <w:tc>
          <w:tcPr>
            <w:tcW w:w="800" w:type="dxa"/>
            <w:noWrap w:val="0"/>
            <w:vAlign w:val="center"/>
          </w:tcPr>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lang w:eastAsia="zh-CN"/>
              </w:rPr>
              <w:t>双台子</w:t>
            </w:r>
            <w:r>
              <w:rPr>
                <w:rFonts w:hint="eastAsia" w:ascii="仿宋_GB2312" w:hAnsi="宋体" w:eastAsia="仿宋_GB2312"/>
                <w:color w:val="auto"/>
                <w:sz w:val="18"/>
                <w:szCs w:val="18"/>
                <w:highlight w:val="none"/>
              </w:rPr>
              <w:t>税务局</w:t>
            </w:r>
          </w:p>
        </w:tc>
        <w:tc>
          <w:tcPr>
            <w:tcW w:w="1271" w:type="dxa"/>
            <w:noWrap w:val="0"/>
            <w:vAlign w:val="center"/>
          </w:tcPr>
          <w:p>
            <w:pPr>
              <w:rPr>
                <w:rFonts w:hint="eastAsia" w:ascii="仿宋_GB2312" w:hAnsi="宋体" w:eastAsia="仿宋_GB2312"/>
                <w:color w:val="auto"/>
                <w:sz w:val="18"/>
                <w:szCs w:val="18"/>
                <w:highlight w:val="none"/>
              </w:rPr>
            </w:pPr>
            <w:r>
              <w:rPr>
                <w:rFonts w:hint="eastAsia" w:ascii="仿宋_GB2312" w:hAnsi="宋体" w:eastAsia="仿宋_GB2312"/>
                <w:color w:val="auto"/>
                <w:sz w:val="18"/>
                <w:szCs w:val="18"/>
                <w:highlight w:val="none"/>
              </w:rPr>
              <w:t xml:space="preserve">■ 政府网站  </w:t>
            </w:r>
          </w:p>
          <w:p>
            <w:pP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xml:space="preserve">■ 其他：办税服务厅                                                          </w:t>
            </w:r>
          </w:p>
        </w:tc>
        <w:tc>
          <w:tcPr>
            <w:tcW w:w="604"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4"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450"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810"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c>
          <w:tcPr>
            <w:tcW w:w="552"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w:t>
            </w:r>
          </w:p>
        </w:tc>
        <w:tc>
          <w:tcPr>
            <w:tcW w:w="609" w:type="dxa"/>
            <w:noWrap w:val="0"/>
            <w:vAlign w:val="center"/>
          </w:tcPr>
          <w:p>
            <w:pPr>
              <w:jc w:val="center"/>
              <w:rPr>
                <w:rFonts w:hint="eastAsia" w:ascii="仿宋_GB2312" w:hAnsi="宋体" w:eastAsia="仿宋_GB2312" w:cs="宋体"/>
                <w:color w:val="auto"/>
                <w:sz w:val="18"/>
                <w:szCs w:val="18"/>
                <w:highlight w:val="none"/>
              </w:rPr>
            </w:pPr>
            <w:r>
              <w:rPr>
                <w:rFonts w:hint="eastAsia" w:ascii="仿宋_GB2312" w:hAnsi="宋体" w:eastAsia="仿宋_GB2312"/>
                <w:color w:val="auto"/>
                <w:sz w:val="18"/>
                <w:szCs w:val="18"/>
                <w:highlight w:val="none"/>
              </w:rPr>
              <w:t>　</w:t>
            </w:r>
          </w:p>
        </w:tc>
      </w:tr>
    </w:tbl>
    <w:p>
      <w:pPr>
        <w:jc w:val="left"/>
        <w:rPr>
          <w:rFonts w:hint="default" w:ascii="黑体" w:hAnsi="方正小标宋_GBK" w:eastAsia="黑体"/>
          <w:color w:val="auto"/>
          <w:sz w:val="30"/>
          <w:szCs w:val="30"/>
          <w:highlight w:val="none"/>
          <w:lang w:val="en-US" w:eastAsia="zh-CN"/>
        </w:rPr>
      </w:pPr>
    </w:p>
    <w:sectPr>
      <w:footerReference r:id="rId8" w:type="default"/>
      <w:pgSz w:w="16838" w:h="11906" w:orient="landscape"/>
      <w:pgMar w:top="1180" w:right="1440" w:bottom="1266"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- 103 -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- 104 -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1">
    <w:nsid w:val="845B5372"/>
    <w:multiLevelType w:val="multilevel"/>
    <w:tmpl w:val="845B5372"/>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2">
    <w:nsid w:val="8461FADE"/>
    <w:multiLevelType w:val="multilevel"/>
    <w:tmpl w:val="8461FADE"/>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3">
    <w:nsid w:val="88AB554B"/>
    <w:multiLevelType w:val="singleLevel"/>
    <w:tmpl w:val="88AB554B"/>
    <w:lvl w:ilvl="0" w:tentative="0">
      <w:start w:val="1"/>
      <w:numFmt w:val="chineseCounting"/>
      <w:suff w:val="nothing"/>
      <w:lvlText w:val="（%1）"/>
      <w:lvlJc w:val="left"/>
      <w:rPr>
        <w:rFonts w:hint="eastAsia"/>
      </w:rPr>
    </w:lvl>
  </w:abstractNum>
  <w:abstractNum w:abstractNumId="4">
    <w:nsid w:val="8CAEB125"/>
    <w:multiLevelType w:val="multilevel"/>
    <w:tmpl w:val="8CAEB125"/>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5">
    <w:nsid w:val="91995D4F"/>
    <w:multiLevelType w:val="multilevel"/>
    <w:tmpl w:val="91995D4F"/>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6">
    <w:nsid w:val="9239341B"/>
    <w:multiLevelType w:val="multilevel"/>
    <w:tmpl w:val="9239341B"/>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7">
    <w:nsid w:val="9288B902"/>
    <w:multiLevelType w:val="multilevel"/>
    <w:tmpl w:val="9288B902"/>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8">
    <w:nsid w:val="9C8AC8EF"/>
    <w:multiLevelType w:val="multilevel"/>
    <w:tmpl w:val="9C8AC8EF"/>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9">
    <w:nsid w:val="B0F1ACD9"/>
    <w:multiLevelType w:val="multilevel"/>
    <w:tmpl w:val="B0F1ACD9"/>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10">
    <w:nsid w:val="B5E306ED"/>
    <w:multiLevelType w:val="multilevel"/>
    <w:tmpl w:val="B5E306ED"/>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11">
    <w:nsid w:val="B8CEF35B"/>
    <w:multiLevelType w:val="multilevel"/>
    <w:tmpl w:val="B8CEF35B"/>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12">
    <w:nsid w:val="BB64CFA9"/>
    <w:multiLevelType w:val="multilevel"/>
    <w:tmpl w:val="BB64CFA9"/>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13">
    <w:nsid w:val="BE923771"/>
    <w:multiLevelType w:val="multilevel"/>
    <w:tmpl w:val="BE923771"/>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14">
    <w:nsid w:val="BF205925"/>
    <w:multiLevelType w:val="multilevel"/>
    <w:tmpl w:val="BF205925"/>
    <w:lvl w:ilvl="0" w:tentative="0">
      <w:start w:val="0"/>
      <w:numFmt w:val="bullet"/>
      <w:lvlText w:val="●"/>
      <w:lvlJc w:val="left"/>
      <w:pPr>
        <w:ind w:left="4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21" w:hanging="181"/>
      </w:pPr>
      <w:rPr>
        <w:rFonts w:hint="default"/>
        <w:lang w:val="zh-CN" w:eastAsia="zh-CN" w:bidi="zh-CN"/>
      </w:rPr>
    </w:lvl>
    <w:lvl w:ilvl="2" w:tentative="0">
      <w:start w:val="0"/>
      <w:numFmt w:val="bullet"/>
      <w:lvlText w:val="•"/>
      <w:lvlJc w:val="left"/>
      <w:pPr>
        <w:ind w:left="402" w:hanging="181"/>
      </w:pPr>
      <w:rPr>
        <w:rFonts w:hint="default"/>
        <w:lang w:val="zh-CN" w:eastAsia="zh-CN" w:bidi="zh-CN"/>
      </w:rPr>
    </w:lvl>
    <w:lvl w:ilvl="3" w:tentative="0">
      <w:start w:val="0"/>
      <w:numFmt w:val="bullet"/>
      <w:lvlText w:val="•"/>
      <w:lvlJc w:val="left"/>
      <w:pPr>
        <w:ind w:left="584" w:hanging="181"/>
      </w:pPr>
      <w:rPr>
        <w:rFonts w:hint="default"/>
        <w:lang w:val="zh-CN" w:eastAsia="zh-CN" w:bidi="zh-CN"/>
      </w:rPr>
    </w:lvl>
    <w:lvl w:ilvl="4" w:tentative="0">
      <w:start w:val="0"/>
      <w:numFmt w:val="bullet"/>
      <w:lvlText w:val="•"/>
      <w:lvlJc w:val="left"/>
      <w:pPr>
        <w:ind w:left="765" w:hanging="181"/>
      </w:pPr>
      <w:rPr>
        <w:rFonts w:hint="default"/>
        <w:lang w:val="zh-CN" w:eastAsia="zh-CN" w:bidi="zh-CN"/>
      </w:rPr>
    </w:lvl>
    <w:lvl w:ilvl="5" w:tentative="0">
      <w:start w:val="0"/>
      <w:numFmt w:val="bullet"/>
      <w:lvlText w:val="•"/>
      <w:lvlJc w:val="left"/>
      <w:pPr>
        <w:ind w:left="947" w:hanging="181"/>
      </w:pPr>
      <w:rPr>
        <w:rFonts w:hint="default"/>
        <w:lang w:val="zh-CN" w:eastAsia="zh-CN" w:bidi="zh-CN"/>
      </w:rPr>
    </w:lvl>
    <w:lvl w:ilvl="6" w:tentative="0">
      <w:start w:val="0"/>
      <w:numFmt w:val="bullet"/>
      <w:lvlText w:val="•"/>
      <w:lvlJc w:val="left"/>
      <w:pPr>
        <w:ind w:left="1128" w:hanging="181"/>
      </w:pPr>
      <w:rPr>
        <w:rFonts w:hint="default"/>
        <w:lang w:val="zh-CN" w:eastAsia="zh-CN" w:bidi="zh-CN"/>
      </w:rPr>
    </w:lvl>
    <w:lvl w:ilvl="7" w:tentative="0">
      <w:start w:val="0"/>
      <w:numFmt w:val="bullet"/>
      <w:lvlText w:val="•"/>
      <w:lvlJc w:val="left"/>
      <w:pPr>
        <w:ind w:left="1309" w:hanging="181"/>
      </w:pPr>
      <w:rPr>
        <w:rFonts w:hint="default"/>
        <w:lang w:val="zh-CN" w:eastAsia="zh-CN" w:bidi="zh-CN"/>
      </w:rPr>
    </w:lvl>
    <w:lvl w:ilvl="8" w:tentative="0">
      <w:start w:val="0"/>
      <w:numFmt w:val="bullet"/>
      <w:lvlText w:val="•"/>
      <w:lvlJc w:val="left"/>
      <w:pPr>
        <w:ind w:left="1491" w:hanging="181"/>
      </w:pPr>
      <w:rPr>
        <w:rFonts w:hint="default"/>
        <w:lang w:val="zh-CN" w:eastAsia="zh-CN" w:bidi="zh-CN"/>
      </w:rPr>
    </w:lvl>
  </w:abstractNum>
  <w:abstractNum w:abstractNumId="15">
    <w:nsid w:val="C8879AEF"/>
    <w:multiLevelType w:val="multilevel"/>
    <w:tmpl w:val="C8879AEF"/>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16">
    <w:nsid w:val="CF092B84"/>
    <w:multiLevelType w:val="multilevel"/>
    <w:tmpl w:val="CF092B84"/>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17">
    <w:nsid w:val="D7F9FE59"/>
    <w:multiLevelType w:val="multilevel"/>
    <w:tmpl w:val="D7F9FE59"/>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18">
    <w:nsid w:val="DCBA6B53"/>
    <w:multiLevelType w:val="multilevel"/>
    <w:tmpl w:val="DCBA6B53"/>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19">
    <w:nsid w:val="E093A4B0"/>
    <w:multiLevelType w:val="multilevel"/>
    <w:tmpl w:val="E093A4B0"/>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20">
    <w:nsid w:val="F4B5D9F5"/>
    <w:multiLevelType w:val="multilevel"/>
    <w:tmpl w:val="F4B5D9F5"/>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21">
    <w:nsid w:val="F7735DC9"/>
    <w:multiLevelType w:val="multilevel"/>
    <w:tmpl w:val="F7735DC9"/>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22">
    <w:nsid w:val="0053208E"/>
    <w:multiLevelType w:val="multilevel"/>
    <w:tmpl w:val="0053208E"/>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23">
    <w:nsid w:val="0248C179"/>
    <w:multiLevelType w:val="multilevel"/>
    <w:tmpl w:val="0248C179"/>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24">
    <w:nsid w:val="03D62ECE"/>
    <w:multiLevelType w:val="multilevel"/>
    <w:tmpl w:val="03D62ECE"/>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25">
    <w:nsid w:val="0E640482"/>
    <w:multiLevelType w:val="multilevel"/>
    <w:tmpl w:val="0E640482"/>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26">
    <w:nsid w:val="13B96686"/>
    <w:multiLevelType w:val="multilevel"/>
    <w:tmpl w:val="13B966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1ACDE60F"/>
    <w:multiLevelType w:val="multilevel"/>
    <w:tmpl w:val="1ACDE60F"/>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28">
    <w:nsid w:val="1E642673"/>
    <w:multiLevelType w:val="multilevel"/>
    <w:tmpl w:val="1E6426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43FCF68"/>
    <w:multiLevelType w:val="multilevel"/>
    <w:tmpl w:val="243FCF68"/>
    <w:lvl w:ilvl="0" w:tentative="0">
      <w:start w:val="0"/>
      <w:numFmt w:val="bullet"/>
      <w:lvlText w:val="●"/>
      <w:lvlJc w:val="left"/>
      <w:pPr>
        <w:ind w:left="4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21" w:hanging="181"/>
      </w:pPr>
      <w:rPr>
        <w:rFonts w:hint="default"/>
        <w:lang w:val="zh-CN" w:eastAsia="zh-CN" w:bidi="zh-CN"/>
      </w:rPr>
    </w:lvl>
    <w:lvl w:ilvl="2" w:tentative="0">
      <w:start w:val="0"/>
      <w:numFmt w:val="bullet"/>
      <w:lvlText w:val="•"/>
      <w:lvlJc w:val="left"/>
      <w:pPr>
        <w:ind w:left="402" w:hanging="181"/>
      </w:pPr>
      <w:rPr>
        <w:rFonts w:hint="default"/>
        <w:lang w:val="zh-CN" w:eastAsia="zh-CN" w:bidi="zh-CN"/>
      </w:rPr>
    </w:lvl>
    <w:lvl w:ilvl="3" w:tentative="0">
      <w:start w:val="0"/>
      <w:numFmt w:val="bullet"/>
      <w:lvlText w:val="•"/>
      <w:lvlJc w:val="left"/>
      <w:pPr>
        <w:ind w:left="584" w:hanging="181"/>
      </w:pPr>
      <w:rPr>
        <w:rFonts w:hint="default"/>
        <w:lang w:val="zh-CN" w:eastAsia="zh-CN" w:bidi="zh-CN"/>
      </w:rPr>
    </w:lvl>
    <w:lvl w:ilvl="4" w:tentative="0">
      <w:start w:val="0"/>
      <w:numFmt w:val="bullet"/>
      <w:lvlText w:val="•"/>
      <w:lvlJc w:val="left"/>
      <w:pPr>
        <w:ind w:left="765" w:hanging="181"/>
      </w:pPr>
      <w:rPr>
        <w:rFonts w:hint="default"/>
        <w:lang w:val="zh-CN" w:eastAsia="zh-CN" w:bidi="zh-CN"/>
      </w:rPr>
    </w:lvl>
    <w:lvl w:ilvl="5" w:tentative="0">
      <w:start w:val="0"/>
      <w:numFmt w:val="bullet"/>
      <w:lvlText w:val="•"/>
      <w:lvlJc w:val="left"/>
      <w:pPr>
        <w:ind w:left="947" w:hanging="181"/>
      </w:pPr>
      <w:rPr>
        <w:rFonts w:hint="default"/>
        <w:lang w:val="zh-CN" w:eastAsia="zh-CN" w:bidi="zh-CN"/>
      </w:rPr>
    </w:lvl>
    <w:lvl w:ilvl="6" w:tentative="0">
      <w:start w:val="0"/>
      <w:numFmt w:val="bullet"/>
      <w:lvlText w:val="•"/>
      <w:lvlJc w:val="left"/>
      <w:pPr>
        <w:ind w:left="1128" w:hanging="181"/>
      </w:pPr>
      <w:rPr>
        <w:rFonts w:hint="default"/>
        <w:lang w:val="zh-CN" w:eastAsia="zh-CN" w:bidi="zh-CN"/>
      </w:rPr>
    </w:lvl>
    <w:lvl w:ilvl="7" w:tentative="0">
      <w:start w:val="0"/>
      <w:numFmt w:val="bullet"/>
      <w:lvlText w:val="•"/>
      <w:lvlJc w:val="left"/>
      <w:pPr>
        <w:ind w:left="1309" w:hanging="181"/>
      </w:pPr>
      <w:rPr>
        <w:rFonts w:hint="default"/>
        <w:lang w:val="zh-CN" w:eastAsia="zh-CN" w:bidi="zh-CN"/>
      </w:rPr>
    </w:lvl>
    <w:lvl w:ilvl="8" w:tentative="0">
      <w:start w:val="0"/>
      <w:numFmt w:val="bullet"/>
      <w:lvlText w:val="•"/>
      <w:lvlJc w:val="left"/>
      <w:pPr>
        <w:ind w:left="1491" w:hanging="181"/>
      </w:pPr>
      <w:rPr>
        <w:rFonts w:hint="default"/>
        <w:lang w:val="zh-CN" w:eastAsia="zh-CN" w:bidi="zh-CN"/>
      </w:rPr>
    </w:lvl>
  </w:abstractNum>
  <w:abstractNum w:abstractNumId="30">
    <w:nsid w:val="2470EC97"/>
    <w:multiLevelType w:val="multilevel"/>
    <w:tmpl w:val="2470EC97"/>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31">
    <w:nsid w:val="25B654F3"/>
    <w:multiLevelType w:val="multilevel"/>
    <w:tmpl w:val="25B654F3"/>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32">
    <w:nsid w:val="2A8F537B"/>
    <w:multiLevelType w:val="multilevel"/>
    <w:tmpl w:val="2A8F537B"/>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33">
    <w:nsid w:val="30FC5B15"/>
    <w:multiLevelType w:val="multilevel"/>
    <w:tmpl w:val="30FC5B15"/>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34">
    <w:nsid w:val="322D85CA"/>
    <w:multiLevelType w:val="multilevel"/>
    <w:tmpl w:val="322D85CA"/>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35">
    <w:nsid w:val="39A0D9AC"/>
    <w:multiLevelType w:val="multilevel"/>
    <w:tmpl w:val="39A0D9AC"/>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36">
    <w:nsid w:val="46A08BB8"/>
    <w:multiLevelType w:val="multilevel"/>
    <w:tmpl w:val="46A08BB8"/>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37">
    <w:nsid w:val="4C1BAE26"/>
    <w:multiLevelType w:val="multilevel"/>
    <w:tmpl w:val="4C1BAE26"/>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38">
    <w:nsid w:val="4C3D7A74"/>
    <w:multiLevelType w:val="multilevel"/>
    <w:tmpl w:val="4C3D7A74"/>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39">
    <w:nsid w:val="4D4DC07F"/>
    <w:multiLevelType w:val="multilevel"/>
    <w:tmpl w:val="4D4DC07F"/>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40">
    <w:nsid w:val="4D94DA66"/>
    <w:multiLevelType w:val="multilevel"/>
    <w:tmpl w:val="4D94DA66"/>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41">
    <w:nsid w:val="58765686"/>
    <w:multiLevelType w:val="multilevel"/>
    <w:tmpl w:val="58765686"/>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42">
    <w:nsid w:val="59ADCABA"/>
    <w:multiLevelType w:val="multilevel"/>
    <w:tmpl w:val="59ADCABA"/>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43">
    <w:nsid w:val="5A241D34"/>
    <w:multiLevelType w:val="multilevel"/>
    <w:tmpl w:val="5A241D34"/>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44">
    <w:nsid w:val="5E29AB5A"/>
    <w:multiLevelType w:val="multilevel"/>
    <w:tmpl w:val="5E29AB5A"/>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45">
    <w:nsid w:val="5FFFB1A7"/>
    <w:multiLevelType w:val="multilevel"/>
    <w:tmpl w:val="5FFFB1A7"/>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46">
    <w:nsid w:val="60382F6E"/>
    <w:multiLevelType w:val="multilevel"/>
    <w:tmpl w:val="60382F6E"/>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15" w:hanging="181"/>
      </w:pPr>
      <w:rPr>
        <w:rFonts w:hint="default"/>
        <w:lang w:val="zh-CN" w:eastAsia="zh-CN" w:bidi="zh-CN"/>
      </w:rPr>
    </w:lvl>
    <w:lvl w:ilvl="2" w:tentative="0">
      <w:start w:val="0"/>
      <w:numFmt w:val="bullet"/>
      <w:lvlText w:val="•"/>
      <w:lvlJc w:val="left"/>
      <w:pPr>
        <w:ind w:left="810" w:hanging="181"/>
      </w:pPr>
      <w:rPr>
        <w:rFonts w:hint="default"/>
        <w:lang w:val="zh-CN" w:eastAsia="zh-CN" w:bidi="zh-CN"/>
      </w:rPr>
    </w:lvl>
    <w:lvl w:ilvl="3" w:tentative="0">
      <w:start w:val="0"/>
      <w:numFmt w:val="bullet"/>
      <w:lvlText w:val="•"/>
      <w:lvlJc w:val="left"/>
      <w:pPr>
        <w:ind w:left="1106" w:hanging="181"/>
      </w:pPr>
      <w:rPr>
        <w:rFonts w:hint="default"/>
        <w:lang w:val="zh-CN" w:eastAsia="zh-CN" w:bidi="zh-CN"/>
      </w:rPr>
    </w:lvl>
    <w:lvl w:ilvl="4" w:tentative="0">
      <w:start w:val="0"/>
      <w:numFmt w:val="bullet"/>
      <w:lvlText w:val="•"/>
      <w:lvlJc w:val="left"/>
      <w:pPr>
        <w:ind w:left="1401" w:hanging="181"/>
      </w:pPr>
      <w:rPr>
        <w:rFonts w:hint="default"/>
        <w:lang w:val="zh-CN" w:eastAsia="zh-CN" w:bidi="zh-CN"/>
      </w:rPr>
    </w:lvl>
    <w:lvl w:ilvl="5" w:tentative="0">
      <w:start w:val="0"/>
      <w:numFmt w:val="bullet"/>
      <w:lvlText w:val="•"/>
      <w:lvlJc w:val="left"/>
      <w:pPr>
        <w:ind w:left="1697"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287" w:hanging="181"/>
      </w:pPr>
      <w:rPr>
        <w:rFonts w:hint="default"/>
        <w:lang w:val="zh-CN" w:eastAsia="zh-CN" w:bidi="zh-CN"/>
      </w:rPr>
    </w:lvl>
    <w:lvl w:ilvl="8" w:tentative="0">
      <w:start w:val="0"/>
      <w:numFmt w:val="bullet"/>
      <w:lvlText w:val="•"/>
      <w:lvlJc w:val="left"/>
      <w:pPr>
        <w:ind w:left="2583" w:hanging="181"/>
      </w:pPr>
      <w:rPr>
        <w:rFonts w:hint="default"/>
        <w:lang w:val="zh-CN" w:eastAsia="zh-CN" w:bidi="zh-CN"/>
      </w:rPr>
    </w:lvl>
  </w:abstractNum>
  <w:abstractNum w:abstractNumId="47">
    <w:nsid w:val="629F7852"/>
    <w:multiLevelType w:val="multilevel"/>
    <w:tmpl w:val="629F7852"/>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48">
    <w:nsid w:val="65CD0074"/>
    <w:multiLevelType w:val="multilevel"/>
    <w:tmpl w:val="65CD0074"/>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49">
    <w:nsid w:val="72183CF9"/>
    <w:multiLevelType w:val="multilevel"/>
    <w:tmpl w:val="72183CF9"/>
    <w:lvl w:ilvl="0" w:tentative="0">
      <w:start w:val="0"/>
      <w:numFmt w:val="bullet"/>
      <w:lvlText w:val="●"/>
      <w:lvlJc w:val="left"/>
      <w:pPr>
        <w:ind w:left="222"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50">
    <w:nsid w:val="74C28B35"/>
    <w:multiLevelType w:val="multilevel"/>
    <w:tmpl w:val="74C28B35"/>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51">
    <w:nsid w:val="77E42A3F"/>
    <w:multiLevelType w:val="multilevel"/>
    <w:tmpl w:val="77E42A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7ECEA79"/>
    <w:multiLevelType w:val="multilevel"/>
    <w:tmpl w:val="77ECEA79"/>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53">
    <w:nsid w:val="79AA4FA4"/>
    <w:multiLevelType w:val="multilevel"/>
    <w:tmpl w:val="79AA4FA4"/>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54">
    <w:nsid w:val="7C246926"/>
    <w:multiLevelType w:val="multilevel"/>
    <w:tmpl w:val="7C246926"/>
    <w:lvl w:ilvl="0" w:tentative="0">
      <w:start w:val="0"/>
      <w:numFmt w:val="bullet"/>
      <w:lvlText w:val="●"/>
      <w:lvlJc w:val="left"/>
      <w:pPr>
        <w:ind w:left="221"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abstractNum w:abstractNumId="55">
    <w:nsid w:val="7DEC2089"/>
    <w:multiLevelType w:val="multilevel"/>
    <w:tmpl w:val="7DEC2089"/>
    <w:lvl w:ilvl="0" w:tentative="0">
      <w:start w:val="0"/>
      <w:numFmt w:val="bullet"/>
      <w:lvlText w:val="●"/>
      <w:lvlJc w:val="left"/>
      <w:pPr>
        <w:ind w:left="221"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83" w:hanging="181"/>
      </w:pPr>
      <w:rPr>
        <w:rFonts w:hint="default"/>
        <w:lang w:val="zh-CN" w:eastAsia="zh-CN" w:bidi="zh-CN"/>
      </w:rPr>
    </w:lvl>
    <w:lvl w:ilvl="2" w:tentative="0">
      <w:start w:val="0"/>
      <w:numFmt w:val="bullet"/>
      <w:lvlText w:val="•"/>
      <w:lvlJc w:val="left"/>
      <w:pPr>
        <w:ind w:left="546" w:hanging="181"/>
      </w:pPr>
      <w:rPr>
        <w:rFonts w:hint="default"/>
        <w:lang w:val="zh-CN" w:eastAsia="zh-CN" w:bidi="zh-CN"/>
      </w:rPr>
    </w:lvl>
    <w:lvl w:ilvl="3" w:tentative="0">
      <w:start w:val="0"/>
      <w:numFmt w:val="bullet"/>
      <w:lvlText w:val="•"/>
      <w:lvlJc w:val="left"/>
      <w:pPr>
        <w:ind w:left="710" w:hanging="181"/>
      </w:pPr>
      <w:rPr>
        <w:rFonts w:hint="default"/>
        <w:lang w:val="zh-CN" w:eastAsia="zh-CN" w:bidi="zh-CN"/>
      </w:rPr>
    </w:lvl>
    <w:lvl w:ilvl="4" w:tentative="0">
      <w:start w:val="0"/>
      <w:numFmt w:val="bullet"/>
      <w:lvlText w:val="•"/>
      <w:lvlJc w:val="left"/>
      <w:pPr>
        <w:ind w:left="873" w:hanging="181"/>
      </w:pPr>
      <w:rPr>
        <w:rFonts w:hint="default"/>
        <w:lang w:val="zh-CN" w:eastAsia="zh-CN" w:bidi="zh-CN"/>
      </w:rPr>
    </w:lvl>
    <w:lvl w:ilvl="5" w:tentative="0">
      <w:start w:val="0"/>
      <w:numFmt w:val="bullet"/>
      <w:lvlText w:val="•"/>
      <w:lvlJc w:val="left"/>
      <w:pPr>
        <w:ind w:left="1037" w:hanging="181"/>
      </w:pPr>
      <w:rPr>
        <w:rFonts w:hint="default"/>
        <w:lang w:val="zh-CN" w:eastAsia="zh-CN" w:bidi="zh-CN"/>
      </w:rPr>
    </w:lvl>
    <w:lvl w:ilvl="6" w:tentative="0">
      <w:start w:val="0"/>
      <w:numFmt w:val="bullet"/>
      <w:lvlText w:val="•"/>
      <w:lvlJc w:val="left"/>
      <w:pPr>
        <w:ind w:left="1200" w:hanging="181"/>
      </w:pPr>
      <w:rPr>
        <w:rFonts w:hint="default"/>
        <w:lang w:val="zh-CN" w:eastAsia="zh-CN" w:bidi="zh-CN"/>
      </w:rPr>
    </w:lvl>
    <w:lvl w:ilvl="7" w:tentative="0">
      <w:start w:val="0"/>
      <w:numFmt w:val="bullet"/>
      <w:lvlText w:val="•"/>
      <w:lvlJc w:val="left"/>
      <w:pPr>
        <w:ind w:left="1363" w:hanging="181"/>
      </w:pPr>
      <w:rPr>
        <w:rFonts w:hint="default"/>
        <w:lang w:val="zh-CN" w:eastAsia="zh-CN" w:bidi="zh-CN"/>
      </w:rPr>
    </w:lvl>
    <w:lvl w:ilvl="8" w:tentative="0">
      <w:start w:val="0"/>
      <w:numFmt w:val="bullet"/>
      <w:lvlText w:val="•"/>
      <w:lvlJc w:val="left"/>
      <w:pPr>
        <w:ind w:left="1527" w:hanging="181"/>
      </w:pPr>
      <w:rPr>
        <w:rFonts w:hint="default"/>
        <w:lang w:val="zh-CN" w:eastAsia="zh-CN" w:bidi="zh-CN"/>
      </w:rPr>
    </w:lvl>
  </w:abstractNum>
  <w:num w:numId="1">
    <w:abstractNumId w:val="22"/>
  </w:num>
  <w:num w:numId="2">
    <w:abstractNumId w:val="16"/>
  </w:num>
  <w:num w:numId="3">
    <w:abstractNumId w:val="42"/>
  </w:num>
  <w:num w:numId="4">
    <w:abstractNumId w:val="14"/>
  </w:num>
  <w:num w:numId="5">
    <w:abstractNumId w:val="10"/>
  </w:num>
  <w:num w:numId="6">
    <w:abstractNumId w:val="24"/>
  </w:num>
  <w:num w:numId="7">
    <w:abstractNumId w:val="31"/>
  </w:num>
  <w:num w:numId="8">
    <w:abstractNumId w:val="49"/>
  </w:num>
  <w:num w:numId="9">
    <w:abstractNumId w:val="23"/>
  </w:num>
  <w:num w:numId="10">
    <w:abstractNumId w:val="6"/>
  </w:num>
  <w:num w:numId="11">
    <w:abstractNumId w:val="32"/>
  </w:num>
  <w:num w:numId="12">
    <w:abstractNumId w:val="43"/>
  </w:num>
  <w:num w:numId="13">
    <w:abstractNumId w:val="15"/>
  </w:num>
  <w:num w:numId="14">
    <w:abstractNumId w:val="39"/>
  </w:num>
  <w:num w:numId="15">
    <w:abstractNumId w:val="20"/>
  </w:num>
  <w:num w:numId="16">
    <w:abstractNumId w:val="30"/>
  </w:num>
  <w:num w:numId="17">
    <w:abstractNumId w:val="18"/>
  </w:num>
  <w:num w:numId="18">
    <w:abstractNumId w:val="17"/>
  </w:num>
  <w:num w:numId="19">
    <w:abstractNumId w:val="8"/>
  </w:num>
  <w:num w:numId="20">
    <w:abstractNumId w:val="37"/>
  </w:num>
  <w:num w:numId="21">
    <w:abstractNumId w:val="46"/>
  </w:num>
  <w:num w:numId="22">
    <w:abstractNumId w:val="25"/>
  </w:num>
  <w:num w:numId="23">
    <w:abstractNumId w:val="36"/>
  </w:num>
  <w:num w:numId="24">
    <w:abstractNumId w:val="9"/>
  </w:num>
  <w:num w:numId="25">
    <w:abstractNumId w:val="54"/>
  </w:num>
  <w:num w:numId="26">
    <w:abstractNumId w:val="52"/>
  </w:num>
  <w:num w:numId="27">
    <w:abstractNumId w:val="13"/>
  </w:num>
  <w:num w:numId="28">
    <w:abstractNumId w:val="47"/>
  </w:num>
  <w:num w:numId="29">
    <w:abstractNumId w:val="7"/>
  </w:num>
  <w:num w:numId="30">
    <w:abstractNumId w:val="35"/>
  </w:num>
  <w:num w:numId="31">
    <w:abstractNumId w:val="2"/>
  </w:num>
  <w:num w:numId="32">
    <w:abstractNumId w:val="41"/>
  </w:num>
  <w:num w:numId="33">
    <w:abstractNumId w:val="55"/>
  </w:num>
  <w:num w:numId="34">
    <w:abstractNumId w:val="0"/>
  </w:num>
  <w:num w:numId="35">
    <w:abstractNumId w:val="29"/>
  </w:num>
  <w:num w:numId="36">
    <w:abstractNumId w:val="40"/>
  </w:num>
  <w:num w:numId="37">
    <w:abstractNumId w:val="21"/>
  </w:num>
  <w:num w:numId="38">
    <w:abstractNumId w:val="19"/>
  </w:num>
  <w:num w:numId="39">
    <w:abstractNumId w:val="33"/>
  </w:num>
  <w:num w:numId="40">
    <w:abstractNumId w:val="53"/>
  </w:num>
  <w:num w:numId="41">
    <w:abstractNumId w:val="12"/>
  </w:num>
  <w:num w:numId="42">
    <w:abstractNumId w:val="5"/>
  </w:num>
  <w:num w:numId="43">
    <w:abstractNumId w:val="11"/>
  </w:num>
  <w:num w:numId="44">
    <w:abstractNumId w:val="44"/>
  </w:num>
  <w:num w:numId="45">
    <w:abstractNumId w:val="1"/>
  </w:num>
  <w:num w:numId="46">
    <w:abstractNumId w:val="27"/>
  </w:num>
  <w:num w:numId="47">
    <w:abstractNumId w:val="4"/>
  </w:num>
  <w:num w:numId="48">
    <w:abstractNumId w:val="45"/>
  </w:num>
  <w:num w:numId="49">
    <w:abstractNumId w:val="50"/>
  </w:num>
  <w:num w:numId="50">
    <w:abstractNumId w:val="38"/>
  </w:num>
  <w:num w:numId="51">
    <w:abstractNumId w:val="34"/>
  </w:num>
  <w:num w:numId="52">
    <w:abstractNumId w:val="48"/>
  </w:num>
  <w:num w:numId="53">
    <w:abstractNumId w:val="51"/>
  </w:num>
  <w:num w:numId="54">
    <w:abstractNumId w:val="26"/>
  </w:num>
  <w:num w:numId="55">
    <w:abstractNumId w:val="28"/>
  </w:num>
  <w:num w:numId="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2F"/>
    <w:rsid w:val="002D1A2F"/>
    <w:rsid w:val="00C972BA"/>
    <w:rsid w:val="018B5301"/>
    <w:rsid w:val="0374205A"/>
    <w:rsid w:val="049E411D"/>
    <w:rsid w:val="04AF5E8E"/>
    <w:rsid w:val="057B6D79"/>
    <w:rsid w:val="09C03AA4"/>
    <w:rsid w:val="09EA0192"/>
    <w:rsid w:val="0C497630"/>
    <w:rsid w:val="0F4C0809"/>
    <w:rsid w:val="145445BF"/>
    <w:rsid w:val="16C10DDD"/>
    <w:rsid w:val="16D60407"/>
    <w:rsid w:val="17824BFF"/>
    <w:rsid w:val="1AAD6799"/>
    <w:rsid w:val="1D2569E8"/>
    <w:rsid w:val="1D4948C1"/>
    <w:rsid w:val="1FD723B4"/>
    <w:rsid w:val="202F78BA"/>
    <w:rsid w:val="21050794"/>
    <w:rsid w:val="21CF249E"/>
    <w:rsid w:val="22A112F1"/>
    <w:rsid w:val="23B8670E"/>
    <w:rsid w:val="24C60074"/>
    <w:rsid w:val="27072AF5"/>
    <w:rsid w:val="28457F45"/>
    <w:rsid w:val="28A00913"/>
    <w:rsid w:val="28CB39F6"/>
    <w:rsid w:val="297F44E5"/>
    <w:rsid w:val="2B6D671E"/>
    <w:rsid w:val="2F1C47EA"/>
    <w:rsid w:val="32A73E7B"/>
    <w:rsid w:val="33D11F7E"/>
    <w:rsid w:val="340E5258"/>
    <w:rsid w:val="39446CF6"/>
    <w:rsid w:val="394F5333"/>
    <w:rsid w:val="3A3121A4"/>
    <w:rsid w:val="3AE36032"/>
    <w:rsid w:val="3B7F5B65"/>
    <w:rsid w:val="3DEC24E4"/>
    <w:rsid w:val="3F4B5B29"/>
    <w:rsid w:val="3FAB7CA4"/>
    <w:rsid w:val="4227492B"/>
    <w:rsid w:val="443D71D2"/>
    <w:rsid w:val="45F36ED6"/>
    <w:rsid w:val="4A016CA9"/>
    <w:rsid w:val="4B4B3936"/>
    <w:rsid w:val="4CCA7BAD"/>
    <w:rsid w:val="4DBE132E"/>
    <w:rsid w:val="4E2E4207"/>
    <w:rsid w:val="4F7A1C2F"/>
    <w:rsid w:val="4FE11EAA"/>
    <w:rsid w:val="51BA6A3A"/>
    <w:rsid w:val="55F11618"/>
    <w:rsid w:val="5953565F"/>
    <w:rsid w:val="5A056DDF"/>
    <w:rsid w:val="5BF841A5"/>
    <w:rsid w:val="6448499B"/>
    <w:rsid w:val="654048A2"/>
    <w:rsid w:val="661736B6"/>
    <w:rsid w:val="665A0BB4"/>
    <w:rsid w:val="6C297E1A"/>
    <w:rsid w:val="6DC8179F"/>
    <w:rsid w:val="6E01041C"/>
    <w:rsid w:val="70352539"/>
    <w:rsid w:val="70A66BF9"/>
    <w:rsid w:val="70CB6322"/>
    <w:rsid w:val="71CB46F7"/>
    <w:rsid w:val="744057C3"/>
    <w:rsid w:val="77832AB8"/>
    <w:rsid w:val="780949CA"/>
    <w:rsid w:val="7862786A"/>
    <w:rsid w:val="799409EA"/>
    <w:rsid w:val="79FB3D47"/>
    <w:rsid w:val="7CE21BD3"/>
    <w:rsid w:val="7E1B2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0"/>
    </w:pPr>
    <w:rPr>
      <w:rFonts w:ascii="黑体" w:hAnsi="黑体" w:eastAsia="黑体" w:cs="黑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14760"/>
      </w:tabs>
      <w:spacing w:line="700" w:lineRule="exact"/>
      <w:ind w:left="359" w:leftChars="171" w:right="332" w:rightChars="158"/>
    </w:pPr>
  </w:style>
  <w:style w:type="character" w:styleId="9">
    <w:name w:val="page number"/>
    <w:basedOn w:val="8"/>
    <w:qFormat/>
    <w:uiPriority w:val="0"/>
  </w:style>
  <w:style w:type="character" w:styleId="10">
    <w:name w:val="FollowedHyperlink"/>
    <w:basedOn w:val="8"/>
    <w:semiHidden/>
    <w:unhideWhenUsed/>
    <w:qFormat/>
    <w:uiPriority w:val="99"/>
    <w:rPr>
      <w:color w:val="800080"/>
      <w:u w:val="single"/>
    </w:rPr>
  </w:style>
  <w:style w:type="character" w:styleId="11">
    <w:name w:val="Hyperlink"/>
    <w:basedOn w:val="8"/>
    <w:qFormat/>
    <w:uiPriority w:val="0"/>
    <w:rPr>
      <w:color w:val="0000FF"/>
      <w:u w:val="single"/>
    </w:rPr>
  </w:style>
  <w:style w:type="character" w:customStyle="1" w:styleId="12">
    <w:name w:val="font21"/>
    <w:basedOn w:val="8"/>
    <w:qFormat/>
    <w:uiPriority w:val="0"/>
    <w:rPr>
      <w:rFonts w:hint="eastAsia" w:ascii="仿宋_GB2312" w:eastAsia="仿宋_GB2312" w:cs="仿宋_GB2312"/>
      <w:color w:val="000000"/>
      <w:sz w:val="18"/>
      <w:szCs w:val="18"/>
      <w:u w:val="none"/>
    </w:rPr>
  </w:style>
  <w:style w:type="character" w:customStyle="1" w:styleId="13">
    <w:name w:val="font71"/>
    <w:basedOn w:val="8"/>
    <w:qFormat/>
    <w:uiPriority w:val="0"/>
    <w:rPr>
      <w:rFonts w:hint="eastAsia" w:ascii="宋体" w:hAnsi="宋体" w:eastAsia="宋体" w:cs="宋体"/>
      <w:color w:val="000000"/>
      <w:sz w:val="18"/>
      <w:szCs w:val="18"/>
      <w:u w:val="none"/>
    </w:rPr>
  </w:style>
  <w:style w:type="character" w:customStyle="1" w:styleId="14">
    <w:name w:val="font101"/>
    <w:basedOn w:val="8"/>
    <w:qFormat/>
    <w:uiPriority w:val="0"/>
    <w:rPr>
      <w:rFonts w:hint="eastAsia" w:ascii="宋体" w:hAnsi="宋体" w:eastAsia="宋体" w:cs="宋体"/>
      <w:color w:val="000000"/>
      <w:sz w:val="18"/>
      <w:szCs w:val="18"/>
      <w:u w:val="none"/>
    </w:rPr>
  </w:style>
  <w:style w:type="character" w:customStyle="1" w:styleId="15">
    <w:name w:val="font01"/>
    <w:basedOn w:val="8"/>
    <w:qFormat/>
    <w:uiPriority w:val="0"/>
    <w:rPr>
      <w:rFonts w:hint="eastAsia" w:ascii="仿宋_GB2312" w:eastAsia="仿宋_GB2312" w:cs="仿宋_GB2312"/>
      <w:color w:val="000000"/>
      <w:sz w:val="18"/>
      <w:szCs w:val="18"/>
      <w:u w:val="none"/>
    </w:rPr>
  </w:style>
  <w:style w:type="character" w:customStyle="1" w:styleId="16">
    <w:name w:val="font31"/>
    <w:basedOn w:val="8"/>
    <w:qFormat/>
    <w:uiPriority w:val="0"/>
    <w:rPr>
      <w:rFonts w:hint="eastAsia" w:ascii="宋体" w:hAnsi="宋体" w:eastAsia="宋体" w:cs="宋体"/>
      <w:color w:val="000000"/>
      <w:sz w:val="18"/>
      <w:szCs w:val="18"/>
      <w:u w:val="none"/>
    </w:rPr>
  </w:style>
  <w:style w:type="character" w:customStyle="1" w:styleId="17">
    <w:name w:val="font81"/>
    <w:basedOn w:val="8"/>
    <w:qFormat/>
    <w:uiPriority w:val="0"/>
    <w:rPr>
      <w:rFonts w:hint="eastAsia" w:ascii="仿宋_GB2312" w:eastAsia="仿宋_GB2312" w:cs="仿宋_GB2312"/>
      <w:color w:val="000000"/>
      <w:sz w:val="18"/>
      <w:szCs w:val="18"/>
      <w:u w:val="none"/>
    </w:rPr>
  </w:style>
  <w:style w:type="character" w:customStyle="1" w:styleId="18">
    <w:name w:val="font51"/>
    <w:basedOn w:val="8"/>
    <w:qFormat/>
    <w:uiPriority w:val="0"/>
    <w:rPr>
      <w:rFonts w:hint="eastAsia" w:ascii="宋体" w:hAnsi="宋体" w:eastAsia="宋体" w:cs="宋体"/>
      <w:color w:val="000000"/>
      <w:sz w:val="18"/>
      <w:szCs w:val="18"/>
      <w:u w:val="none"/>
    </w:rPr>
  </w:style>
  <w:style w:type="character" w:customStyle="1" w:styleId="19">
    <w:name w:val="font91"/>
    <w:basedOn w:val="8"/>
    <w:qFormat/>
    <w:uiPriority w:val="0"/>
    <w:rPr>
      <w:rFonts w:hint="eastAsia" w:ascii="宋体" w:hAnsi="宋体" w:eastAsia="宋体" w:cs="宋体"/>
      <w:color w:val="000000"/>
      <w:sz w:val="18"/>
      <w:szCs w:val="18"/>
      <w:u w:val="none"/>
    </w:rPr>
  </w:style>
  <w:style w:type="paragraph" w:styleId="20">
    <w:name w:val="List Paragraph"/>
    <w:basedOn w:val="1"/>
    <w:qFormat/>
    <w:uiPriority w:val="0"/>
    <w:pPr>
      <w:ind w:firstLine="420" w:firstLineChars="200"/>
    </w:pPr>
    <w:rPr>
      <w:rFonts w:ascii="等线" w:hAnsi="等线" w:eastAsia="等线"/>
    </w:rPr>
  </w:style>
  <w:style w:type="paragraph" w:customStyle="1" w:styleId="21">
    <w:name w:val="Table Paragraph"/>
    <w:basedOn w:val="1"/>
    <w:qFormat/>
    <w:uiPriority w:val="1"/>
    <w:rPr>
      <w:rFonts w:ascii="宋体" w:hAnsi="宋体" w:eastAsia="宋体" w:cs="宋体"/>
      <w:lang w:val="zh-CN" w:eastAsia="zh-CN" w:bidi="zh-CN"/>
    </w:rPr>
  </w:style>
  <w:style w:type="character" w:customStyle="1" w:styleId="22">
    <w:name w:val="font11"/>
    <w:basedOn w:val="8"/>
    <w:qFormat/>
    <w:uiPriority w:val="0"/>
    <w:rPr>
      <w:rFonts w:hint="eastAsia" w:ascii="Microsoft JhengHei" w:hAnsi="Microsoft JhengHei" w:eastAsia="Microsoft JhengHei" w:cs="Microsoft JhengHei"/>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Words>
  <Characters>151</Characters>
  <Lines>1</Lines>
  <Paragraphs>1</Paragraphs>
  <TotalTime>5</TotalTime>
  <ScaleCrop>false</ScaleCrop>
  <LinksUpToDate>false</LinksUpToDate>
  <CharactersWithSpaces>176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2020-09-11T04:53:00Z</dcterms:created>
  <dc:creator>苍 南</dc:creator>
  <cp:lastModifiedBy>国梁</cp:lastModifiedBy>
  <cp:lastPrinted>2021-01-22T02:18:00Z</cp:lastPrinted>
  <dcterms:modified xsi:type="dcterms:W3CDTF">2021-04-09T02:00:52Z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440959377_btnclosed</vt:lpwstr>
  </property>
  <property fmtid="{D5CDD505-2E9C-101B-9397-08002B2CF9AE}" pid="4" name="ICV">
    <vt:lpwstr>7901897B5CC74BB2AFCF6FC58EDCDCC9</vt:lpwstr>
  </property>
</Properties>
</file>