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84" w:rsidRDefault="00245D84" w:rsidP="00245D84">
      <w:pPr>
        <w:rPr>
          <w:rFonts w:ascii="仿宋_GB2312" w:eastAsia="仿宋_GB2312"/>
          <w:sz w:val="32"/>
          <w:szCs w:val="32"/>
        </w:rPr>
      </w:pPr>
      <w:r>
        <w:rPr>
          <w:rFonts w:ascii="黑体" w:eastAsia="黑体" w:hAnsi="宋体" w:cs="黑体" w:hint="eastAsia"/>
          <w:color w:val="000000"/>
          <w:kern w:val="0"/>
          <w:sz w:val="32"/>
          <w:szCs w:val="32"/>
        </w:rPr>
        <w:t>附件</w:t>
      </w:r>
    </w:p>
    <w:p w:rsidR="00245D84" w:rsidRDefault="00245D84" w:rsidP="00245D84">
      <w:pPr>
        <w:rPr>
          <w:rFonts w:ascii="仿宋_GB2312" w:eastAsia="仿宋_GB2312"/>
          <w:sz w:val="32"/>
          <w:szCs w:val="32"/>
        </w:rPr>
      </w:pPr>
    </w:p>
    <w:tbl>
      <w:tblPr>
        <w:tblW w:w="10360" w:type="dxa"/>
        <w:jc w:val="center"/>
        <w:tblLayout w:type="fixed"/>
        <w:tblCellMar>
          <w:left w:w="0" w:type="dxa"/>
          <w:right w:w="0" w:type="dxa"/>
        </w:tblCellMar>
        <w:tblLook w:val="04A0"/>
      </w:tblPr>
      <w:tblGrid>
        <w:gridCol w:w="649"/>
        <w:gridCol w:w="519"/>
        <w:gridCol w:w="1213"/>
        <w:gridCol w:w="1783"/>
        <w:gridCol w:w="1591"/>
        <w:gridCol w:w="1403"/>
        <w:gridCol w:w="984"/>
        <w:gridCol w:w="2218"/>
      </w:tblGrid>
      <w:tr w:rsidR="00245D84" w:rsidTr="00315C4E">
        <w:trPr>
          <w:trHeight w:val="637"/>
          <w:jc w:val="center"/>
        </w:trPr>
        <w:tc>
          <w:tcPr>
            <w:tcW w:w="10360" w:type="dxa"/>
            <w:gridSpan w:val="8"/>
            <w:tcBorders>
              <w:top w:val="nil"/>
              <w:left w:val="nil"/>
              <w:bottom w:val="nil"/>
              <w:right w:val="nil"/>
            </w:tcBorders>
            <w:noWrap/>
            <w:tcMar>
              <w:top w:w="15" w:type="dxa"/>
              <w:left w:w="15" w:type="dxa"/>
              <w:right w:w="15" w:type="dxa"/>
            </w:tcMar>
            <w:vAlign w:val="center"/>
          </w:tcPr>
          <w:p w:rsidR="00245D84" w:rsidRPr="007715ED" w:rsidRDefault="007715ED" w:rsidP="00315C4E">
            <w:pPr>
              <w:widowControl/>
              <w:jc w:val="center"/>
              <w:textAlignment w:val="center"/>
              <w:rPr>
                <w:rStyle w:val="font111"/>
                <w:rFonts w:hint="default"/>
                <w:b/>
                <w:bCs/>
              </w:rPr>
            </w:pPr>
            <w:r w:rsidRPr="007715ED">
              <w:rPr>
                <w:rStyle w:val="font111"/>
                <w:rFonts w:hint="default"/>
                <w:b/>
                <w:bCs/>
              </w:rPr>
              <w:t>中央</w:t>
            </w:r>
            <w:r w:rsidR="00245D84">
              <w:rPr>
                <w:rStyle w:val="font111"/>
                <w:rFonts w:hint="default"/>
                <w:b/>
                <w:bCs/>
              </w:rPr>
              <w:t>转移支付区域（项目）绩效目标自评表</w:t>
            </w:r>
          </w:p>
        </w:tc>
      </w:tr>
      <w:tr w:rsidR="00245D84" w:rsidTr="00315C4E">
        <w:trPr>
          <w:trHeight w:val="483"/>
          <w:jc w:val="center"/>
        </w:trPr>
        <w:tc>
          <w:tcPr>
            <w:tcW w:w="10360" w:type="dxa"/>
            <w:gridSpan w:val="8"/>
            <w:tcBorders>
              <w:top w:val="nil"/>
              <w:left w:val="nil"/>
              <w:bottom w:val="single" w:sz="4" w:space="0" w:color="000000"/>
              <w:right w:val="nil"/>
            </w:tcBorders>
            <w:noWrap/>
            <w:tcMar>
              <w:top w:w="15" w:type="dxa"/>
              <w:left w:w="15" w:type="dxa"/>
              <w:right w:w="15" w:type="dxa"/>
            </w:tcMar>
          </w:tcPr>
          <w:p w:rsidR="00245D84" w:rsidRDefault="00245D84" w:rsidP="00315C4E">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rPr>
              <w:t>（2020年度）</w:t>
            </w:r>
          </w:p>
        </w:tc>
      </w:tr>
      <w:tr w:rsidR="00245D84" w:rsidTr="00315C4E">
        <w:trPr>
          <w:trHeight w:val="336"/>
          <w:jc w:val="center"/>
        </w:trPr>
        <w:tc>
          <w:tcPr>
            <w:tcW w:w="238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转移支付（项目）名称</w:t>
            </w:r>
          </w:p>
        </w:tc>
        <w:tc>
          <w:tcPr>
            <w:tcW w:w="797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中小企业发展专项</w:t>
            </w:r>
          </w:p>
        </w:tc>
      </w:tr>
      <w:tr w:rsidR="00245D84" w:rsidTr="00315C4E">
        <w:trPr>
          <w:trHeight w:val="336"/>
          <w:jc w:val="center"/>
        </w:trPr>
        <w:tc>
          <w:tcPr>
            <w:tcW w:w="238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中央主管部门</w:t>
            </w:r>
          </w:p>
        </w:tc>
        <w:tc>
          <w:tcPr>
            <w:tcW w:w="797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675A9F" w:rsidP="00315C4E">
            <w:pPr>
              <w:jc w:val="center"/>
              <w:rPr>
                <w:rFonts w:ascii="宋体" w:eastAsia="宋体" w:hAnsi="宋体" w:cs="宋体"/>
                <w:color w:val="000000"/>
                <w:szCs w:val="21"/>
              </w:rPr>
            </w:pPr>
            <w:r>
              <w:rPr>
                <w:rFonts w:ascii="宋体" w:eastAsia="宋体" w:hAnsi="宋体" w:cs="宋体" w:hint="eastAsia"/>
                <w:color w:val="000000"/>
                <w:szCs w:val="21"/>
              </w:rPr>
              <w:t>工信部</w:t>
            </w:r>
            <w:r w:rsidR="00D3482B">
              <w:rPr>
                <w:rFonts w:ascii="宋体" w:eastAsia="宋体" w:hAnsi="宋体" w:cs="宋体" w:hint="eastAsia"/>
                <w:color w:val="000000"/>
                <w:szCs w:val="21"/>
              </w:rPr>
              <w:t>、科技部</w:t>
            </w:r>
          </w:p>
        </w:tc>
      </w:tr>
      <w:tr w:rsidR="00245D84" w:rsidTr="00315C4E">
        <w:trPr>
          <w:trHeight w:val="413"/>
          <w:jc w:val="center"/>
        </w:trPr>
        <w:tc>
          <w:tcPr>
            <w:tcW w:w="238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地方主管部门</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675A9F" w:rsidP="00D3482B">
            <w:pPr>
              <w:jc w:val="center"/>
              <w:rPr>
                <w:rFonts w:ascii="宋体" w:eastAsia="宋体" w:hAnsi="宋体" w:cs="宋体"/>
                <w:color w:val="000000"/>
                <w:szCs w:val="21"/>
              </w:rPr>
            </w:pPr>
            <w:r>
              <w:rPr>
                <w:rFonts w:ascii="宋体" w:eastAsia="宋体" w:hAnsi="宋体" w:cs="宋体" w:hint="eastAsia"/>
                <w:color w:val="000000"/>
                <w:szCs w:val="21"/>
              </w:rPr>
              <w:t>盘山县人民政府</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资金使用单位</w:t>
            </w:r>
          </w:p>
        </w:tc>
        <w:tc>
          <w:tcPr>
            <w:tcW w:w="320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县工</w:t>
            </w:r>
            <w:r w:rsidR="00675A9F">
              <w:rPr>
                <w:rFonts w:ascii="宋体" w:eastAsia="宋体" w:hAnsi="宋体" w:cs="宋体" w:hint="eastAsia"/>
                <w:color w:val="000000"/>
                <w:szCs w:val="21"/>
              </w:rPr>
              <w:t>业和</w:t>
            </w:r>
            <w:r>
              <w:rPr>
                <w:rFonts w:ascii="宋体" w:eastAsia="宋体" w:hAnsi="宋体" w:cs="宋体" w:hint="eastAsia"/>
                <w:color w:val="000000"/>
                <w:szCs w:val="21"/>
              </w:rPr>
              <w:t>信</w:t>
            </w:r>
            <w:r w:rsidR="00675A9F">
              <w:rPr>
                <w:rFonts w:ascii="宋体" w:eastAsia="宋体" w:hAnsi="宋体" w:cs="宋体" w:hint="eastAsia"/>
                <w:color w:val="000000"/>
                <w:szCs w:val="21"/>
              </w:rPr>
              <w:t>息化</w:t>
            </w:r>
            <w:r>
              <w:rPr>
                <w:rFonts w:ascii="宋体" w:eastAsia="宋体" w:hAnsi="宋体" w:cs="宋体" w:hint="eastAsia"/>
                <w:color w:val="000000"/>
                <w:szCs w:val="21"/>
              </w:rPr>
              <w:t>局</w:t>
            </w:r>
          </w:p>
        </w:tc>
      </w:tr>
      <w:tr w:rsidR="00245D84" w:rsidTr="00315C4E">
        <w:trPr>
          <w:trHeight w:val="503"/>
          <w:jc w:val="center"/>
        </w:trPr>
        <w:tc>
          <w:tcPr>
            <w:tcW w:w="2381" w:type="dxa"/>
            <w:gridSpan w:val="3"/>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资金情况</w:t>
            </w:r>
          </w:p>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（万元）</w:t>
            </w: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rPr>
                <w:rFonts w:ascii="宋体" w:eastAsia="宋体" w:hAnsi="宋体" w:cs="宋体"/>
                <w:color w:val="000000"/>
                <w:szCs w:val="21"/>
              </w:rPr>
            </w:pPr>
          </w:p>
        </w:tc>
        <w:tc>
          <w:tcPr>
            <w:tcW w:w="15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全年预算数（A）</w:t>
            </w:r>
          </w:p>
        </w:tc>
        <w:tc>
          <w:tcPr>
            <w:tcW w:w="238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全年执行数（B）</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执行率（B/A)</w:t>
            </w:r>
          </w:p>
        </w:tc>
      </w:tr>
      <w:tr w:rsidR="00245D84" w:rsidTr="00315C4E">
        <w:trPr>
          <w:trHeight w:val="513"/>
          <w:jc w:val="center"/>
        </w:trPr>
        <w:tc>
          <w:tcPr>
            <w:tcW w:w="2381" w:type="dxa"/>
            <w:gridSpan w:val="3"/>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15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38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1E711E" w:rsidP="00315C4E">
            <w:pPr>
              <w:jc w:val="center"/>
              <w:rPr>
                <w:rFonts w:ascii="宋体" w:eastAsia="宋体" w:hAnsi="宋体" w:cs="宋体"/>
                <w:color w:val="000000"/>
                <w:szCs w:val="21"/>
              </w:rPr>
            </w:pPr>
            <w:r>
              <w:rPr>
                <w:rFonts w:ascii="宋体" w:eastAsia="宋体" w:hAnsi="宋体" w:cs="宋体" w:hint="eastAsia"/>
                <w:color w:val="000000"/>
                <w:szCs w:val="21"/>
              </w:rPr>
              <w:t>100%</w:t>
            </w:r>
          </w:p>
        </w:tc>
      </w:tr>
      <w:tr w:rsidR="00245D84" w:rsidTr="00315C4E">
        <w:trPr>
          <w:trHeight w:val="504"/>
          <w:jc w:val="center"/>
        </w:trPr>
        <w:tc>
          <w:tcPr>
            <w:tcW w:w="2381" w:type="dxa"/>
            <w:gridSpan w:val="3"/>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ind w:rightChars="-133" w:right="-279"/>
              <w:jc w:val="left"/>
              <w:textAlignment w:val="center"/>
              <w:rPr>
                <w:rFonts w:ascii="宋体" w:eastAsia="宋体" w:hAnsi="宋体" w:cs="宋体"/>
                <w:color w:val="000000"/>
                <w:szCs w:val="21"/>
              </w:rPr>
            </w:pPr>
            <w:r>
              <w:rPr>
                <w:rStyle w:val="font122"/>
                <w:rFonts w:hint="default"/>
                <w:szCs w:val="21"/>
              </w:rPr>
              <w:t>其中:中央财政资金</w:t>
            </w:r>
          </w:p>
        </w:tc>
        <w:tc>
          <w:tcPr>
            <w:tcW w:w="15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ind w:leftChars="104" w:left="218"/>
              <w:jc w:val="center"/>
              <w:rPr>
                <w:rFonts w:ascii="宋体" w:eastAsia="宋体" w:hAnsi="宋体" w:cs="宋体"/>
                <w:color w:val="000000"/>
                <w:szCs w:val="21"/>
              </w:rPr>
            </w:pPr>
            <w:r>
              <w:rPr>
                <w:rFonts w:ascii="宋体" w:eastAsia="宋体" w:hAnsi="宋体" w:cs="宋体" w:hint="eastAsia"/>
                <w:color w:val="000000"/>
                <w:szCs w:val="21"/>
              </w:rPr>
              <w:t>1.5</w:t>
            </w:r>
          </w:p>
        </w:tc>
        <w:tc>
          <w:tcPr>
            <w:tcW w:w="238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1E711E" w:rsidP="00315C4E">
            <w:pPr>
              <w:jc w:val="center"/>
              <w:rPr>
                <w:rFonts w:ascii="宋体" w:eastAsia="宋体" w:hAnsi="宋体" w:cs="宋体"/>
                <w:color w:val="000000"/>
                <w:szCs w:val="21"/>
              </w:rPr>
            </w:pPr>
            <w:r>
              <w:rPr>
                <w:rFonts w:ascii="宋体" w:eastAsia="宋体" w:hAnsi="宋体" w:cs="宋体" w:hint="eastAsia"/>
                <w:color w:val="000000"/>
                <w:szCs w:val="21"/>
              </w:rPr>
              <w:t>100%</w:t>
            </w:r>
          </w:p>
        </w:tc>
      </w:tr>
      <w:tr w:rsidR="00245D84" w:rsidTr="00315C4E">
        <w:trPr>
          <w:trHeight w:val="404"/>
          <w:jc w:val="center"/>
        </w:trPr>
        <w:tc>
          <w:tcPr>
            <w:tcW w:w="2381" w:type="dxa"/>
            <w:gridSpan w:val="3"/>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ind w:leftChars="300" w:left="630"/>
              <w:jc w:val="left"/>
              <w:textAlignment w:val="center"/>
              <w:rPr>
                <w:rFonts w:ascii="宋体" w:eastAsia="宋体" w:hAnsi="宋体" w:cs="宋体"/>
                <w:color w:val="000000"/>
                <w:szCs w:val="21"/>
              </w:rPr>
            </w:pPr>
            <w:r>
              <w:rPr>
                <w:rStyle w:val="font122"/>
                <w:rFonts w:hint="default"/>
                <w:szCs w:val="21"/>
              </w:rPr>
              <w:t>地方资金</w:t>
            </w:r>
          </w:p>
        </w:tc>
        <w:tc>
          <w:tcPr>
            <w:tcW w:w="15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38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left"/>
              <w:rPr>
                <w:rFonts w:ascii="宋体" w:eastAsia="宋体" w:hAnsi="宋体" w:cs="宋体"/>
                <w:color w:val="000000"/>
                <w:szCs w:val="21"/>
              </w:rPr>
            </w:pPr>
          </w:p>
        </w:tc>
      </w:tr>
      <w:tr w:rsidR="00245D84" w:rsidTr="00315C4E">
        <w:trPr>
          <w:trHeight w:val="449"/>
          <w:jc w:val="center"/>
        </w:trPr>
        <w:tc>
          <w:tcPr>
            <w:tcW w:w="2381" w:type="dxa"/>
            <w:gridSpan w:val="3"/>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245D84">
            <w:pPr>
              <w:widowControl/>
              <w:ind w:leftChars="300" w:left="830" w:hangingChars="100" w:hanging="200"/>
              <w:jc w:val="left"/>
              <w:textAlignment w:val="center"/>
              <w:rPr>
                <w:rFonts w:ascii="宋体" w:eastAsia="宋体" w:hAnsi="宋体" w:cs="宋体"/>
                <w:color w:val="000000"/>
                <w:szCs w:val="21"/>
              </w:rPr>
            </w:pPr>
            <w:r>
              <w:rPr>
                <w:rStyle w:val="font122"/>
                <w:rFonts w:hint="default"/>
                <w:szCs w:val="21"/>
              </w:rPr>
              <w:t>其他资金</w:t>
            </w:r>
          </w:p>
        </w:tc>
        <w:tc>
          <w:tcPr>
            <w:tcW w:w="15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38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left"/>
              <w:rPr>
                <w:rFonts w:ascii="宋体" w:eastAsia="宋体" w:hAnsi="宋体" w:cs="宋体"/>
                <w:color w:val="000000"/>
                <w:szCs w:val="21"/>
              </w:rPr>
            </w:pPr>
          </w:p>
        </w:tc>
      </w:tr>
      <w:tr w:rsidR="00245D84" w:rsidTr="00315C4E">
        <w:trPr>
          <w:trHeight w:val="503"/>
          <w:jc w:val="center"/>
        </w:trPr>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245D84" w:rsidRDefault="00245D84" w:rsidP="00315C4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目标</w:t>
            </w:r>
          </w:p>
          <w:p w:rsidR="00245D84" w:rsidRDefault="00245D84" w:rsidP="00315C4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完成</w:t>
            </w:r>
          </w:p>
          <w:p w:rsidR="00245D84" w:rsidRDefault="00245D84" w:rsidP="00315C4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情况</w:t>
            </w:r>
          </w:p>
        </w:tc>
        <w:tc>
          <w:tcPr>
            <w:tcW w:w="510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总体目标</w:t>
            </w:r>
          </w:p>
        </w:tc>
        <w:tc>
          <w:tcPr>
            <w:tcW w:w="460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全年实际完成情况</w:t>
            </w:r>
          </w:p>
        </w:tc>
      </w:tr>
      <w:tr w:rsidR="00245D84" w:rsidTr="00315C4E">
        <w:trPr>
          <w:trHeight w:val="931"/>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510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left"/>
              <w:rPr>
                <w:rFonts w:ascii="宋体" w:eastAsia="宋体" w:hAnsi="宋体" w:cs="宋体"/>
                <w:color w:val="000000"/>
                <w:szCs w:val="21"/>
              </w:rPr>
            </w:pPr>
            <w:r>
              <w:rPr>
                <w:rFonts w:ascii="宋体" w:eastAsia="宋体" w:hAnsi="宋体" w:cs="宋体" w:hint="eastAsia"/>
                <w:color w:val="000000"/>
                <w:szCs w:val="21"/>
              </w:rPr>
              <w:t xml:space="preserve">    采用奖补结合的方式，对拆小微企业融资担保业务规模、降低小微企业融资担保费率等政惩治性引导较缉捕地方进行奖补。</w:t>
            </w:r>
          </w:p>
        </w:tc>
        <w:tc>
          <w:tcPr>
            <w:tcW w:w="460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Pr="002643CB" w:rsidRDefault="00245D84" w:rsidP="00315C4E">
            <w:pPr>
              <w:jc w:val="left"/>
              <w:rPr>
                <w:rFonts w:ascii="宋体" w:eastAsia="宋体" w:hAnsi="宋体" w:cs="宋体"/>
                <w:color w:val="000000"/>
                <w:szCs w:val="21"/>
              </w:rPr>
            </w:pPr>
            <w:r>
              <w:rPr>
                <w:rFonts w:ascii="宋体" w:eastAsia="宋体" w:hAnsi="宋体" w:cs="宋体" w:hint="eastAsia"/>
                <w:color w:val="000000"/>
                <w:szCs w:val="21"/>
              </w:rPr>
              <w:t xml:space="preserve">    </w:t>
            </w:r>
            <w:r w:rsidRPr="000B32C6">
              <w:rPr>
                <w:rFonts w:ascii="宋体" w:eastAsia="宋体" w:hAnsi="宋体" w:cs="宋体" w:hint="eastAsia"/>
                <w:color w:val="000000"/>
                <w:szCs w:val="21"/>
              </w:rPr>
              <w:t>盘锦正城融资担保有限公司对辽宁正茂农业技术开发有限公司一笔担保业务，符合文件要</w:t>
            </w:r>
            <w:r>
              <w:rPr>
                <w:rFonts w:ascii="宋体" w:eastAsia="宋体" w:hAnsi="宋体" w:cs="宋体" w:hint="eastAsia"/>
                <w:color w:val="000000"/>
                <w:szCs w:val="21"/>
              </w:rPr>
              <w:t>求。</w:t>
            </w:r>
          </w:p>
        </w:tc>
      </w:tr>
      <w:tr w:rsidR="00245D84" w:rsidTr="00315C4E">
        <w:trPr>
          <w:trHeight w:val="875"/>
          <w:jc w:val="center"/>
        </w:trPr>
        <w:tc>
          <w:tcPr>
            <w:tcW w:w="64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5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w:t>
            </w:r>
            <w:r>
              <w:rPr>
                <w:rFonts w:ascii="宋体" w:eastAsia="宋体" w:hAnsi="宋体" w:cs="宋体" w:hint="eastAsia"/>
                <w:color w:val="000000"/>
                <w:kern w:val="0"/>
                <w:szCs w:val="21"/>
              </w:rPr>
              <w:br/>
              <w:t>指标</w:t>
            </w: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指标值</w:t>
            </w: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全年实际完成值</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未完成原因和改进措施</w:t>
            </w:r>
          </w:p>
        </w:tc>
      </w:tr>
      <w:tr w:rsidR="00245D84" w:rsidTr="00315C4E">
        <w:trPr>
          <w:trHeight w:val="351"/>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产</w:t>
            </w:r>
            <w:r>
              <w:rPr>
                <w:rFonts w:ascii="宋体" w:eastAsia="宋体" w:hAnsi="宋体" w:cs="宋体" w:hint="eastAsia"/>
                <w:color w:val="000000"/>
                <w:kern w:val="0"/>
                <w:szCs w:val="21"/>
              </w:rPr>
              <w:br/>
              <w:t>出</w:t>
            </w:r>
            <w:r>
              <w:rPr>
                <w:rFonts w:ascii="宋体" w:eastAsia="宋体" w:hAnsi="宋体" w:cs="宋体" w:hint="eastAsia"/>
                <w:color w:val="000000"/>
                <w:kern w:val="0"/>
                <w:szCs w:val="21"/>
              </w:rPr>
              <w:br/>
              <w:t>指</w:t>
            </w:r>
            <w:r>
              <w:rPr>
                <w:rFonts w:ascii="宋体" w:eastAsia="宋体" w:hAnsi="宋体" w:cs="宋体" w:hint="eastAsia"/>
                <w:color w:val="000000"/>
                <w:kern w:val="0"/>
                <w:szCs w:val="21"/>
              </w:rPr>
              <w:br/>
              <w:t>标</w:t>
            </w: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Pr="005F7104" w:rsidRDefault="00245D84" w:rsidP="00315C4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数量指标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担保补贴次数</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w:t>
            </w: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51"/>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担保补贴金额</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1.5</w:t>
            </w: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51"/>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完成时限</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12月底</w:t>
            </w: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12月底</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51"/>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ind w:firstLineChars="100" w:firstLine="210"/>
              <w:textAlignment w:val="center"/>
              <w:rPr>
                <w:rFonts w:ascii="宋体" w:eastAsia="宋体" w:hAnsi="宋体" w:cs="宋体"/>
                <w:color w:val="000000"/>
                <w:szCs w:val="21"/>
              </w:rPr>
            </w:pPr>
            <w:r>
              <w:rPr>
                <w:rFonts w:ascii="宋体" w:eastAsia="宋体" w:hAnsi="宋体" w:cs="宋体" w:hint="eastAsia"/>
                <w:color w:val="000000"/>
                <w:kern w:val="0"/>
                <w:szCs w:val="21"/>
              </w:rPr>
              <w:t>成本指标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hAnsi="宋体" w:cs="宋体"/>
                <w:color w:val="000000"/>
                <w:szCs w:val="21"/>
              </w:rPr>
            </w:pPr>
            <w:r>
              <w:rPr>
                <w:rFonts w:ascii="宋体" w:hAnsi="宋体" w:cs="宋体" w:hint="eastAsia"/>
                <w:color w:val="000000"/>
                <w:szCs w:val="21"/>
              </w:rPr>
              <w:t>预算执行率</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100%</w:t>
            </w: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100%</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36"/>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效</w:t>
            </w:r>
            <w:r>
              <w:rPr>
                <w:rFonts w:ascii="宋体" w:eastAsia="宋体" w:hAnsi="宋体" w:cs="宋体" w:hint="eastAsia"/>
                <w:color w:val="000000"/>
                <w:kern w:val="0"/>
                <w:szCs w:val="21"/>
              </w:rPr>
              <w:br/>
              <w:t>益</w:t>
            </w:r>
            <w:r>
              <w:rPr>
                <w:rFonts w:ascii="宋体" w:eastAsia="宋体" w:hAnsi="宋体" w:cs="宋体" w:hint="eastAsia"/>
                <w:color w:val="000000"/>
                <w:kern w:val="0"/>
                <w:szCs w:val="21"/>
              </w:rPr>
              <w:br/>
              <w:t>指</w:t>
            </w:r>
            <w:r>
              <w:rPr>
                <w:rFonts w:ascii="宋体" w:eastAsia="宋体" w:hAnsi="宋体" w:cs="宋体" w:hint="eastAsia"/>
                <w:color w:val="000000"/>
                <w:kern w:val="0"/>
                <w:szCs w:val="21"/>
              </w:rPr>
              <w:br/>
              <w:t>标</w:t>
            </w: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经济效益</w:t>
            </w:r>
            <w:r>
              <w:rPr>
                <w:rFonts w:ascii="宋体" w:eastAsia="宋体" w:hAnsi="宋体" w:cs="宋体" w:hint="eastAsia"/>
                <w:color w:val="000000"/>
                <w:kern w:val="0"/>
                <w:szCs w:val="21"/>
              </w:rPr>
              <w:br/>
              <w:t>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40"/>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r>
              <w:rPr>
                <w:rFonts w:ascii="宋体" w:eastAsia="宋体" w:hAnsi="宋体" w:cs="宋体" w:hint="eastAsia"/>
                <w:color w:val="000000"/>
                <w:kern w:val="0"/>
                <w:szCs w:val="21"/>
              </w:rPr>
              <w:br/>
              <w:t>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52"/>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生态效益</w:t>
            </w:r>
            <w:r>
              <w:rPr>
                <w:rFonts w:ascii="宋体" w:eastAsia="宋体" w:hAnsi="宋体" w:cs="宋体" w:hint="eastAsia"/>
                <w:color w:val="000000"/>
                <w:kern w:val="0"/>
                <w:szCs w:val="21"/>
              </w:rPr>
              <w:br/>
              <w:t>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36"/>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p>
        </w:tc>
        <w:tc>
          <w:tcPr>
            <w:tcW w:w="12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服务对象  满意度指标</w:t>
            </w: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427"/>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企业满意度</w:t>
            </w: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100%</w:t>
            </w: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r>
              <w:rPr>
                <w:rFonts w:ascii="宋体" w:eastAsia="宋体" w:hAnsi="宋体" w:cs="宋体" w:hint="eastAsia"/>
                <w:color w:val="000000"/>
                <w:szCs w:val="21"/>
              </w:rPr>
              <w:t>100%</w:t>
            </w: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36"/>
          <w:jc w:val="center"/>
        </w:trPr>
        <w:tc>
          <w:tcPr>
            <w:tcW w:w="64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rsidR="00245D84" w:rsidRDefault="00245D84" w:rsidP="00315C4E">
            <w:pPr>
              <w:jc w:val="center"/>
              <w:rPr>
                <w:rFonts w:ascii="宋体" w:eastAsia="宋体" w:hAnsi="宋体" w:cs="宋体"/>
                <w:color w:val="000000"/>
                <w:szCs w:val="21"/>
              </w:rPr>
            </w:pPr>
          </w:p>
        </w:tc>
        <w:tc>
          <w:tcPr>
            <w:tcW w:w="51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21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3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1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c>
          <w:tcPr>
            <w:tcW w:w="22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jc w:val="center"/>
              <w:rPr>
                <w:rFonts w:ascii="宋体" w:eastAsia="宋体" w:hAnsi="宋体" w:cs="宋体"/>
                <w:color w:val="000000"/>
                <w:szCs w:val="21"/>
              </w:rPr>
            </w:pPr>
          </w:p>
        </w:tc>
      </w:tr>
      <w:tr w:rsidR="00245D84" w:rsidTr="00315C4E">
        <w:trPr>
          <w:trHeight w:val="355"/>
          <w:jc w:val="center"/>
        </w:trPr>
        <w:tc>
          <w:tcPr>
            <w:tcW w:w="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315C4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说明</w:t>
            </w:r>
          </w:p>
        </w:tc>
        <w:tc>
          <w:tcPr>
            <w:tcW w:w="9711"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5D84" w:rsidRDefault="00245D84" w:rsidP="00FF53A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无</w:t>
            </w:r>
          </w:p>
        </w:tc>
      </w:tr>
      <w:tr w:rsidR="00245D84" w:rsidTr="00315C4E">
        <w:trPr>
          <w:trHeight w:val="747"/>
          <w:jc w:val="center"/>
        </w:trPr>
        <w:tc>
          <w:tcPr>
            <w:tcW w:w="10360" w:type="dxa"/>
            <w:gridSpan w:val="8"/>
            <w:tcBorders>
              <w:top w:val="nil"/>
              <w:left w:val="nil"/>
              <w:bottom w:val="nil"/>
              <w:right w:val="nil"/>
            </w:tcBorders>
            <w:noWrap/>
            <w:tcMar>
              <w:top w:w="15" w:type="dxa"/>
              <w:left w:w="15" w:type="dxa"/>
              <w:right w:w="15" w:type="dxa"/>
            </w:tcMar>
            <w:vAlign w:val="bottom"/>
          </w:tcPr>
          <w:p w:rsidR="00245D84" w:rsidRDefault="00245D84" w:rsidP="00315C4E">
            <w:pPr>
              <w:widowControl/>
              <w:jc w:val="left"/>
              <w:textAlignment w:val="bottom"/>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注：1.</w:t>
            </w:r>
            <w:r>
              <w:rPr>
                <w:rStyle w:val="font101"/>
                <w:rFonts w:hint="default"/>
              </w:rPr>
              <w:t>资金使用单位按项目绩效目标填报，主管部门汇总时按区域绩效目标填报。</w:t>
            </w:r>
          </w:p>
          <w:p w:rsidR="00245D84" w:rsidRDefault="00245D84" w:rsidP="00315C4E">
            <w:pPr>
              <w:widowControl/>
              <w:ind w:left="540" w:hangingChars="300" w:hanging="540"/>
              <w:jc w:val="left"/>
              <w:textAlignment w:val="bottom"/>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2.其他资金包括与中央财政资金、地方财政资金共同投入到同一项目的自有资金、社会资金，以及以前年度的结转结余资金等。</w:t>
            </w:r>
          </w:p>
        </w:tc>
      </w:tr>
      <w:tr w:rsidR="00245D84" w:rsidTr="00315C4E">
        <w:trPr>
          <w:trHeight w:val="1570"/>
          <w:jc w:val="center"/>
        </w:trPr>
        <w:tc>
          <w:tcPr>
            <w:tcW w:w="10360" w:type="dxa"/>
            <w:gridSpan w:val="8"/>
            <w:tcBorders>
              <w:top w:val="nil"/>
              <w:left w:val="nil"/>
              <w:bottom w:val="nil"/>
              <w:right w:val="nil"/>
            </w:tcBorders>
            <w:noWrap/>
            <w:tcMar>
              <w:top w:w="15" w:type="dxa"/>
              <w:left w:w="15" w:type="dxa"/>
              <w:right w:w="15" w:type="dxa"/>
            </w:tcMar>
            <w:vAlign w:val="bottom"/>
          </w:tcPr>
          <w:p w:rsidR="00245D84" w:rsidRDefault="00245D84" w:rsidP="00315C4E">
            <w:pPr>
              <w:widowControl/>
              <w:ind w:firstLineChars="200" w:firstLine="360"/>
              <w:jc w:val="left"/>
              <w:textAlignment w:val="bottom"/>
              <w:rPr>
                <w:rFonts w:ascii="宋体" w:eastAsia="宋体" w:hAnsi="宋体" w:cs="宋体"/>
                <w:color w:val="000000"/>
                <w:kern w:val="0"/>
                <w:sz w:val="18"/>
                <w:szCs w:val="18"/>
              </w:rPr>
            </w:pPr>
            <w:r>
              <w:rPr>
                <w:rFonts w:ascii="宋体" w:eastAsia="宋体" w:hAnsi="宋体" w:cs="宋体" w:hint="eastAsia"/>
                <w:color w:val="000000"/>
                <w:kern w:val="0"/>
                <w:sz w:val="18"/>
                <w:szCs w:val="18"/>
              </w:rPr>
              <w:t>3.全年执行数是指按照国库集中支付制度要求，支付到商品和劳务供应者或用款单位形成的实际支出。</w:t>
            </w:r>
          </w:p>
          <w:p w:rsidR="00245D84" w:rsidRDefault="00245D84" w:rsidP="00315C4E">
            <w:pPr>
              <w:widowControl/>
              <w:ind w:firstLineChars="200" w:firstLine="360"/>
              <w:jc w:val="left"/>
              <w:textAlignment w:val="bottom"/>
              <w:rPr>
                <w:rFonts w:ascii="宋体" w:eastAsia="宋体" w:hAnsi="宋体" w:cs="宋体"/>
                <w:color w:val="000000"/>
                <w:kern w:val="0"/>
                <w:sz w:val="18"/>
                <w:szCs w:val="18"/>
              </w:rPr>
            </w:pPr>
            <w:r>
              <w:rPr>
                <w:rFonts w:ascii="宋体" w:eastAsia="宋体" w:hAnsi="宋体" w:cs="宋体" w:hint="eastAsia"/>
                <w:color w:val="000000"/>
                <w:kern w:val="0"/>
                <w:sz w:val="18"/>
                <w:szCs w:val="18"/>
              </w:rPr>
              <w:t>4.定量指标，地方各级主管部门对资金使用单位填写的实际完成值汇总时，绝对值直接累加计算，相对值按照资金额度加权平均计算。</w:t>
            </w:r>
          </w:p>
          <w:p w:rsidR="00245D84" w:rsidRDefault="00245D84" w:rsidP="00315C4E">
            <w:pPr>
              <w:widowControl/>
              <w:ind w:firstLineChars="200" w:firstLine="360"/>
              <w:jc w:val="left"/>
              <w:textAlignment w:val="bottom"/>
              <w:rPr>
                <w:rFonts w:ascii="宋体" w:eastAsia="宋体" w:hAnsi="宋体" w:cs="宋体"/>
                <w:color w:val="000000"/>
                <w:kern w:val="0"/>
                <w:sz w:val="18"/>
                <w:szCs w:val="18"/>
              </w:rPr>
            </w:pPr>
            <w:r>
              <w:rPr>
                <w:rFonts w:ascii="宋体" w:eastAsia="宋体" w:hAnsi="宋体" w:cs="宋体" w:hint="eastAsia"/>
                <w:color w:val="000000"/>
                <w:kern w:val="0"/>
                <w:sz w:val="18"/>
                <w:szCs w:val="18"/>
              </w:rPr>
              <w:t>5.定性指标，资金使用单位分别按照100%-80%（含）、80%-60%（含）、60-0%合理填写实际完成值。地方各级主管部门汇总时，按照资金额度加权平均计算。</w:t>
            </w:r>
          </w:p>
        </w:tc>
      </w:tr>
    </w:tbl>
    <w:p w:rsidR="00245D84" w:rsidRDefault="00245D84" w:rsidP="00245D84">
      <w:pPr>
        <w:rPr>
          <w:rFonts w:ascii="黑体" w:eastAsia="黑体" w:hAnsi="黑体" w:cs="Times New Roman"/>
          <w:bCs/>
          <w:sz w:val="32"/>
          <w:szCs w:val="32"/>
        </w:rPr>
      </w:pPr>
    </w:p>
    <w:p w:rsidR="00956EDF" w:rsidRPr="00245D84" w:rsidRDefault="00956EDF"/>
    <w:sectPr w:rsidR="00956EDF" w:rsidRPr="00245D84" w:rsidSect="00956E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F9" w:rsidRDefault="004611F9" w:rsidP="007715ED">
      <w:r>
        <w:separator/>
      </w:r>
    </w:p>
  </w:endnote>
  <w:endnote w:type="continuationSeparator" w:id="0">
    <w:p w:rsidR="004611F9" w:rsidRDefault="004611F9" w:rsidP="007715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F9" w:rsidRDefault="004611F9" w:rsidP="007715ED">
      <w:r>
        <w:separator/>
      </w:r>
    </w:p>
  </w:footnote>
  <w:footnote w:type="continuationSeparator" w:id="0">
    <w:p w:rsidR="004611F9" w:rsidRDefault="004611F9" w:rsidP="007715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5D84"/>
    <w:rsid w:val="001E711E"/>
    <w:rsid w:val="00207BBC"/>
    <w:rsid w:val="00245D84"/>
    <w:rsid w:val="004611F9"/>
    <w:rsid w:val="005C5A5E"/>
    <w:rsid w:val="00675A9F"/>
    <w:rsid w:val="007715ED"/>
    <w:rsid w:val="00785C67"/>
    <w:rsid w:val="00956EDF"/>
    <w:rsid w:val="0097510A"/>
    <w:rsid w:val="00C85498"/>
    <w:rsid w:val="00D3482B"/>
    <w:rsid w:val="00FF5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8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1">
    <w:name w:val="font111"/>
    <w:basedOn w:val="a0"/>
    <w:qFormat/>
    <w:rsid w:val="00245D84"/>
    <w:rPr>
      <w:rFonts w:ascii="宋体" w:eastAsia="宋体" w:hAnsi="宋体" w:cs="宋体" w:hint="eastAsia"/>
      <w:color w:val="000000"/>
      <w:sz w:val="32"/>
      <w:szCs w:val="32"/>
      <w:u w:val="none"/>
    </w:rPr>
  </w:style>
  <w:style w:type="character" w:customStyle="1" w:styleId="font122">
    <w:name w:val="font122"/>
    <w:basedOn w:val="a0"/>
    <w:qFormat/>
    <w:rsid w:val="00245D84"/>
    <w:rPr>
      <w:rFonts w:ascii="宋体" w:eastAsia="宋体" w:hAnsi="宋体" w:cs="宋体" w:hint="eastAsia"/>
      <w:color w:val="000000"/>
      <w:sz w:val="20"/>
      <w:szCs w:val="20"/>
      <w:u w:val="none"/>
    </w:rPr>
  </w:style>
  <w:style w:type="character" w:customStyle="1" w:styleId="font101">
    <w:name w:val="font101"/>
    <w:basedOn w:val="a0"/>
    <w:qFormat/>
    <w:rsid w:val="00245D84"/>
    <w:rPr>
      <w:rFonts w:ascii="宋体" w:eastAsia="宋体" w:hAnsi="宋体" w:cs="宋体" w:hint="eastAsia"/>
      <w:color w:val="000000"/>
      <w:sz w:val="18"/>
      <w:szCs w:val="18"/>
      <w:u w:val="none"/>
    </w:rPr>
  </w:style>
  <w:style w:type="paragraph" w:styleId="a3">
    <w:name w:val="header"/>
    <w:basedOn w:val="a"/>
    <w:link w:val="Char"/>
    <w:uiPriority w:val="99"/>
    <w:semiHidden/>
    <w:unhideWhenUsed/>
    <w:rsid w:val="00771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15ED"/>
    <w:rPr>
      <w:sz w:val="18"/>
      <w:szCs w:val="18"/>
    </w:rPr>
  </w:style>
  <w:style w:type="paragraph" w:styleId="a4">
    <w:name w:val="footer"/>
    <w:basedOn w:val="a"/>
    <w:link w:val="Char0"/>
    <w:uiPriority w:val="99"/>
    <w:semiHidden/>
    <w:unhideWhenUsed/>
    <w:rsid w:val="007715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15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2021-03-01T07:30:00Z</dcterms:created>
  <dcterms:modified xsi:type="dcterms:W3CDTF">2021-03-19T01:50:00Z</dcterms:modified>
</cp:coreProperties>
</file>