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小标宋简体" w:hAnsi="方正小标宋简体" w:eastAsia="方正小标宋简体" w:cs="方正小标宋简体"/>
          <w:color w:val="000000" w:themeColor="text1"/>
          <w:sz w:val="56"/>
          <w:szCs w:val="56"/>
        </w:rPr>
      </w:pPr>
      <w:bookmarkStart w:id="0" w:name="_GoBack"/>
      <w:bookmarkEnd w:id="0"/>
    </w:p>
    <w:p>
      <w:pPr>
        <w:spacing w:line="900" w:lineRule="exact"/>
        <w:jc w:val="center"/>
        <w:rPr>
          <w:rFonts w:ascii="方正小标宋简体" w:hAnsi="方正小标宋简体" w:eastAsia="方正小标宋简体" w:cs="方正小标宋简体"/>
          <w:color w:val="000000" w:themeColor="text1"/>
          <w:sz w:val="56"/>
          <w:szCs w:val="56"/>
        </w:rPr>
      </w:pPr>
    </w:p>
    <w:p>
      <w:pPr>
        <w:spacing w:line="900" w:lineRule="exact"/>
        <w:jc w:val="center"/>
        <w:rPr>
          <w:rFonts w:ascii="方正小标宋简体" w:hAnsi="方正小标宋简体" w:eastAsia="方正小标宋简体" w:cs="方正小标宋简体"/>
          <w:color w:val="000000" w:themeColor="text1"/>
          <w:sz w:val="56"/>
          <w:szCs w:val="56"/>
        </w:rPr>
      </w:pPr>
    </w:p>
    <w:p>
      <w:pPr>
        <w:spacing w:line="900" w:lineRule="exact"/>
        <w:jc w:val="center"/>
        <w:rPr>
          <w:rFonts w:ascii="方正小标宋简体" w:hAnsi="方正小标宋简体" w:eastAsia="方正小标宋简体" w:cs="方正小标宋简体"/>
          <w:color w:val="000000" w:themeColor="text1"/>
          <w:sz w:val="56"/>
          <w:szCs w:val="56"/>
        </w:rPr>
      </w:pPr>
      <w:r>
        <w:rPr>
          <w:rFonts w:hint="eastAsia" w:ascii="方正小标宋简体" w:hAnsi="方正小标宋简体" w:eastAsia="方正小标宋简体" w:cs="方正小标宋简体"/>
          <w:color w:val="000000" w:themeColor="text1"/>
          <w:sz w:val="56"/>
          <w:szCs w:val="56"/>
        </w:rPr>
        <w:t>2021年市《政府工作报告》任务分解和</w:t>
      </w:r>
    </w:p>
    <w:p>
      <w:pPr>
        <w:spacing w:line="900" w:lineRule="exact"/>
        <w:jc w:val="center"/>
        <w:rPr>
          <w:rFonts w:ascii="方正小标宋简体" w:eastAsia="方正小标宋简体"/>
          <w:color w:val="000000" w:themeColor="text1"/>
          <w:sz w:val="56"/>
          <w:szCs w:val="56"/>
        </w:rPr>
      </w:pPr>
      <w:r>
        <w:rPr>
          <w:rFonts w:hint="eastAsia" w:ascii="方正小标宋简体" w:hAnsi="方正小标宋简体" w:eastAsia="方正小标宋简体" w:cs="方正小标宋简体"/>
          <w:color w:val="000000" w:themeColor="text1"/>
          <w:sz w:val="56"/>
          <w:szCs w:val="56"/>
        </w:rPr>
        <w:t>责任分工方案</w:t>
      </w:r>
    </w:p>
    <w:p>
      <w:pPr>
        <w:spacing w:line="720" w:lineRule="exact"/>
        <w:jc w:val="center"/>
        <w:rPr>
          <w:rFonts w:ascii="方正小标宋简体" w:eastAsia="方正小标宋简体"/>
          <w:color w:val="000000" w:themeColor="text1"/>
          <w:sz w:val="44"/>
          <w:szCs w:val="44"/>
        </w:rPr>
      </w:pPr>
    </w:p>
    <w:p>
      <w:pPr>
        <w:spacing w:line="560" w:lineRule="exact"/>
        <w:jc w:val="center"/>
        <w:rPr>
          <w:rFonts w:ascii="楷体_GB2312" w:eastAsia="楷体_GB2312"/>
          <w:color w:val="000000" w:themeColor="text1"/>
          <w:sz w:val="30"/>
          <w:szCs w:val="30"/>
        </w:rPr>
      </w:pPr>
    </w:p>
    <w:p>
      <w:pPr>
        <w:spacing w:line="560" w:lineRule="exact"/>
        <w:jc w:val="center"/>
        <w:rPr>
          <w:rFonts w:ascii="楷体_GB2312" w:eastAsia="楷体_GB2312"/>
          <w:color w:val="000000" w:themeColor="text1"/>
          <w:sz w:val="30"/>
          <w:szCs w:val="30"/>
        </w:rPr>
      </w:pPr>
    </w:p>
    <w:p>
      <w:pPr>
        <w:spacing w:line="560" w:lineRule="exact"/>
        <w:jc w:val="center"/>
        <w:rPr>
          <w:rFonts w:ascii="楷体_GB2312" w:eastAsia="楷体_GB2312"/>
          <w:color w:val="000000" w:themeColor="text1"/>
          <w:sz w:val="30"/>
          <w:szCs w:val="30"/>
        </w:rPr>
      </w:pPr>
    </w:p>
    <w:p>
      <w:pPr>
        <w:spacing w:line="560" w:lineRule="exact"/>
        <w:jc w:val="center"/>
        <w:rPr>
          <w:rFonts w:ascii="楷体_GB2312" w:eastAsia="楷体_GB2312"/>
          <w:color w:val="000000" w:themeColor="text1"/>
          <w:sz w:val="30"/>
          <w:szCs w:val="30"/>
        </w:rPr>
      </w:pPr>
    </w:p>
    <w:p>
      <w:pPr>
        <w:spacing w:line="560" w:lineRule="exact"/>
        <w:jc w:val="center"/>
        <w:rPr>
          <w:rFonts w:ascii="楷体_GB2312" w:eastAsia="楷体_GB2312"/>
          <w:color w:val="000000" w:themeColor="text1"/>
          <w:sz w:val="34"/>
          <w:szCs w:val="34"/>
        </w:rPr>
      </w:pPr>
      <w:r>
        <w:rPr>
          <w:rFonts w:hint="eastAsia" w:ascii="楷体_GB2312" w:eastAsia="楷体_GB2312"/>
          <w:color w:val="000000" w:themeColor="text1"/>
          <w:sz w:val="34"/>
          <w:szCs w:val="34"/>
        </w:rPr>
        <w:t>盘 锦 市 人 民 政 府 办 公 室</w:t>
      </w:r>
    </w:p>
    <w:p>
      <w:pPr>
        <w:spacing w:line="560" w:lineRule="exact"/>
        <w:jc w:val="center"/>
        <w:rPr>
          <w:rFonts w:ascii="楷体_GB2312" w:eastAsia="楷体_GB2312"/>
          <w:color w:val="000000" w:themeColor="text1"/>
          <w:sz w:val="34"/>
          <w:szCs w:val="34"/>
        </w:rPr>
      </w:pPr>
      <w:r>
        <w:rPr>
          <w:rFonts w:hint="eastAsia" w:ascii="楷体_GB2312" w:eastAsia="楷体_GB2312"/>
          <w:color w:val="000000" w:themeColor="text1"/>
          <w:sz w:val="34"/>
          <w:szCs w:val="34"/>
        </w:rPr>
        <w:t>2021年1月</w:t>
      </w:r>
    </w:p>
    <w:p>
      <w:pPr>
        <w:spacing w:line="460" w:lineRule="exact"/>
        <w:jc w:val="center"/>
        <w:rPr>
          <w:rFonts w:ascii="方正小标宋简体" w:hAnsi="宋体" w:eastAsia="方正小标宋简体" w:cs="宋体"/>
          <w:color w:val="000000" w:themeColor="text1"/>
          <w:kern w:val="0"/>
          <w:sz w:val="44"/>
          <w:szCs w:val="44"/>
        </w:rPr>
      </w:pPr>
    </w:p>
    <w:p>
      <w:pPr>
        <w:spacing w:line="46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前    言</w:t>
      </w: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市《政府工作报告》关于2021年工作的总体安排部署，为扎实推进各项工作，按照“三清单三制度”管理模式，特制定《2021年市&lt;政府工作报告&gt;任务分解和责任分工方案》（以下简称《方案》），共分解确定146项重点工作任务。</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一、围绕实施“十四五”规划和做好今年工作要突出把握好的“六个有机结合”，分解6项指导性任务。</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二、围绕全年经济社会发展主要预期目标，分解10项指标性任务。</w:t>
      </w:r>
    </w:p>
    <w:p>
      <w:pPr>
        <w:widowControl/>
        <w:spacing w:line="460" w:lineRule="exact"/>
        <w:ind w:firstLine="640" w:firstLineChars="200"/>
        <w:jc w:val="left"/>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三、围绕全年8个方面重点工作，分解124项支撑性任务。一是“聚焦高质量发展抓转型图振兴”，包括6个方面17项工作任务；二是“实施高质量发展项目抓实体调结构”，包括4个方</w:t>
      </w:r>
      <w:r>
        <w:rPr>
          <w:rFonts w:hint="eastAsia" w:ascii="仿宋_GB2312" w:hAnsi="仿宋_GB2312" w:eastAsia="仿宋_GB2312" w:cs="仿宋_GB2312"/>
          <w:spacing w:val="-4"/>
          <w:sz w:val="32"/>
          <w:szCs w:val="32"/>
        </w:rPr>
        <w:t>面6项工作任务；三是“攻坚高水平制度创新抓环境激活力”，包括6个方面16项工作任务；四是“引育壮大新动能抓科创促升级”，包括4个方面11项工作任务；五是“推进城乡融合抓协调优布局”，包括5个方面19项工作任务；六是“致力绿色发展抓生态提品质”，包括4个方面13项工作任务；七是“强化内外联动抓开放畅循环”，包括3个方面7项工作任务；八是“推动共建共治共享抓民生增福祉”，包括4个方面19项工作任务及16件重点民生实事，共计35项工作任务。</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四、围绕政府自身建设，分解6项工作任务。</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方案》是全市各级各部门必须一揽子把握、一体化落实、一以贯之推进的总体设计，各县区，辽东湾新区、盘锦高新区及各部门要履职尽责，攻坚克难，凝心聚力抓好推进实施，确保146项工作任务一项一项落实落地，推动我市“十四五”开好局起好步，向市委、市政府和全市人民交上一份合格答卷，向中国共产党成立100周年献礼。</w:t>
      </w:r>
    </w:p>
    <w:p>
      <w:pPr>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目   录</w:t>
      </w:r>
    </w:p>
    <w:p>
      <w:pPr>
        <w:spacing w:line="600" w:lineRule="exact"/>
        <w:jc w:val="left"/>
        <w:rPr>
          <w:rFonts w:ascii="仿宋_GB2312" w:hAnsi="宋体" w:eastAsia="仿宋_GB2312" w:cs="宋体"/>
          <w:color w:val="000000" w:themeColor="text1"/>
          <w:kern w:val="0"/>
          <w:sz w:val="28"/>
          <w:szCs w:val="28"/>
        </w:rPr>
      </w:pPr>
    </w:p>
    <w:p>
      <w:pPr>
        <w:widowControl/>
        <w:spacing w:line="600" w:lineRule="exact"/>
        <w:jc w:val="distribute"/>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“六个有机结合”工作遵循</w:t>
      </w:r>
      <w:r>
        <w:rPr>
          <w:rFonts w:hint="eastAsia" w:ascii="仿宋_GB2312" w:eastAsia="仿宋_GB2312"/>
          <w:color w:val="000000" w:themeColor="text1"/>
          <w:sz w:val="32"/>
          <w:szCs w:val="32"/>
        </w:rPr>
        <w:t>……………………………………………………………………………6</w:t>
      </w:r>
    </w:p>
    <w:p>
      <w:pPr>
        <w:widowControl/>
        <w:spacing w:line="600" w:lineRule="exact"/>
        <w:jc w:val="distribute"/>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主要预期目标</w:t>
      </w:r>
      <w:r>
        <w:rPr>
          <w:rFonts w:hint="eastAsia" w:ascii="仿宋_GB2312" w:eastAsia="仿宋_GB2312"/>
          <w:color w:val="000000" w:themeColor="text1"/>
          <w:sz w:val="32"/>
          <w:szCs w:val="32"/>
        </w:rPr>
        <w:t>…………………………………………………………………………………………9</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聚焦高质量发展抓转型图振兴</w:t>
      </w:r>
      <w:r>
        <w:rPr>
          <w:rFonts w:hint="eastAsia" w:ascii="仿宋_GB2312" w:eastAsia="仿宋_GB2312"/>
          <w:color w:val="000000" w:themeColor="text1"/>
          <w:sz w:val="32"/>
          <w:szCs w:val="32"/>
        </w:rPr>
        <w:t>………………………………………………………………………11</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实施高质量发展项目抓实体调结构</w:t>
      </w:r>
      <w:r>
        <w:rPr>
          <w:rFonts w:hint="eastAsia" w:ascii="仿宋_GB2312" w:eastAsia="仿宋_GB2312"/>
          <w:color w:val="000000" w:themeColor="text1"/>
          <w:sz w:val="32"/>
          <w:szCs w:val="32"/>
        </w:rPr>
        <w:t>…………………………………………………………………20</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攻坚高水平制度创新抓环境激活力</w:t>
      </w:r>
      <w:r>
        <w:rPr>
          <w:rFonts w:hint="eastAsia" w:ascii="仿宋_GB2312" w:eastAsia="仿宋_GB2312"/>
          <w:color w:val="000000" w:themeColor="text1"/>
          <w:sz w:val="32"/>
          <w:szCs w:val="32"/>
        </w:rPr>
        <w:t>…………………………………………………………………24</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引育壮大新动能抓科创促升级</w:t>
      </w:r>
      <w:r>
        <w:rPr>
          <w:rFonts w:hint="eastAsia" w:ascii="仿宋_GB2312" w:eastAsia="仿宋_GB2312"/>
          <w:color w:val="000000" w:themeColor="text1"/>
          <w:sz w:val="32"/>
          <w:szCs w:val="32"/>
        </w:rPr>
        <w:t>………………………………………………………………………32</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推进城乡融合抓协调优布局</w:t>
      </w:r>
      <w:r>
        <w:rPr>
          <w:rFonts w:hint="eastAsia" w:ascii="仿宋_GB2312" w:eastAsia="仿宋_GB2312"/>
          <w:color w:val="000000" w:themeColor="text1"/>
          <w:sz w:val="32"/>
          <w:szCs w:val="32"/>
        </w:rPr>
        <w:t>…………………………………………………………………………36</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致力绿色发展抓生态提品质</w:t>
      </w:r>
      <w:r>
        <w:rPr>
          <w:rFonts w:hint="eastAsia" w:ascii="仿宋_GB2312" w:eastAsia="仿宋_GB2312"/>
          <w:color w:val="000000" w:themeColor="text1"/>
          <w:sz w:val="32"/>
          <w:szCs w:val="32"/>
        </w:rPr>
        <w:t>…………………………………………………………………………43</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强化内外联动抓开放畅循环</w:t>
      </w:r>
      <w:r>
        <w:rPr>
          <w:rFonts w:hint="eastAsia" w:ascii="仿宋_GB2312" w:eastAsia="仿宋_GB2312"/>
          <w:color w:val="000000" w:themeColor="text1"/>
          <w:sz w:val="32"/>
          <w:szCs w:val="32"/>
        </w:rPr>
        <w:t>…………………………………………………………………………48</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推动共建共治共享抓民生增福祉</w:t>
      </w:r>
      <w:r>
        <w:rPr>
          <w:rFonts w:hint="eastAsia" w:ascii="仿宋_GB2312" w:eastAsia="仿宋_GB2312"/>
          <w:color w:val="000000" w:themeColor="text1"/>
          <w:sz w:val="32"/>
          <w:szCs w:val="32"/>
        </w:rPr>
        <w:t>……………………………………………………………………51</w:t>
      </w:r>
    </w:p>
    <w:p>
      <w:pPr>
        <w:widowControl/>
        <w:spacing w:line="600" w:lineRule="exact"/>
        <w:jc w:val="distribute"/>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政府自身建设六个方面要求</w:t>
      </w:r>
      <w:r>
        <w:rPr>
          <w:rFonts w:hint="eastAsia" w:ascii="仿宋_GB2312" w:eastAsia="仿宋_GB2312"/>
          <w:color w:val="000000" w:themeColor="text1"/>
          <w:sz w:val="32"/>
          <w:szCs w:val="32"/>
        </w:rPr>
        <w:t>…………………………………………………………………………66</w:t>
      </w:r>
    </w:p>
    <w:p>
      <w:pPr>
        <w:widowControl/>
        <w:jc w:val="left"/>
        <w:rPr>
          <w:rFonts w:ascii="仿宋_GB2312" w:eastAsia="仿宋_GB2312"/>
          <w:color w:val="000000" w:themeColor="text1"/>
          <w:sz w:val="28"/>
          <w:szCs w:val="28"/>
        </w:rPr>
        <w:sectPr>
          <w:footerReference r:id="rId3" w:type="default"/>
          <w:pgSz w:w="16838" w:h="11906" w:orient="landscape"/>
          <w:pgMar w:top="1418" w:right="1701" w:bottom="1134" w:left="1701" w:header="851" w:footer="851" w:gutter="0"/>
          <w:pgNumType w:fmt="numberInDash"/>
          <w:cols w:space="425" w:num="1"/>
          <w:docGrid w:type="lines" w:linePitch="312" w:charSpace="0"/>
        </w:sectPr>
      </w:pPr>
      <w:r>
        <w:rPr>
          <w:rFonts w:ascii="仿宋_GB2312" w:eastAsia="仿宋_GB2312"/>
          <w:color w:val="000000" w:themeColor="text1"/>
          <w:sz w:val="28"/>
          <w:szCs w:val="28"/>
        </w:rPr>
        <w:br w:type="page"/>
      </w:r>
    </w:p>
    <w:p>
      <w:pPr>
        <w:widowControl/>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“六个有机结合”工作遵循</w:t>
      </w:r>
    </w:p>
    <w:p>
      <w:pPr>
        <w:widowControl/>
        <w:spacing w:line="6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（6项）</w:t>
      </w:r>
    </w:p>
    <w:p>
      <w:pPr>
        <w:widowControl/>
        <w:spacing w:line="400" w:lineRule="exact"/>
        <w:jc w:val="center"/>
        <w:rPr>
          <w:rFonts w:ascii="方正小标宋简体" w:hAnsi="宋体" w:eastAsia="方正小标宋简体" w:cs="宋体"/>
          <w:color w:val="000000" w:themeColor="text1"/>
          <w:kern w:val="0"/>
          <w:sz w:val="32"/>
          <w:szCs w:val="32"/>
        </w:rPr>
      </w:pPr>
    </w:p>
    <w:tbl>
      <w:tblPr>
        <w:tblStyle w:val="5"/>
        <w:tblW w:w="14742" w:type="dxa"/>
        <w:jc w:val="center"/>
        <w:tblLayout w:type="autofit"/>
        <w:tblCellMar>
          <w:top w:w="0" w:type="dxa"/>
          <w:left w:w="108" w:type="dxa"/>
          <w:bottom w:w="0" w:type="dxa"/>
          <w:right w:w="108" w:type="dxa"/>
        </w:tblCellMar>
      </w:tblPr>
      <w:tblGrid>
        <w:gridCol w:w="933"/>
        <w:gridCol w:w="1805"/>
        <w:gridCol w:w="4271"/>
        <w:gridCol w:w="1567"/>
        <w:gridCol w:w="2146"/>
        <w:gridCol w:w="2657"/>
        <w:gridCol w:w="1363"/>
      </w:tblGrid>
      <w:tr>
        <w:tblPrEx>
          <w:tblCellMar>
            <w:top w:w="0" w:type="dxa"/>
            <w:left w:w="108" w:type="dxa"/>
            <w:bottom w:w="0" w:type="dxa"/>
            <w:right w:w="108" w:type="dxa"/>
          </w:tblCellMar>
        </w:tblPrEx>
        <w:trPr>
          <w:trHeight w:val="567" w:hRule="atLeast"/>
          <w:tblHeader/>
          <w:jc w:val="center"/>
        </w:trPr>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805"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4271"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67"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146"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657"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363"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3382"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坚持贯彻新发展理念和服务全国构建新发展格局有机结合。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把贯彻新发展理念的实践不断引向深入，积极融入以沈阳、大连为牵引的“一圈一带两区”区域发展格局，努力使盘锦成为辽宁服务构建新发展格局的战略节点、维护国家“五大安全”的区域支点，建成宜居宜业城乡融合的现代生态文明城市。</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市发展改革委</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restart"/>
            <w:tcBorders>
              <w:top w:val="nil"/>
              <w:left w:val="nil"/>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3261"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坚持实施扩大内需战略和深化供给侧结构性改革有机结合。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把握扩大内需这个战略基点，扭住供给侧结构性改革这条主线，注重需求侧管理，贯通生产、分配、流通、消费各环节，形成需求牵引供给、供给创造需求的更高水平动态平衡，提升经济发展整体效能。</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市商务局</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continue"/>
            <w:tcBorders>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140"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坚持聚力高质量发展项目和推进高水平制度创新有机结合。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立足“产业为先、项目为王”致力培育高质量项目群企业群，着眼“发展出题目、改革做文章”攻下一批高水平制度创新成果，促进改革发展深度融合、高效联动，努力实现以“六有”为标志的高质量发展。</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市发展改革委</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restart"/>
            <w:tcBorders>
              <w:top w:val="nil"/>
              <w:left w:val="nil"/>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4098"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坚持突出创新核心地位和实施营商环境优化战略有机结合。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着力争创国家创新型城市，奋力打造“办事方便、法治良好、成本竞争力强、生态宜居”的市场化法治化国际化营商环境，形成一流创新创业生态，激活高质量发展的内生动力。</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市司法局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市营商局</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continue"/>
            <w:tcBorders>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282"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坚持发展和安全有机结合。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系统观念，既履行好维护国防、粮食、生态、能源、产业安全政治责任，又立足五大领域谋划项目打造增值点，实现发展质量、结构、规模、速度、效益、安全相统一，切实把盘锦的发展建立在更加安全、更为可靠的基础之上。</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市生态环境局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市应急局</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restart"/>
            <w:tcBorders>
              <w:top w:val="nil"/>
              <w:left w:val="nil"/>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3972" w:hRule="atLeast"/>
          <w:jc w:val="center"/>
        </w:trPr>
        <w:tc>
          <w:tcPr>
            <w:tcW w:w="933"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805"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坚持抓好常态化疫情防控和经济社会发展工作有机结合。</w:t>
            </w:r>
          </w:p>
        </w:tc>
        <w:tc>
          <w:tcPr>
            <w:tcW w:w="427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领会落实“五个根本”的规律性认识，统筹防疫和发展，围绕“外防输入、内防反弹”做好长期作战的思想和工作准备，推动经济持续恢复增长，保持社会和谐稳定。</w:t>
            </w:r>
          </w:p>
        </w:tc>
        <w:tc>
          <w:tcPr>
            <w:tcW w:w="1567"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长期推进</w:t>
            </w:r>
          </w:p>
        </w:tc>
        <w:tc>
          <w:tcPr>
            <w:tcW w:w="214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市疫情防控</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指挥部办公室</w:t>
            </w:r>
          </w:p>
        </w:tc>
        <w:tc>
          <w:tcPr>
            <w:tcW w:w="2657"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63" w:type="dxa"/>
            <w:vMerge w:val="continue"/>
            <w:tcBorders>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p>
        </w:tc>
      </w:tr>
    </w:tbl>
    <w:p>
      <w:pPr>
        <w:widowControl/>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主要预期目标</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（10项）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858"/>
        <w:gridCol w:w="2002"/>
        <w:gridCol w:w="2226"/>
        <w:gridCol w:w="1930"/>
        <w:gridCol w:w="3413"/>
        <w:gridCol w:w="2910"/>
        <w:gridCol w:w="1403"/>
      </w:tblGrid>
      <w:tr>
        <w:tblPrEx>
          <w:tblCellMar>
            <w:top w:w="0" w:type="dxa"/>
            <w:left w:w="108" w:type="dxa"/>
            <w:bottom w:w="0" w:type="dxa"/>
            <w:right w:w="108" w:type="dxa"/>
          </w:tblCellMar>
        </w:tblPrEx>
        <w:trPr>
          <w:trHeight w:val="567" w:hRule="atLeast"/>
          <w:tblHeader/>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912"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126"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843"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326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779"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34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1734"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912"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地区生产总值增长6.5%左右。</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844"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一般公共预算收入增长6%。</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规模以上工业增加值增长8%。</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固定资产投资增长10%。</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社会消费品零售总额增长7%。</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实际利用外资2亿美元。</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实际到位内资增长10%。</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进出口总额增长10%。</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城乡居民收入与经济增长保持同步。</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市人力资源社会保障局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市农业农村局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1912"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城镇登记失业率控制在3%以内。</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326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市人力资源社会保障局</w:t>
            </w:r>
          </w:p>
        </w:tc>
        <w:tc>
          <w:tcPr>
            <w:tcW w:w="2779"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3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bl>
    <w:p>
      <w:pPr>
        <w:widowControl/>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聚焦高质量发展抓转型图振兴</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（17项）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810"/>
        <w:gridCol w:w="2399"/>
        <w:gridCol w:w="2700"/>
        <w:gridCol w:w="1578"/>
        <w:gridCol w:w="2584"/>
        <w:gridCol w:w="2727"/>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jc w:val="center"/>
        </w:trPr>
        <w:tc>
          <w:tcPr>
            <w:tcW w:w="680" w:type="dxa"/>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369"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667"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552"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693"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240"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（一）做好“三篇大文章”</w:t>
            </w: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2369"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全面实施改造升级“老字号”、深度开发“原字号”、培育壮大“新字号”专项行动计划，立足拉长产业链条和科技赋能传统产业双轮驱动，构建“1+2+3”制造业产业集群。</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全面实施改造升级“老字号”、深度开发“原字号”、培育壮大“新字号”专项行动计划。</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立足拉长产业链条和科技赋能传统产业双轮驱动，构建“1+2+3”制造业产业集群。</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（二）着力打造世界级石化产业基地</w:t>
            </w: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2369"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深化石化产业供给侧结构性改革，推动从原油、炼油到有机化工、精细化工的炼化一体化全产业链优化升级，形成以本地龙头企业为主体、链条企业众星拱月的产业集群生态圈。</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深化石化产业供给侧结构性改革。</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推动从原油、炼油到有机化工、精细化工的炼化一体化全产业链优化升级，形成以本地龙头企业为主体、链条企业众星拱月的产业集群生态圈。</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市石化及装备制造</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工程中心</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8" w:hRule="atLeast"/>
          <w:jc w:val="center"/>
        </w:trPr>
        <w:tc>
          <w:tcPr>
            <w:tcW w:w="680" w:type="dxa"/>
            <w:vMerge w:val="restart"/>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（二）着力打造世界级石化产业基地</w:t>
            </w: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2369"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支持辽河油田千万吨稳产，发挥华锦集团、宝来集团等骨干企业支撑牵动作用，推动乙烯、丙烯、碳四、芳烃四大产业向价值链中高端发展。</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支持辽河油田千万吨稳产。</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发挥华锦集团、宝来集团等骨干企业支撑牵动作用，推动乙烯、丙烯、碳四、芳烃四大产业向价值链中高端发展。</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680" w:type="dxa"/>
            <w:vMerge w:val="restart"/>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（二）着力打造世界级石化产业基地</w:t>
            </w: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2369"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用项目群支撑石化产业上下游延伸、拉长加粗产业链条，突出抓好威格斯聚醚醚酮、信汇环氧丙烷和叔丁醇联产、三力本诺特种工程树脂等19个重大延链补链强链项目，开发高端聚烯烃、工业膜材料、工业催化剂等高附加值产品，拓展增值空间。</w:t>
            </w: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用项目群支撑石化产业上下游延伸、拉长加粗产业链条，突出抓好威格斯聚醚醚酮、信汇环氧丙烷和叔丁醇联产、三力本诺特种工程树脂等19个重大延链补链强链项目,开发高端聚烯烃、工业膜材料、工业催化剂等高附加值产品，拓展增值空间。</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2369" w:type="dxa"/>
            <w:vMerge w:val="restart"/>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强化对各类开发区的实绩考核，支持盘锦精细化工产业开发区优化布局、扩大规模。</w:t>
            </w: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强化对各类开发区的实绩考核。</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36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支持盘锦精细化工产业开发区优化布局、扩大规模。</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双台子区政府</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（三）发展壮大两个特色产业</w:t>
            </w: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22</w:t>
            </w:r>
          </w:p>
        </w:tc>
        <w:tc>
          <w:tcPr>
            <w:tcW w:w="2369"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围绕建设东北粮食集散中心和精深加工产业基地，拓展水稻、大豆、水飞蓟精深加工和生物医药4条主导产业链，抓好中储粮粮食仓储物流等20个支撑项目，打造国家粮食安全区域保障基地和“北粮南运”枢纽。</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围绕建设东北粮食集散中心和精深加工产业基地，拓展水稻、大豆、水飞蓟精深加工和生物医药4条主导产业链。</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市农业农村局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抓好中储粮粮食仓储物流等20个支撑项目。</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打造国家粮食安全区域保障基地和“北粮南运”枢纽。</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市农业农村局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23</w:t>
            </w:r>
          </w:p>
        </w:tc>
        <w:tc>
          <w:tcPr>
            <w:tcW w:w="2369"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围绕石化装备、铝制品装备、海工装备等产业，推进智能制造重点项目建设，引导天意公司等装备制造企业向高端服务商转型。</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围绕石化装备、铝制品装备、海工装备等产业，推进智能制造重点项目建设。</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市石化及装备制造</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工程中心</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40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引导天意公司等装备制造企业向高端服务商转型。</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市石化及装备制造</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工程中心</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（四）培育发展三个新兴产业</w:t>
            </w: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24</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加快壮大光学电子、氢能、碳素材料等新兴产业，构建一批新的增长引擎。</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加快壮大光学电子、氢能、碳素材料等新兴产业，构建一批新的增长引擎。</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25</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中蓝电子光学产业基地项目一期投产、二期开工，氮化镓半导体芯片项目竣工投产。</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中蓝电子光学产业基地项目一期投产、二期开工，氮化镓半导体芯片项目竣工投产。</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26</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深化与清华工研院的战略合作，打造氢能产业研发中心和应用示范平台。</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深化与清华工研院的战略合作，打造氢能产业研发中心和应用示范平台。</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27</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依托宝来生物能源等企业培育碳素材料产业。培育壮大疫情防控中催生的新产业新模式。</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依托宝来生物能源等企业培育碳素材料产业。培育壮大疫情防控中催生的新产业新模式。</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0" w:hRule="atLeast"/>
          <w:jc w:val="center"/>
        </w:trPr>
        <w:tc>
          <w:tcPr>
            <w:tcW w:w="680" w:type="dxa"/>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（五）加快发展现代服务业</w:t>
            </w: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28</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旅游业“九大工程”，提升红海滩廊道5A级景区和北旅田园、鼎翔旅游区的内涵品质，打造以广厦艺术街和辽河碑林、辽河书法院、辽河楹联书法博物馆、辽河民俗博物馆、荣兴博物馆、盘锦特产博物馆等为支撑的文化旅游目的地，利用京沈高铁开通契机积极引客入盘，形成全域全季旅游发展态势。</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旅游业“九大工程”，提升红海滩廊道5A级景区和北旅田园、鼎翔旅游区的内涵品质，打造以广厦艺术街和辽河碑林、辽河书法院、辽河楹联书法博物馆、辽河民俗博物馆、荣兴博物馆、盘锦特产博物馆等为支撑的文化旅游目的地，利用京沈高铁开通契机积极引客入盘，形成全域全季旅游发展态势。</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市文旅广电局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jc w:val="center"/>
        </w:trPr>
        <w:tc>
          <w:tcPr>
            <w:tcW w:w="680" w:type="dxa"/>
            <w:vMerge w:val="restart"/>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（五）加快发展现代服务业</w:t>
            </w: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29</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推动消费新业态发展，创新电商直播、网红带货等线上线下消费场景，推进品牌连锁便利店建设和农贸市场智慧化改造，强化“辽河口渔家菜系”等美食品牌推广，改造提升夜经济街区8条。</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推动消费新业态发展，创新电商直播、网红带货等线上线下消费场景，推进品牌连锁便利店建设和农贸市场智慧化改造，强化“辽河口渔家菜系”等美食品牌推广，改造提升夜经济街区8条。</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30</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做强临港物流园、东北快递物流园、保税物流中心，构建从生产到运输、仓储、流通、配送的全链条现代物流体系。</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做强临港物流园、东北快递物流园、保税物流中心，构建从生产到运输、仓储、流通、配送的全链条现代物流体系。</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市商贸物流</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服务中心</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（六）优先打造“数字盘锦”</w:t>
            </w: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31</w:t>
            </w:r>
          </w:p>
        </w:tc>
        <w:tc>
          <w:tcPr>
            <w:tcW w:w="2369"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推进数字产业化和产业数字化，推动优势产业尽快插上“数字翅膀”，加速盘锦“数字蝶变”。</w:t>
            </w: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推进数字产业化和产业数字化，推动优势产业尽快插上“数字翅膀”，加速盘锦“数字蝶变”。</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p>
        </w:tc>
        <w:tc>
          <w:tcPr>
            <w:tcW w:w="2693"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32</w:t>
            </w:r>
          </w:p>
        </w:tc>
        <w:tc>
          <w:tcPr>
            <w:tcW w:w="2369" w:type="dxa"/>
            <w:vMerge w:val="restart"/>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做好政府和社会数据资源整合开放共享，落实5G 产业发展实施方案和工业互联网创新发展三年行动计划，建成5G基站2511个，打造一批“5G+工业互联网”示范工厂、工业互联网平台和数字化车间。</w:t>
            </w: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做好政府和社会数据资源整合开放共享。</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市智慧城市</w:t>
            </w:r>
          </w:p>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运管中心</w:t>
            </w:r>
          </w:p>
        </w:tc>
        <w:tc>
          <w:tcPr>
            <w:tcW w:w="2693"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369" w:type="dxa"/>
            <w:vMerge w:val="continue"/>
            <w:vAlign w:val="center"/>
          </w:tcPr>
          <w:p>
            <w:pPr>
              <w:snapToGrid w:val="0"/>
              <w:spacing w:line="360" w:lineRule="exact"/>
              <w:jc w:val="left"/>
              <w:rPr>
                <w:rFonts w:ascii="仿宋_GB2312" w:hAnsi="宋体" w:eastAsia="仿宋_GB2312" w:cs="宋体"/>
                <w:kern w:val="0"/>
                <w:sz w:val="28"/>
                <w:szCs w:val="28"/>
              </w:rPr>
            </w:pPr>
          </w:p>
        </w:tc>
        <w:tc>
          <w:tcPr>
            <w:tcW w:w="2667"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落实5G 产业发展实施方案和工业互联网创新发展三年行动计划，建成5G基站2511个，打造一批“5G+工业互联网”示范工厂、工业互联网平台和数字化车间。</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市通管办</w:t>
            </w:r>
          </w:p>
        </w:tc>
        <w:tc>
          <w:tcPr>
            <w:tcW w:w="2693"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33</w:t>
            </w:r>
          </w:p>
        </w:tc>
        <w:tc>
          <w:tcPr>
            <w:tcW w:w="2369"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推进辽东湾新区、盘锦高新区智慧园区建设。</w:t>
            </w:r>
          </w:p>
        </w:tc>
        <w:tc>
          <w:tcPr>
            <w:tcW w:w="2667"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推进辽东湾新区、盘锦高新区智慧园区建设。</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2"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2693"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240" w:type="dxa"/>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bl>
    <w:p>
      <w:pPr>
        <w:snapToGrid w:val="0"/>
        <w:spacing w:line="400" w:lineRule="exact"/>
        <w:jc w:val="center"/>
        <w:rPr>
          <w:rFonts w:ascii="方正小标宋简体" w:hAnsi="宋体" w:eastAsia="方正小标宋简体" w:cs="宋体"/>
          <w:color w:val="000000" w:themeColor="text1"/>
          <w:kern w:val="0"/>
          <w:sz w:val="28"/>
          <w:szCs w:val="28"/>
        </w:rPr>
      </w:pPr>
    </w:p>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实施高质量发展项目抓实体调结构</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（6项）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88"/>
        <w:gridCol w:w="809"/>
        <w:gridCol w:w="2659"/>
        <w:gridCol w:w="2727"/>
        <w:gridCol w:w="1866"/>
        <w:gridCol w:w="2153"/>
        <w:gridCol w:w="2584"/>
        <w:gridCol w:w="1256"/>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626"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693"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843"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126"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552"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24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6852" w:hRule="atLeast"/>
          <w:jc w:val="center"/>
        </w:trPr>
        <w:tc>
          <w:tcPr>
            <w:tcW w:w="680" w:type="dxa"/>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（一）宝来巴赛尔合资合作要实现更大突破</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34</w:t>
            </w:r>
          </w:p>
        </w:tc>
        <w:tc>
          <w:tcPr>
            <w:tcW w:w="2626"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积极为宝来巴赛尔项目建设创造有利条件，促进总投资400亿元的轻烃综合利用二期项目年内开工建设，尽早形成年产100万吨聚乙烯、128万吨环氧丙烷联产苯乙烯的能力。</w:t>
            </w: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积极为宝来巴赛尔项目建设创造有利条件，促进总投资400亿元的轻烃综合利用二期项目年内开工建设，尽早形成年产100万吨聚乙烯、128万吨环氧丙烷联产苯乙烯的能力。</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8251" w:hRule="atLeast"/>
          <w:jc w:val="center"/>
        </w:trPr>
        <w:tc>
          <w:tcPr>
            <w:tcW w:w="680" w:type="dxa"/>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（二）辽河储气库群项目要继续扩大规模</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35</w:t>
            </w:r>
          </w:p>
        </w:tc>
        <w:tc>
          <w:tcPr>
            <w:tcW w:w="2626"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支持辽河油田创新转型发展，推动总投资80.8亿元的双台子储气库群一期主体工程加快建设，促进总投资53.4亿元的黄金带储气库和总投资37.6亿元的马19储气库实现年内开工。</w:t>
            </w: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支持辽河油田创新转型发展，推动总投资80.8亿元的双台子储气库群一期主体工程加快建设，促进总投资53.4亿元的黄金带储气库和总投资37.6亿元的马19储气库实现年内开工。</w:t>
            </w:r>
          </w:p>
        </w:tc>
        <w:tc>
          <w:tcPr>
            <w:tcW w:w="1843"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盘山县政府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大洼区政府</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8250" w:hRule="atLeast"/>
          <w:jc w:val="center"/>
        </w:trPr>
        <w:tc>
          <w:tcPr>
            <w:tcW w:w="680" w:type="dxa"/>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（三）兵器集团精细化工及原料工程项目要开工建设</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36</w:t>
            </w:r>
          </w:p>
        </w:tc>
        <w:tc>
          <w:tcPr>
            <w:tcW w:w="2626"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落实与华锦集团合资协议和项目支持政策，精细化工及原料工程项目一季度开始现场施工，三季度进行主体装置施工，年底完成基础设计，为2023年底项目机械竣工奠定基础。</w:t>
            </w: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落实与华锦集团合资协议和项目支持政策，精细化工及原料工程项目一季度开始现场施工，三季度进行主体装置施工，年底完成基础设计，为2023年底项目机械竣工奠定基础。</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市发展改革委  </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610" w:hRule="atLeast"/>
          <w:jc w:val="center"/>
        </w:trPr>
        <w:tc>
          <w:tcPr>
            <w:tcW w:w="680"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（四）高质量项目群要加速形成</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37</w:t>
            </w:r>
          </w:p>
        </w:tc>
        <w:tc>
          <w:tcPr>
            <w:tcW w:w="2626"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完善项目推进机制，促进海航仓储项目二期等303个项目开工建设，支持浩业化工渣油加氢裂化等247个项目加快建设，累计实施重点项目550个，其中臻德化工润滑油加氢等200个项目竣工投产。</w:t>
            </w:r>
          </w:p>
        </w:tc>
        <w:tc>
          <w:tcPr>
            <w:tcW w:w="2693"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完善项目推进机制，促进海航仓储项目二期等303个项目开工建设，支持浩业化工渣油加氢裂化等247个项目加快建设，累计实施重点项目550个，其中臻德化工润滑油加氢等200个项目竣工投产。</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市发展改革委  </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33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38</w:t>
            </w:r>
          </w:p>
        </w:tc>
        <w:tc>
          <w:tcPr>
            <w:tcW w:w="2626"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同时,谋划储备“两新一重”项目100个，签约引进项目100个。</w:t>
            </w: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谋划储备“两新一重”项目100个。</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市发展改革委  </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26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626"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签约引进项目100个。</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市商务局 </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23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39</w:t>
            </w:r>
          </w:p>
        </w:tc>
        <w:tc>
          <w:tcPr>
            <w:tcW w:w="2626"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全年向上争取资金力争达到130亿元以上。</w:t>
            </w:r>
          </w:p>
        </w:tc>
        <w:tc>
          <w:tcPr>
            <w:tcW w:w="2693"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全年向上争取资金力争达到130亿元以上。</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bl>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攻坚高水平制度创新抓环境激活力</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（16项）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800"/>
        <w:gridCol w:w="2484"/>
        <w:gridCol w:w="2694"/>
        <w:gridCol w:w="1559"/>
        <w:gridCol w:w="2551"/>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jc w:val="center"/>
        </w:trPr>
        <w:tc>
          <w:tcPr>
            <w:tcW w:w="680" w:type="dxa"/>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484"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694"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551"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835"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134" w:type="dxa"/>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（一）实现办事便捷痛快</w:t>
            </w:r>
          </w:p>
        </w:tc>
        <w:tc>
          <w:tcPr>
            <w:tcW w:w="800" w:type="dxa"/>
            <w:vMerge w:val="restart"/>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40</w:t>
            </w:r>
          </w:p>
        </w:tc>
        <w:tc>
          <w:tcPr>
            <w:tcW w:w="2484" w:type="dxa"/>
            <w:vMerge w:val="restart"/>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承接国家和省下放权力的规范运行，推进审批权力应放尽放、全链条下放，全面实行政府权责清单制度，将保留的涉企经营许可事项纳入清单管理，推行承诺制审批和“证照分离”、容缺后补、以函代证办理，工程建设项目全流程审批时间缩短到75个工作日之内。</w:t>
            </w:r>
          </w:p>
        </w:tc>
        <w:tc>
          <w:tcPr>
            <w:tcW w:w="2694"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做好承接国家和省下放权力的规范运行，推进审批权力应放尽放、全链条下放。</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市营商局</w:t>
            </w:r>
          </w:p>
        </w:tc>
        <w:tc>
          <w:tcPr>
            <w:tcW w:w="2835"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36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全面实行政府权责清单制度。</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市委编办</w:t>
            </w:r>
          </w:p>
        </w:tc>
        <w:tc>
          <w:tcPr>
            <w:tcW w:w="2835"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蔡鸿源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36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将保留的涉企经营许可事项纳入清单管理，推行承诺制审批和“证照分离”、容缺后补、以函代证办理。</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市营商局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市市场监管局</w:t>
            </w:r>
          </w:p>
        </w:tc>
        <w:tc>
          <w:tcPr>
            <w:tcW w:w="2835"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36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工程建设项目全流程审批时间缩短到75个工作日之内。</w:t>
            </w:r>
          </w:p>
        </w:tc>
        <w:tc>
          <w:tcPr>
            <w:tcW w:w="1559"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市自然资源局</w:t>
            </w:r>
          </w:p>
        </w:tc>
        <w:tc>
          <w:tcPr>
            <w:tcW w:w="2835" w:type="dxa"/>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680" w:type="dxa"/>
            <w:vMerge w:val="restart"/>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（一）实现办事便捷痛快</w:t>
            </w: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41</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突破“一网通办”，做到政务服务事项100%网上可办、实办率大幅提高。</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突破“一网通办”，做到政务服务事项100%网上可办、实办率大幅提高。</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市营商局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2"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42</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政务服务规范化标准化便利化，加速我市政务服务平台与国家和省平台系统一体化并联共享，网上盘锦APP功能提升和辽事通APP推广共同发力,营商环境明察暗访和8890平台“好差评”双管齐下，在线政务和生活服务“24小时不打烊”，企业和群众“办事不求人”。</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政务服务规范化标准化便利化，加速我市政务服务平台与国家和省平台系统一体化并联共享，辽事通APP推广发力,营商环境明察暗访和8890平台“好差评”双管齐下，在线政务和生活服务“24小时不打烊”，企业和群众“办事不求人”。</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市营商局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（二）强化事中事后监管</w:t>
            </w:r>
          </w:p>
        </w:tc>
        <w:tc>
          <w:tcPr>
            <w:tcW w:w="800" w:type="dxa"/>
            <w:vMerge w:val="restart"/>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43</w:t>
            </w:r>
          </w:p>
        </w:tc>
        <w:tc>
          <w:tcPr>
            <w:tcW w:w="2484"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推进“双随机、一公开”跨部门跨区域联合监管，创新“互联网+监管”，对新产业新业态实行包容审慎监管，严格市场监管、质量监管、安全监管。</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推进“双随机、一公开”跨部门跨区域联合监管,创新“互联网+监管”。</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对新产业新业态实行包容审慎监管。</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严格市场监管、质量监管、安全监管</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市应急局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44</w:t>
            </w:r>
          </w:p>
        </w:tc>
        <w:tc>
          <w:tcPr>
            <w:tcW w:w="2484" w:type="dxa"/>
            <w:shd w:val="clear" w:color="000000" w:fill="FFFFFF"/>
            <w:vAlign w:val="center"/>
          </w:tcPr>
          <w:p>
            <w:pPr>
              <w:snapToGrid w:val="0"/>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健全社会诚信制度，完善行业自律规则。</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健全社会诚信制度，完善行业自律规则。</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市社会信用体系建设领导小组成员单位</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45</w:t>
            </w:r>
          </w:p>
        </w:tc>
        <w:tc>
          <w:tcPr>
            <w:tcW w:w="2484" w:type="dxa"/>
            <w:shd w:val="clear" w:color="000000" w:fill="FFFFFF"/>
            <w:vAlign w:val="center"/>
          </w:tcPr>
          <w:p>
            <w:pPr>
              <w:snapToGrid w:val="0"/>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强化违法惩戒，建立惩罚性赔偿和巨额罚款等制度。</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强化违法惩戒，建立惩罚性赔偿和巨额罚款等制度。</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市司法局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both"/>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（三）推进要素市场化配置</w:t>
            </w:r>
          </w:p>
        </w:tc>
        <w:tc>
          <w:tcPr>
            <w:tcW w:w="800" w:type="dxa"/>
            <w:vMerge w:val="restart"/>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46</w:t>
            </w:r>
          </w:p>
        </w:tc>
        <w:tc>
          <w:tcPr>
            <w:tcW w:w="2484"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完善要素市场化配置体制机制，统筹做好“八个专项整治”盘活存量建设用地，推进省级开发区工业项目“标准地”改革，促进产业用地市场化配置。</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完善要素市场化配置体制机制。</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统筹做好“八个专项整治”盘活存量建设用地。</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推进省级开发区工业项目“标准地”改革，促进产业用地市场化配置。</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80" w:type="dxa"/>
            <w:vMerge w:val="restart"/>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（三）推进要素市场化配置</w:t>
            </w:r>
          </w:p>
        </w:tc>
        <w:tc>
          <w:tcPr>
            <w:tcW w:w="800" w:type="dxa"/>
            <w:vMerge w:val="restart"/>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47</w:t>
            </w:r>
          </w:p>
        </w:tc>
        <w:tc>
          <w:tcPr>
            <w:tcW w:w="2484"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支持中蓝电子公司和市水务集团等企业上市，推动盘锦银行、盘锦农商行打造特色精品银行，做强市融资担保集团、科技担保公司，发挥金融顾问作用搞好银企对接，增加有效金融服务供给。</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支持中蓝电子公司和市水务集团等企业上市。</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市金融发展局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市水务集团</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推动盘锦银行、盘锦农商行打造特色精品银行。</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市金融发展局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盘锦银行</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盘锦农商行</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做强市融资担保集团、科技担保公司。</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市金融发展局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市融资担保集团</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市科技担保公司</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发挥金融顾问作用搞好银企对接，增加有效金融服务供给。</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市金融发展局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680" w:type="dxa"/>
            <w:vMerge w:val="continue"/>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48</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畅通劳动力和人才社会性流动渠道，激活技术和数据要素潜能。</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畅通劳动力和人才社会性流动渠道，激活技术和数据要素潜能。</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市人力资源社会</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保障局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0" w:hRule="atLeast"/>
          <w:jc w:val="center"/>
        </w:trPr>
        <w:tc>
          <w:tcPr>
            <w:tcW w:w="680" w:type="dxa"/>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（四）提升成本竞争力</w:t>
            </w: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49</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抓住降低制度性交易成本和要素成本这个关键，落实好国家减税降费政策，清理涉企行政事业性收费，压减行政审批中的管理成本和时间成本，让企业减负担、得实惠。</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抓住降低制度性交易成本和要素成本这个关键，落实好国家减税降费政策，清理涉企行政事业性收费，压减行政审批中的管理成本和时间成本，让企业减负担、得实惠。</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市营商局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市税务局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（五）深化国资国企改革</w:t>
            </w: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50</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制定实施国资国企改革三年行动方案，健全以管资本为主的国有资产监管体制，强化负面清单管理和尽责考核。</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制定实施国资国企改革三年行动方案，健全以管资本为主的国有资产监管体制，强化负面清单管理和尽责考核。</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市国资委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市属国有企业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51</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推进市属国有企业“三项制度”改革、股权多元化和混合所有制改革，加快建立现代企业制度。</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推进市属国有企业“三项制度”改革、股权多元化和混合所有制改革，加快建立现代企业制度。</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市国资委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市属国有企业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52</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重点市属国有企业资产总额、营业收入、利润、上缴国有资本收益均增长10%以上。</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重点市属国有企业资产总额、营业收入、利润、上缴国有资本收益均增长10%以上。</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市国资委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市属国有企业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680" w:type="dxa"/>
            <w:vMerge w:val="restart"/>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（六）促进民营经济健康发展</w:t>
            </w: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53</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构建亲清政商关系，依法平等保护民营企业产权和企业家权益，弘扬企业家精神，打造高素质盘商队伍。</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构建亲清政商关系，依法平等保护民营企业产权和企业家权益，弘扬企业家精神，打造高素质盘商队伍。</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市工商联</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54</w:t>
            </w:r>
          </w:p>
        </w:tc>
        <w:tc>
          <w:tcPr>
            <w:tcW w:w="2484" w:type="dxa"/>
            <w:vMerge w:val="restart"/>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打好促进中小微企业和个体工商户发展的政策“组合拳”，破除制约民营企业发展的各种壁垒，落实公平竞争审查机制，保证市场主体平等获取生产要素和政策支持。</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打好促进中小微企业和个体工商户发展的政策“组合拳”，破除制约民营企业发展的各种壁垒。</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vAlign w:val="center"/>
          </w:tcPr>
          <w:p>
            <w:pPr>
              <w:snapToGrid w:val="0"/>
              <w:spacing w:line="400" w:lineRule="exact"/>
              <w:jc w:val="left"/>
              <w:rPr>
                <w:rFonts w:ascii="仿宋_GB2312" w:hAnsi="宋体" w:eastAsia="仿宋_GB2312" w:cs="宋体"/>
                <w:kern w:val="0"/>
                <w:sz w:val="28"/>
                <w:szCs w:val="28"/>
              </w:rPr>
            </w:pP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落实公平竞争审查机制，保证市场主体平等获取生产要素和政策支持。</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市司法局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市直相关部门</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680" w:type="dxa"/>
            <w:vMerge w:val="continue"/>
            <w:vAlign w:val="center"/>
          </w:tcPr>
          <w:p>
            <w:pPr>
              <w:snapToGrid w:val="0"/>
              <w:spacing w:line="400" w:lineRule="exact"/>
              <w:jc w:val="left"/>
              <w:rPr>
                <w:rFonts w:ascii="仿宋_GB2312" w:hAnsi="宋体" w:eastAsia="仿宋_GB2312" w:cs="宋体"/>
                <w:kern w:val="0"/>
                <w:sz w:val="28"/>
                <w:szCs w:val="28"/>
              </w:rPr>
            </w:pPr>
          </w:p>
        </w:tc>
        <w:tc>
          <w:tcPr>
            <w:tcW w:w="800"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55</w:t>
            </w:r>
          </w:p>
        </w:tc>
        <w:tc>
          <w:tcPr>
            <w:tcW w:w="248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实施民营企业培育升级计划，新增“个转企”500户、“小升规”30户、“规升巨”5户。</w:t>
            </w:r>
          </w:p>
        </w:tc>
        <w:tc>
          <w:tcPr>
            <w:tcW w:w="2694" w:type="dxa"/>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实施民营企业培育升级计划，新增“个转企”500户、“小升规”30户、“规升巨”5户。</w:t>
            </w:r>
          </w:p>
        </w:tc>
        <w:tc>
          <w:tcPr>
            <w:tcW w:w="1559"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551"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p>
        </w:tc>
        <w:tc>
          <w:tcPr>
            <w:tcW w:w="2835"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bl>
    <w:p>
      <w:pPr>
        <w:snapToGrid w:val="0"/>
        <w:spacing w:line="400" w:lineRule="exact"/>
        <w:jc w:val="center"/>
        <w:rPr>
          <w:rFonts w:ascii="方正小标宋简体" w:hAnsi="宋体" w:eastAsia="方正小标宋简体" w:cs="宋体"/>
          <w:color w:val="000000" w:themeColor="text1"/>
          <w:kern w:val="0"/>
          <w:sz w:val="28"/>
          <w:szCs w:val="28"/>
        </w:rPr>
      </w:pPr>
    </w:p>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引育壮大新动能抓科创促升级</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（11项）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88"/>
        <w:gridCol w:w="810"/>
        <w:gridCol w:w="2946"/>
        <w:gridCol w:w="3013"/>
        <w:gridCol w:w="1580"/>
        <w:gridCol w:w="2009"/>
        <w:gridCol w:w="2584"/>
        <w:gridCol w:w="1112"/>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91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97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6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1984"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552"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098"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1515"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（一）促进产学研紧密结合</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56</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强化企业创新主体地位，引导企业和高校、科研机构之间建立市场化契约关系，结成产学研实质性联盟。</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强化企业创新主体地位，引导企业和高校、科研机构之间建立市场化契约关系，结成产学研实质性联盟。</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1879"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57</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支持企业与大连理工大学、中科院大连化物所、中科院沈阳技术转移中心及专家工作站等深化研发合作，在精细化工、高端智能装备等领域攻克一批关键核心技术。</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支持企业与大连理工大学、中科院大连化物所、中科院沈阳技术转移中心及专家工作站等深化研发合作，在精细化工、高端智能装备等领域攻克一批关键核心技术。</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大连理工盘锦产业技术研究院</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198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58</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实施科技攻关项目20个，新增雏鹰企业30家、瞪羚企业3家，新培育高新技术企业65家，全社会研发支出占地区生产总值比重达到2.8%以上。</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实施科技攻关项目20个，新增雏鹰企业30家、瞪羚企业3家，新培育高新技术企业65家，全社会研发支出占地区生产总值比重达到2.8%以上。</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市产业技术</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创研工程中心</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3006"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（二）加强共性技术创新平台建设</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59</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力争在高水平产业技术研究院和企业研发中心建设上实现突破，推动产业链上中下游、大中小企业融通创新。</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力争在高水平产业技术研究院和企业研发中心建设上实现突破，推动产业链上中下游、大中小企业融通创新。</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市产业技术</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创研工程中心</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241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60</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优化盘锦高新区空间布局，提升创新孵化功能，打造全市创新高地。</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优化盘锦高新区空间布局，提升创新孵化功能，打造全市创新高地。</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盘锦高新区</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管委会</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2814"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61</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推进中试基地和石化产品检验检测平台建设。</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推进中试基地和石化产品检验检测平台建设。</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市产业技术</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创研工程中心市检验检测</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中心</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大连理工盘锦产业技术研究院</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3289"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（三）提高科技成果转移转化成效</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62</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完善科技创新体制机制，健全并落实支持成果转化的政策措施，加强知识产权保护，推动重点领域项目、基地、人才、资金一体化配置。</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完善科技创新体制机制，健全并落实支持成果转化的政策措施，加强知识产权保护，推动重点领域项目、基地、人才、资金一体化配置。</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市市场监管局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市人力资源社会</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保障局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2531"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63</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发挥政府引导基金作用，引进和培育天使基金、风投基金，形成以企业为主体的多元化投资体系。</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发挥政府引导基金作用，引进和培育天使基金、风投基金，形成以企业为主体的多元化投资体系。</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市金融发展局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市工业和信息化局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市国资委</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市国投集团</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14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64</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全年科技成果转移转化60项以上。</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全年科技成果转移转化60项以上。</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市产业技术</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创研工程中心</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各县区政府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3147"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（四）打造人才集聚高地</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65</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深化人才发展体制机制改革，营造识才爱才敬才用才的浓厚氛围。</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深化人才发展体制机制改革，营造识才爱才敬才用才的浓厚氛围。</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市工业和信息化局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市教育局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市卫生健康委</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509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66</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面放开对高校和职业院校毕业生、留学归国人员的落户限制，积极实施“项目+团队”“带土移植”工程，持续开展“海外学子创业行”“双创盘锦精英荟”等活动，引进和培养一批科技领军人才和高水平创新团队。</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全面放开对高校和职业院校毕业生、留学归国人员的落户限制，积极实施“项目+团队”“带土移植”工程，持续开展“海外学子创业行”“双创盘锦精英荟”等活动，引进和培养一批科技领军人才和高水平创新团队。</w:t>
            </w:r>
          </w:p>
        </w:tc>
        <w:tc>
          <w:tcPr>
            <w:tcW w:w="156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098"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bl>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推进城乡融合抓协调优布局</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（19项）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89"/>
        <w:gridCol w:w="810"/>
        <w:gridCol w:w="2515"/>
        <w:gridCol w:w="2440"/>
        <w:gridCol w:w="1578"/>
        <w:gridCol w:w="2870"/>
        <w:gridCol w:w="2584"/>
        <w:gridCol w:w="1256"/>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484"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835"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552"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24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6851" w:hRule="atLeast"/>
          <w:jc w:val="center"/>
        </w:trPr>
        <w:tc>
          <w:tcPr>
            <w:tcW w:w="680" w:type="dxa"/>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（一）全力做好新时代“三农”工作</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67</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贯彻中央农村工作会议和一号文件精神，落实农业农村优先发展的方针，推动“三农”工作重心向全面推进乡村振兴转移，促进农业高质高效、乡村宜居宜业、农民富裕富足。</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贯彻中央农村工作会议和一号文件精神，落实农业农村优先发展的方针，推动“三农”工作重心向全面推进乡村振兴转移，促进农业高质高效、乡村宜居宜业、农民富裕富足。</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3714" w:hRule="atLeast"/>
          <w:jc w:val="center"/>
        </w:trPr>
        <w:tc>
          <w:tcPr>
            <w:tcW w:w="680" w:type="dxa"/>
            <w:vMerge w:val="restart"/>
            <w:tcBorders>
              <w:top w:val="nil"/>
              <w:left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（二）加快农业现代化</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68</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开展国家地标产品品牌价值提升计划，加大假冒侵权行为打击力度，放大盘锦大米中欧地理标志协定产品的品牌效应。</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开展国家地标产品品牌价值提升计划，加大假冒侵权行为打击力度，放大盘锦大米中欧地理标志协定产品的品牌效应。</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4531"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69</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发挥高升省级农产品加工集聚区的牵动作用，抓好长寿乐、益海嘉里等农产品深加工项目建设，大力发展“粮头食尾”“农头工尾”的特色农产品加工业。</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发挥高升省级农产品加工集聚区的牵动作用，抓好长寿乐、益海嘉里等农产品深加工项目建设，大力发展“粮头食尾”“农头工尾”的特色农产品加工业。</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5982"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（二）加快农业现代化</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70</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产业联盟+基地+农户”现代农业发展模式取得更大实效，引领两大联盟强强联合、抱团打市场，推广“十大庄园”种养模式，综合实施高标准农田建设、农田水利设施改造和优质稻蟹种养三大工程，解决好种子和耕地问题，推动品种培优、品质提升、品牌打造和标准化生产。</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产业联盟+基地+农户”现代农业发展模式取得更大实效，引领两大联盟强强联合、抱团打市场，推广“十大庄园”种养模式，综合实施高标准农田建设、农田水利设施改造和优质稻蟹种养三大工程，解决好种子和耕地问题，推动品种培优、品质提升、品牌打造和标准化生产。</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市市场监管局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市水利局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2409"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71</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新建改造高标准农田8.45万亩，蟹稻综合种养面积达到85万亩，粮食总产量稳定在110万吨以上。</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新建改造高标准农田8.45万亩，蟹稻综合种养面积达到85万亩，粮食总产量稳定在110万吨以上。</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1290"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（三）实施乡村建设行动</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72</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建强乡村振兴产业园，办好第三届乡博会。</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建强乡村振兴产业园，办好第三届乡博会。</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大洼区政府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盘山县政府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双台子区政府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兴隆台区政府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208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73</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持续推进农村人居环境整治，巩固提升美丽乡村建设成果，进一步改善基础设施，完成农村改厕、小污设施等工程的评估验收，健全运营管护长效机制。</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持续推进农村人居环境整治，巩固提升美丽乡村建设成果，进一步改善基础设施，完成农村改厕、小污设施等工程的评估验收，健全运营管护长效机制。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76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74</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支持新建一批宜居型示范农房。</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支持新建一批宜居型示范农房。</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859"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75</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建设“四好农村路”150公里。</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建设“四好农村路”150公里。</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64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76</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打造园林新村24个。</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打造园林新村24个。</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459"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77</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推进盘山国家新型城镇化示范县、农村水系连通综合整治试点县建设，打造北方美丽乡村样板。</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推进盘山国家新型城镇化示范县、农村水系连通综合整治试点县建设，打造北方美丽乡村样板。</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盘山县政府</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1588"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（四）实施城市更新行动</w:t>
            </w: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78</w:t>
            </w:r>
          </w:p>
        </w:tc>
        <w:tc>
          <w:tcPr>
            <w:tcW w:w="248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根据国家住建部和省政府城市更新共建协议，制定实施我市城市更新行动计划。</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根据国家住建部和省政府城市更新共建协议，制定实施我市城市更新行动计划。</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01"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79</w:t>
            </w:r>
          </w:p>
        </w:tc>
        <w:tc>
          <w:tcPr>
            <w:tcW w:w="248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统筹抓好海绵城市、韧性城市、节水型城市、智慧城市建设，推进城市生态修复、功能完善、留白留璞增绿，千亩城市绿岛建成开放，新改造老旧小区28个，实施房地产项目22个，竣工城市排水防涝及易涝点整治项目8个，建成口袋公园10个，加快辽西北供水盘锦应急支线工程建设。</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抓好海绵城市建设。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95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抓好韧性城市建设。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014"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抓好节水型城市建设。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93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抓好智慧城市建设。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市智慧城市运管中心</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72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推进城市生态修复、功能完善、留白留璞增绿，千亩城市绿岛建成开放。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兴隆台区政府</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05"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新改造老旧小区28个。</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596"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实施房地产项目22个。</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市住房城乡建设局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99"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（四）实施城市更新行动</w:t>
            </w:r>
          </w:p>
        </w:tc>
        <w:tc>
          <w:tcPr>
            <w:tcW w:w="80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80</w:t>
            </w:r>
          </w:p>
        </w:tc>
        <w:tc>
          <w:tcPr>
            <w:tcW w:w="248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启动盘锦高铁兴隆台接驳站、盘锦火车站东广场交通枢纽建设，实施海欢线中修和霍田路改造工程，完善高速公路出入口便民设施。</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启动盘锦火车站东广场交通枢纽建设。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双台子区政府</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356"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实施海欢线中修和霍田路改造工程。</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盘山县政府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兴隆台区政府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大洼区政府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80"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81</w:t>
            </w:r>
          </w:p>
        </w:tc>
        <w:tc>
          <w:tcPr>
            <w:tcW w:w="248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打造商东文明交通示范街区，建设智慧停车场26个、智慧停车位8000个、公交停车场6个，新增农村公交车辆200台，调整优化农村公交线路29条，确保国家公交都市创建通过验收。</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建设智慧停车场26个、智慧停车位8000个、公交停车场6个。</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市公安局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市客运公交集团</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80"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新增农村公交车辆200台，调整优化农村公交线路29条。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780"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确保国家公交都市创建通过验收。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283"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（四）实施城市更新行动</w:t>
            </w: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82</w:t>
            </w:r>
          </w:p>
        </w:tc>
        <w:tc>
          <w:tcPr>
            <w:tcW w:w="2484"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拓展新时代文明实践中心建设。</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拓展新时代文明实践中心建设。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市委宣传部</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姜  冰</w:t>
            </w:r>
          </w:p>
        </w:tc>
      </w:tr>
      <w:tr>
        <w:tblPrEx>
          <w:tblCellMar>
            <w:top w:w="0" w:type="dxa"/>
            <w:left w:w="108" w:type="dxa"/>
            <w:bottom w:w="0" w:type="dxa"/>
            <w:right w:w="108" w:type="dxa"/>
          </w:tblCellMar>
        </w:tblPrEx>
        <w:trPr>
          <w:trHeight w:val="127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83</w:t>
            </w:r>
          </w:p>
        </w:tc>
        <w:tc>
          <w:tcPr>
            <w:tcW w:w="2484"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推动创建全国文明城市转入常态化轨道。</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推动创建全国文明城市转入常态化轨道。</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市委宣传部</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姜  冰</w:t>
            </w:r>
          </w:p>
        </w:tc>
      </w:tr>
      <w:tr>
        <w:tblPrEx>
          <w:tblCellMar>
            <w:top w:w="0" w:type="dxa"/>
            <w:left w:w="108" w:type="dxa"/>
            <w:bottom w:w="0" w:type="dxa"/>
            <w:right w:w="108" w:type="dxa"/>
          </w:tblCellMar>
        </w:tblPrEx>
        <w:trPr>
          <w:trHeight w:val="1579"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（五）引导城乡深度融合</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84</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构建基础设施互联互通、要素双向交流互动、公共服务统一均等的城乡融合发展长效机制。</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构建基础设施互联互通、要素双向交流互动、公共服务统一均等的城乡融合发展长效机制。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699"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85</w:t>
            </w:r>
          </w:p>
        </w:tc>
        <w:tc>
          <w:tcPr>
            <w:tcW w:w="2484"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保障进城落户农民土地承包权、宅基地使用权、集体收益分配权，鼓励依法自愿有偿转让，促进农业转移人口市民化。</w:t>
            </w:r>
          </w:p>
        </w:tc>
        <w:tc>
          <w:tcPr>
            <w:tcW w:w="24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保障进城落户农民土地承包权、宅基地使用权、集体收益分配权，鼓励依法自愿有偿转让，促进农业转移人口市民化。</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83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p>
        </w:tc>
        <w:tc>
          <w:tcPr>
            <w:tcW w:w="255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bl>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致力绿色发展抓生态提品质</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（13项）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80"/>
        <w:gridCol w:w="800"/>
        <w:gridCol w:w="2736"/>
        <w:gridCol w:w="3255"/>
        <w:gridCol w:w="1546"/>
        <w:gridCol w:w="1966"/>
        <w:gridCol w:w="2528"/>
        <w:gridCol w:w="1231"/>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484"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3261"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1984"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552"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240" w:type="dxa"/>
            <w:tcBorders>
              <w:top w:val="single" w:color="auto" w:sz="4" w:space="0"/>
              <w:left w:val="nil"/>
              <w:bottom w:val="single" w:color="auto" w:sz="4" w:space="0"/>
              <w:right w:val="single" w:color="auto" w:sz="4" w:space="0"/>
            </w:tcBorders>
            <w:shd w:val="clear" w:color="auto" w:fill="auto"/>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4158" w:hRule="atLeast"/>
          <w:jc w:val="center"/>
        </w:trPr>
        <w:tc>
          <w:tcPr>
            <w:tcW w:w="680"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（一）优化国土空间布局</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86</w:t>
            </w:r>
          </w:p>
        </w:tc>
        <w:tc>
          <w:tcPr>
            <w:tcW w:w="2484"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高水平编制《盘锦市国土空间总体规划（2020—2035）》，调优生产生态生活三大空间格局，划定生态保护红线、永久基本农田、城镇开发边界三条控制线。</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高水平编制《盘锦市国土空间总体规划（2020—2035）》，调优生产生态生活三大空间格局，划定生态保护红线、永久基本农田、城镇开发边界三条控制线。</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81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87</w:t>
            </w:r>
          </w:p>
        </w:tc>
        <w:tc>
          <w:tcPr>
            <w:tcW w:w="2484"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持续创建国家生态文明建设示范市。</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持续创建国家生态文明建设示范市。</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2581" w:hRule="atLeast"/>
          <w:jc w:val="center"/>
        </w:trPr>
        <w:tc>
          <w:tcPr>
            <w:tcW w:w="680" w:type="dxa"/>
            <w:vMerge w:val="restart"/>
            <w:tcBorders>
              <w:top w:val="nil"/>
              <w:left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（二）做好湿地保护</w:t>
            </w:r>
          </w:p>
        </w:tc>
        <w:tc>
          <w:tcPr>
            <w:tcW w:w="800" w:type="dxa"/>
            <w:vMerge w:val="restart"/>
            <w:tcBorders>
              <w:top w:val="nil"/>
              <w:left w:val="single" w:color="auto" w:sz="4" w:space="0"/>
              <w:bottom w:val="nil"/>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88</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协同创建辽河国家公园，完成盘锦段边界和流域功能分区划定，统筹抓好辽河干流盘锦段防洪提升、生态封育和沿岸绿廊绿带建设工程，打造北方河道、湿地生态修复样板。</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协同创建辽河国家公园，完成盘锦段边界和流域功能分区划定。</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403" w:hRule="atLeast"/>
          <w:jc w:val="center"/>
        </w:trPr>
        <w:tc>
          <w:tcPr>
            <w:tcW w:w="680" w:type="dxa"/>
            <w:vMerge w:val="continue"/>
            <w:tcBorders>
              <w:left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nil"/>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抓好辽河干流盘锦段防洪提升和生态封育工程，打造北方河道、湿地生态修复样板。</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市水利局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1555" w:hRule="atLeast"/>
          <w:jc w:val="center"/>
        </w:trPr>
        <w:tc>
          <w:tcPr>
            <w:tcW w:w="680" w:type="dxa"/>
            <w:vMerge w:val="continue"/>
            <w:tcBorders>
              <w:left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89</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推行林长制，巩固提升全域绿化美化成果，植树造林23万株。</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推行林长制，巩固提升全域绿化美化成果。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677" w:hRule="atLeast"/>
          <w:jc w:val="center"/>
        </w:trPr>
        <w:tc>
          <w:tcPr>
            <w:tcW w:w="680"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植树造林23万株。</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297" w:hRule="atLeast"/>
          <w:jc w:val="center"/>
        </w:trPr>
        <w:tc>
          <w:tcPr>
            <w:tcW w:w="680" w:type="dxa"/>
            <w:vMerge w:val="restart"/>
            <w:tcBorders>
              <w:top w:val="nil"/>
              <w:left w:val="single" w:color="auto" w:sz="4" w:space="0"/>
              <w:right w:val="single" w:color="auto" w:sz="4" w:space="0"/>
            </w:tcBorders>
            <w:shd w:val="clear" w:color="auto" w:fill="auto"/>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（二）做好湿地保护</w:t>
            </w: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90</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实施蓝色海湾整治二期工程，将“退养还湿”列入国家重要生态保护、重大生态修复项目争取资金支持，扩大红海滩生态修复规模，加强滨海湿地、沿海滩涂生态补水提升“双肾”功能。</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实施蓝色海湾整治二期工程。将“退养还湿”列入国家重要生态保护、重大生态修复项目争取资金支持。</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盘山县政府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069" w:hRule="atLeast"/>
          <w:jc w:val="center"/>
        </w:trPr>
        <w:tc>
          <w:tcPr>
            <w:tcW w:w="680" w:type="dxa"/>
            <w:vMerge w:val="continue"/>
            <w:tcBorders>
              <w:left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扩大红海滩生态修复规模。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市自然资源局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市文旅集团</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市水利局</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607" w:hRule="atLeast"/>
          <w:jc w:val="center"/>
        </w:trPr>
        <w:tc>
          <w:tcPr>
            <w:tcW w:w="680" w:type="dxa"/>
            <w:vMerge w:val="continue"/>
            <w:tcBorders>
              <w:left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加强滨海湿地、沿海滩涂生态补水提升“双肾”功能。</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市水利局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市文旅集团</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盘山县政府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大洼区政府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559" w:hRule="atLeast"/>
          <w:jc w:val="center"/>
        </w:trPr>
        <w:tc>
          <w:tcPr>
            <w:tcW w:w="680" w:type="dxa"/>
            <w:vMerge w:val="continue"/>
            <w:tcBorders>
              <w:left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91</w:t>
            </w:r>
          </w:p>
        </w:tc>
        <w:tc>
          <w:tcPr>
            <w:tcW w:w="2484" w:type="dxa"/>
            <w:tcBorders>
              <w:top w:val="nil"/>
              <w:left w:val="nil"/>
              <w:bottom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推进黄（渤）海候鸟栖息地申遗工作。</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推进黄（渤）海候鸟栖息地申遗工作。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761" w:hRule="atLeast"/>
          <w:jc w:val="center"/>
        </w:trPr>
        <w:tc>
          <w:tcPr>
            <w:tcW w:w="680"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92</w:t>
            </w:r>
          </w:p>
        </w:tc>
        <w:tc>
          <w:tcPr>
            <w:tcW w:w="2484"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做好国际湿地城市认证后续工作确保如期授牌。</w:t>
            </w:r>
          </w:p>
        </w:tc>
        <w:tc>
          <w:tcPr>
            <w:tcW w:w="3261" w:type="dxa"/>
            <w:tcBorders>
              <w:top w:val="nil"/>
              <w:left w:val="nil"/>
              <w:bottom w:val="single" w:color="auto" w:sz="4" w:space="0"/>
              <w:right w:val="single" w:color="auto" w:sz="4" w:space="0"/>
            </w:tcBorders>
            <w:shd w:val="clear" w:color="auto" w:fill="auto"/>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做好国际湿地城市认证后续工作确保如期授牌。</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市林湿局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140" w:hRule="atLeast"/>
          <w:jc w:val="center"/>
        </w:trPr>
        <w:tc>
          <w:tcPr>
            <w:tcW w:w="680"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（三）开展减污降碳行动</w:t>
            </w: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93</w:t>
            </w:r>
          </w:p>
        </w:tc>
        <w:tc>
          <w:tcPr>
            <w:tcW w:w="2484"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强化多污染物治理，加强细颗粒物和臭氧协同控制，城市空气质量优良天数达到300天以上。</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强化多污染物治理，加强细颗粒物和臭氧协同控制，城市空气质量优良天数达到300天以上。</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94</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强化河（湖）长制，推进河湖治理常态化规范化，抓好10座乡镇污水处理厂改造提标，确保河流和近岸海域水质稳定向好。</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强化河（湖）长制，推进河湖治理常态化规范化。</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市水利局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5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6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抓好10座乡镇污水处理厂改造提标。</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5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6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确保河流和近岸海域水质稳定向好。</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283"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95</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加强危险废弃物、医疗废物收集处理，推进化肥农药减量化和土壤污染治理。</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加强危险废弃物、医疗废物收集处理。</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市卫生健康委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市住房城乡</w:t>
            </w:r>
          </w:p>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70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6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推进化肥农药减量化和土壤污染治理。</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223"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96</w:t>
            </w:r>
          </w:p>
        </w:tc>
        <w:tc>
          <w:tcPr>
            <w:tcW w:w="2484"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按要求做好碳达峰工作。</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按要求做好碳达峰工作。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140" w:hRule="atLeast"/>
          <w:jc w:val="center"/>
        </w:trPr>
        <w:tc>
          <w:tcPr>
            <w:tcW w:w="680"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（四）推进绿色发展</w:t>
            </w: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97</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推动经济社会发展“生态+”转型，促进重点行业和重要领域“绿色+”改造，发展绿色金融，支持绿色技术创新，加大装配式建筑推广力度，创建一批绿色工厂。</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推动经济社会发展“生态+”转型，促进重点行业和重要领域“绿色+”改造。</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市工业和</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信息化局</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市石化及装备</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制造工程中心</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1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发展绿色金融。</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市金融发展局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支持绿色技术创新。</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市科技局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11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加大装配式建筑推广力度，创建一批绿色工厂。</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85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98</w:t>
            </w:r>
          </w:p>
        </w:tc>
        <w:tc>
          <w:tcPr>
            <w:tcW w:w="2484"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加快构建废旧物资循环利用体系，实施好垃圾分类条例，确保全国无废城市建设试点顺利通过评估验收。</w:t>
            </w: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加快构建废旧物资循环利用体系。</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市商贸物流</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服务中心</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1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实施好垃圾分类条例。</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w:t>
            </w:r>
          </w:p>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1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484"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3261" w:type="dxa"/>
            <w:tcBorders>
              <w:top w:val="nil"/>
              <w:left w:val="nil"/>
              <w:bottom w:val="single" w:color="auto" w:sz="4" w:space="0"/>
              <w:right w:val="single" w:color="auto" w:sz="4" w:space="0"/>
            </w:tcBorders>
            <w:shd w:val="clear" w:color="auto" w:fill="auto"/>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确保全国无废城市建设试点顺利通过评估验收。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4"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市生态环境局</w:t>
            </w:r>
          </w:p>
        </w:tc>
        <w:tc>
          <w:tcPr>
            <w:tcW w:w="2552" w:type="dxa"/>
            <w:tcBorders>
              <w:top w:val="nil"/>
              <w:left w:val="nil"/>
              <w:bottom w:val="single" w:color="auto" w:sz="4" w:space="0"/>
              <w:right w:val="single" w:color="auto" w:sz="4" w:space="0"/>
            </w:tcBorders>
            <w:shd w:val="clear" w:color="auto" w:fill="auto"/>
            <w:vAlign w:val="center"/>
          </w:tcPr>
          <w:p>
            <w:pPr>
              <w:snapToGrid w:val="0"/>
              <w:spacing w:line="3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auto" w:fill="auto"/>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bl>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强化内外联动抓开放畅循环</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（7项）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88"/>
        <w:gridCol w:w="810"/>
        <w:gridCol w:w="2946"/>
        <w:gridCol w:w="2727"/>
        <w:gridCol w:w="1578"/>
        <w:gridCol w:w="2010"/>
        <w:gridCol w:w="2727"/>
        <w:gridCol w:w="1256"/>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91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693"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1985"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693"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24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1230"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（一）对接双循环扩大开放合作</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99</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抢抓融入共建“一带一路”重大机遇，面向东北亚，深耕日韩俄，实行更高水平对外开放。</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抢抓融入共建“一带一路”重大机遇，面向东北亚，深耕日韩俄，实行更高水平对外开放。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75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100</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做好宝来巴赛尔二期等重大外资项目缴资工作。</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做好宝来巴赛尔二期等重大外资项目缴资工作。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08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101</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抓好国家外贸转型升级基地建设，实施外贸双量增长计划。</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抓好国家外贸转型升级基地建设，实施外贸双量增长计划。</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242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102</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推进跨境电子商务综合试验区建设，引进10家跨境电商企业，力争跨境电商产业集聚区挂牌运营。</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推进跨境电子商务综合试验区建设，引进10家跨境电商企业，力争跨境电商产业集聚区挂牌运营。</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2250" w:hRule="atLeast"/>
          <w:jc w:val="center"/>
        </w:trPr>
        <w:tc>
          <w:tcPr>
            <w:tcW w:w="680" w:type="dxa"/>
            <w:vMerge w:val="restart"/>
            <w:tcBorders>
              <w:top w:val="nil"/>
              <w:left w:val="single" w:color="auto" w:sz="4" w:space="0"/>
              <w:bottom w:val="single" w:color="000000"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（二）融入大循环提升对内合作层级</w:t>
            </w: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103</w:t>
            </w:r>
          </w:p>
        </w:tc>
        <w:tc>
          <w:tcPr>
            <w:tcW w:w="2910" w:type="dxa"/>
            <w:vMerge w:val="restart"/>
            <w:tcBorders>
              <w:top w:val="nil"/>
              <w:left w:val="single" w:color="auto" w:sz="4" w:space="0"/>
              <w:bottom w:val="single" w:color="000000"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借助国家和省重要开放交流平台，加强与京津冀、长三角、粤港澳大湾区及成渝双城经济圈的对接合作，深化与全省“一圈一带两区”城市的协同合作，创新与无锡等城市对口合作机制，坚持“云招商”和走出去招商相结合，产业链招商、以商招商同步实施，着力在产业对接互补、重点园区共建、重大项目合作、干部人才交流等方面形成一批实质性成果。</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借助国家和省重要开放交流平台，加强与京津冀、长三角、粤港澳大湾区及成渝双城经济圈的对接合作，深化与全省“一圈一带两区”城市的协同合作，创新与无锡等城市对口合作机制。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市发展改革委</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4111"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1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坚持“云招商”和走出去招商相结合，产业链招商、以商招商同步实施，着力在产业对接互补、重点园区共建、重大项目合作、干部人才交流等方面形成一批实质性成果。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2475" w:hRule="atLeast"/>
          <w:jc w:val="center"/>
        </w:trPr>
        <w:tc>
          <w:tcPr>
            <w:tcW w:w="68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（三）做强畅通循环的龙头引擎</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104</w:t>
            </w:r>
          </w:p>
        </w:tc>
        <w:tc>
          <w:tcPr>
            <w:tcW w:w="2910"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推动辽东湾新区开放龙头建设，实施58个重大项目，推动新区在产业集群集聚、体制机制创新、功能布局优化等方面实现新突破，在更大范围形成“前港—中区—后城”联动发展新格局。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推动辽东湾新区开放龙头建设，实施58个重大项目，推动新区在产业集群集聚、体制机制创新、功能布局优化等方面实现新突破，在更大范围形成“前港—中区—后城”联动发展新格局。</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辽东湾新区</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管委会</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41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105</w:t>
            </w:r>
          </w:p>
        </w:tc>
        <w:tc>
          <w:tcPr>
            <w:tcW w:w="2910"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发挥盘锦港核心引擎作用构建海陆一体的国际大通道，拓宽型深水航道和30万吨级原油码头全面建成运行，探索建立综合保税区，打造石化、粮食等特色化现代化港口，吞吐量突破6000万吨。</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发挥盘锦港核心引擎作用构建海陆一体的国际大通道。拓宽型深水航道和30万吨级原油码头全面建成运行。</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管委会</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市港航集团 </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66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10" w:type="dxa"/>
            <w:vMerge w:val="continue"/>
            <w:tcBorders>
              <w:top w:val="nil"/>
              <w:left w:val="single" w:color="auto" w:sz="4" w:space="0"/>
              <w:bottom w:val="single" w:color="auto" w:sz="4" w:space="0"/>
              <w:right w:val="single" w:color="auto" w:sz="4" w:space="0"/>
            </w:tcBorders>
            <w:vAlign w:val="center"/>
          </w:tcPr>
          <w:p>
            <w:pPr>
              <w:snapToGrid w:val="0"/>
              <w:spacing w:line="360" w:lineRule="exact"/>
              <w:jc w:val="left"/>
              <w:rPr>
                <w:rFonts w:ascii="仿宋_GB2312" w:hAnsi="宋体" w:eastAsia="仿宋_GB2312" w:cs="宋体"/>
                <w:kern w:val="0"/>
                <w:sz w:val="28"/>
                <w:szCs w:val="28"/>
              </w:rPr>
            </w:pPr>
          </w:p>
        </w:tc>
        <w:tc>
          <w:tcPr>
            <w:tcW w:w="2693"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探索建立综合保税区。</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市商务局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管委会</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盘锦海关</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p>
        </w:tc>
      </w:tr>
      <w:tr>
        <w:tblPrEx>
          <w:tblCellMar>
            <w:top w:w="0" w:type="dxa"/>
            <w:left w:w="108" w:type="dxa"/>
            <w:bottom w:w="0" w:type="dxa"/>
            <w:right w:w="108" w:type="dxa"/>
          </w:tblCellMar>
        </w:tblPrEx>
        <w:trPr>
          <w:trHeight w:val="106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1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打造石化、粮食等特色化现代化港口，吞吐量突破6000万吨。</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1985"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693"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p>
        </w:tc>
        <w:tc>
          <w:tcPr>
            <w:tcW w:w="124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bl>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推动共建共治共享抓民生增福祉</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（35项）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691"/>
        <w:gridCol w:w="812"/>
        <w:gridCol w:w="2586"/>
        <w:gridCol w:w="3023"/>
        <w:gridCol w:w="1583"/>
        <w:gridCol w:w="2159"/>
        <w:gridCol w:w="2754"/>
        <w:gridCol w:w="1134"/>
      </w:tblGrid>
      <w:tr>
        <w:tblPrEx>
          <w:tblCellMar>
            <w:top w:w="0" w:type="dxa"/>
            <w:left w:w="108" w:type="dxa"/>
            <w:bottom w:w="0" w:type="dxa"/>
            <w:right w:w="108" w:type="dxa"/>
          </w:tblCellMar>
        </w:tblPrEx>
        <w:trPr>
          <w:trHeight w:val="799" w:hRule="atLeast"/>
          <w:tblHeader/>
          <w:jc w:val="center"/>
        </w:trPr>
        <w:tc>
          <w:tcPr>
            <w:tcW w:w="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　</w:t>
            </w:r>
          </w:p>
        </w:tc>
        <w:tc>
          <w:tcPr>
            <w:tcW w:w="80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54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2977"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559"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12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712"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11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2741" w:hRule="atLeast"/>
          <w:jc w:val="center"/>
        </w:trPr>
        <w:tc>
          <w:tcPr>
            <w:tcW w:w="680" w:type="dxa"/>
            <w:vMerge w:val="restart"/>
            <w:tcBorders>
              <w:top w:val="nil"/>
              <w:left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（一）提升就业社保水平</w:t>
            </w: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106</w:t>
            </w:r>
          </w:p>
        </w:tc>
        <w:tc>
          <w:tcPr>
            <w:tcW w:w="2546" w:type="dxa"/>
            <w:vMerge w:val="restart"/>
            <w:tcBorders>
              <w:top w:val="nil"/>
              <w:left w:val="single" w:color="auto" w:sz="4" w:space="0"/>
              <w:bottom w:val="single" w:color="000000"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优先保障高校毕业生、退役军人、农民工等重点群体就业，全方位做好供需对接、技能培训、就业援助等就业服务，城镇新增就业2.4万人以上。</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优先保障高校毕业生、退役军人、农民工等重点群体就业，全方位做好供需对接、技能培训、就业援助等就业服务。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市退役军人局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1972"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城镇新增就业2.4万人以上。</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rPr>
          <w:trHeight w:val="1973" w:hRule="atLeast"/>
          <w:jc w:val="center"/>
        </w:trPr>
        <w:tc>
          <w:tcPr>
            <w:tcW w:w="680" w:type="dxa"/>
            <w:vMerge w:val="continue"/>
            <w:tcBorders>
              <w:left w:val="single" w:color="auto" w:sz="4" w:space="0"/>
              <w:bottom w:val="single" w:color="000000"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107</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落实保障农民工工资支付条例确保不再发生新的拖欠。</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落实保障农民工工资支付条例确保不再发生新的拖欠。</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155"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（一）提升就业社保水平</w:t>
            </w:r>
          </w:p>
        </w:tc>
        <w:tc>
          <w:tcPr>
            <w:tcW w:w="800" w:type="dxa"/>
            <w:vMerge w:val="restart"/>
            <w:tcBorders>
              <w:top w:val="nil"/>
              <w:left w:val="single" w:color="auto" w:sz="4" w:space="0"/>
              <w:bottom w:val="nil"/>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108</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做好基本养老保险全国统筹和失业保险、工伤保险省级统筹准备工作，提高城乡居民基本医疗保险财政补助标准，持续推进异地就医结算，开展全国长期护理保险制度试点。</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做好基本养老保险全国统筹和失业保险、工伤保险省级统筹准备工作。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社会保障局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831"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nil"/>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提高城乡居民基本医疗保险财政补助标准。</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市医保局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843"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nil"/>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持续推进异地就医结算。</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市医保局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市卫生健康委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2260" w:hRule="atLeast"/>
          <w:jc w:val="center"/>
        </w:trPr>
        <w:tc>
          <w:tcPr>
            <w:tcW w:w="680" w:type="dxa"/>
            <w:vMerge w:val="continue"/>
            <w:tcBorders>
              <w:left w:val="single" w:color="auto" w:sz="4" w:space="0"/>
              <w:bottom w:val="single" w:color="000000"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109</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继续提高居民低保标准，持续改善相对贫困人口生产生活条件。</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继续提高居民低保标准，持续改善相对贫困人口生产生活条件。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市民政局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1995" w:hRule="atLeast"/>
          <w:jc w:val="center"/>
        </w:trPr>
        <w:tc>
          <w:tcPr>
            <w:tcW w:w="680" w:type="dxa"/>
            <w:vMerge w:val="restart"/>
            <w:tcBorders>
              <w:top w:val="nil"/>
              <w:left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（二）加快社会事业发展</w:t>
            </w: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110</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新时代教育评价改革总体方案和加强改进学校体育、美育、劳动教育工作的意见，统筹抓好思政课、研学游活动、书法进课堂、减轻学生课业负担、师德师风建设等工作，促进大中小幼教育公平均衡优质发展，辽河石油职业技术学院恢复招生，新建公办幼儿园全部开园运行。</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落实新时代教育评价改革总体方案和加强改进学校体育、美育、劳动教育工作的意见，统筹抓好思政课、研学游活动、书法进课堂、师德师风建设等工作，促进大中小幼教育公平均衡优质发展。</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市教育局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78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辽河石油职业技术学院恢复招生。</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市教育局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盘山县政府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223"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新建公办幼儿园全部开园运行。</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市教育局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市委编办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市财政局</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市人力资源社会</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保障局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309"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111</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织牢公共卫生防护网，创新医防协同机制。</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织牢公共卫生防护网，创新医防协同机制。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市卫生健康委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rPr>
          <w:trHeight w:val="1305"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（二）加快社会事业发展</w:t>
            </w: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112</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市中心医院等公立医院的牵动作用，加快优质医疗资源扩容和区域均衡布局，完善远程医疗和分级诊疗体系，实施市传染病院疫情救治能力提升工程，市中医院完成移址新建并开诊运营，国家卫生城市创建通过复审。</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发挥市中心医院等公立医院的牵动作用，加快优质医疗资源扩容和区域均衡布局，完善远程医疗和分级诊疗体系。</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市卫生健康委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rPr>
          <w:trHeight w:val="57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市中医院完成移址新建并开诊运营。</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市卫生健康委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市中医医院</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90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国家卫生城市创建通过复审。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市卫生健康委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市爱卫会各成员</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57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113</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健全老年人、残疾人关爱服务体系和设施，推进辽河康养中心项目建设，开展养老机构等级评定管理和“三社联动”为老服务，争创国家康复辅助器具产业综合创新第二批试点。</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健全残疾人关爱服务体系和设施。</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市残联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435"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推进辽河康养中心项目建设。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双台子区政府</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435"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开展养老机构等级评定管理。</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市民政局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435"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开展“三社联动”为老服务。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市民政局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645"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争创国家康复辅助器具产业综合创新第二批试点。</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市民政局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2297"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（二）加快社会事业发展</w:t>
            </w:r>
          </w:p>
        </w:tc>
        <w:tc>
          <w:tcPr>
            <w:tcW w:w="80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114</w:t>
            </w:r>
          </w:p>
        </w:tc>
        <w:tc>
          <w:tcPr>
            <w:tcW w:w="25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做好市鹤栖园公墓扩建和村级公益性公墓建设。做好国家文化和旅游消费试点城市工作，完成国家公共文化服务体系示范区复评验收，市融媒体中心建成投运。</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做好国家文化和旅游消费试点城市工作，完成国家公共文化服务体系示范区复评验收。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市文旅广电局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2390"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市融媒体中心建成投运。</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市融媒体发展中心</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697"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115</w:t>
            </w:r>
          </w:p>
        </w:tc>
        <w:tc>
          <w:tcPr>
            <w:tcW w:w="254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完善全民健身设施，办好群众性体育活动。</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办好群众性体育活动。</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市文旅广电局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912" w:hRule="atLeast"/>
          <w:jc w:val="center"/>
        </w:trPr>
        <w:tc>
          <w:tcPr>
            <w:tcW w:w="6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116</w:t>
            </w:r>
          </w:p>
        </w:tc>
        <w:tc>
          <w:tcPr>
            <w:tcW w:w="254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加强国防动员、人民防空和双拥共建工作。</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加强国防动员、人民防空和双拥共建工作。</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盘锦军分区</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市住房城乡</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市退役军人局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260" w:hRule="atLeast"/>
          <w:jc w:val="center"/>
        </w:trPr>
        <w:tc>
          <w:tcPr>
            <w:tcW w:w="680" w:type="dxa"/>
            <w:vMerge w:val="restart"/>
            <w:tcBorders>
              <w:top w:val="single" w:color="auto" w:sz="4" w:space="0"/>
              <w:left w:val="single" w:color="auto" w:sz="4" w:space="0"/>
              <w:bottom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（三）推进社会治理创新</w:t>
            </w:r>
          </w:p>
        </w:tc>
        <w:tc>
          <w:tcPr>
            <w:tcW w:w="800" w:type="dxa"/>
            <w:tcBorders>
              <w:top w:val="single" w:color="auto" w:sz="4" w:space="0"/>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117</w:t>
            </w:r>
          </w:p>
        </w:tc>
        <w:tc>
          <w:tcPr>
            <w:tcW w:w="2546" w:type="dxa"/>
            <w:tcBorders>
              <w:top w:val="single" w:color="auto" w:sz="4" w:space="0"/>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贯彻落实“党建引领、智慧治理”1+N系列方案，构建“一网管全域”的管理服务平台。</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贯彻落实“党建引领、智慧治理”1+N系列方案，构建“一网管全域”的管理服务平台。</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市智慧城市</w:t>
            </w:r>
          </w:p>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运管中心</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11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118</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开展好全国市域社会治理现代化试点，坚持和发展新时代“枫桥经验”，完善信访制度和调解联动机制，有效化解一批重点矛盾纠纷和信访案件。</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开展好全国市域社会治理现代化试点。</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市委政法委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hint="eastAsia" w:ascii="仿宋_GB2312" w:hAnsi="宋体" w:eastAsia="仿宋_GB2312" w:cs="宋体"/>
                <w:kern w:val="0"/>
                <w:sz w:val="28"/>
                <w:szCs w:val="28"/>
                <w:lang w:eastAsia="zh-CN"/>
              </w:rPr>
            </w:pPr>
          </w:p>
        </w:tc>
      </w:tr>
      <w:tr>
        <w:tblPrEx>
          <w:tblCellMar>
            <w:top w:w="0" w:type="dxa"/>
            <w:left w:w="108" w:type="dxa"/>
            <w:bottom w:w="0" w:type="dxa"/>
            <w:right w:w="108" w:type="dxa"/>
          </w:tblCellMar>
        </w:tblPrEx>
        <w:trPr>
          <w:trHeight w:val="138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32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坚持和发展新时代“枫桥经验”，完善信访制度和调解联动机制，有效化解一批重点矛盾纠纷和信访案件。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市委市政府</w:t>
            </w:r>
          </w:p>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信访局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1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119</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推进立体化信息化社会治安防控体系建设，常态化开展扫黑除恶，保持打击各类违法犯罪的高压态势。加强犬类管理。</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推进立体化信息化社会治安防控体系建设，常态化开展扫黑除恶，保持打击各类违法犯罪的高压态势。</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市公安局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21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120</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实施法律援助惠民工程。启动“八五”普法。</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启动“八五”普法。</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市司法局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3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478" w:hRule="atLeast"/>
          <w:jc w:val="center"/>
        </w:trPr>
        <w:tc>
          <w:tcPr>
            <w:tcW w:w="680" w:type="dxa"/>
            <w:vMerge w:val="restart"/>
            <w:tcBorders>
              <w:top w:val="nil"/>
              <w:left w:val="single" w:color="auto" w:sz="4" w:space="0"/>
              <w:right w:val="single" w:color="auto" w:sz="4" w:space="0"/>
            </w:tcBorders>
            <w:shd w:val="clear" w:color="000000" w:fill="FFFFFF"/>
            <w:noWrap/>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（四）防范化解风险隐患</w:t>
            </w: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121</w:t>
            </w:r>
          </w:p>
        </w:tc>
        <w:tc>
          <w:tcPr>
            <w:tcW w:w="2546" w:type="dxa"/>
            <w:vMerge w:val="restart"/>
            <w:tcBorders>
              <w:top w:val="nil"/>
              <w:left w:val="single" w:color="auto" w:sz="4" w:space="0"/>
              <w:bottom w:val="single" w:color="000000"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严格落实政府债务限额和融资成本控制制度，争取全域纳入国家化债政策支持范围，稳妥处置政府债务风险、基层“三保”风险、企业债务风险。</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严格落实政府债务限额和融资成本控制制度。</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239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争取全域纳入国家化债政策支持范围，稳妥处置政府债务风险、基层“三保”风险、企业债务风险。</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市国资委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市属国有企业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223"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restart"/>
            <w:tcBorders>
              <w:top w:val="nil"/>
              <w:left w:val="single" w:color="auto" w:sz="4" w:space="0"/>
              <w:bottom w:val="single" w:color="000000"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122</w:t>
            </w:r>
          </w:p>
        </w:tc>
        <w:tc>
          <w:tcPr>
            <w:tcW w:w="2546" w:type="dxa"/>
            <w:vMerge w:val="restart"/>
            <w:tcBorders>
              <w:top w:val="nil"/>
              <w:left w:val="single" w:color="auto" w:sz="4" w:space="0"/>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深入开展安全生产专项整治三年行动，加快5G石化运输智慧路建设，争创国家安全发展示范城市。</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深入开展安全生产专项整治三年行动。</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298"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加快5G石化运输智慧路建设。</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1010"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vMerge w:val="continue"/>
            <w:tcBorders>
              <w:top w:val="nil"/>
              <w:left w:val="single" w:color="auto" w:sz="4" w:space="0"/>
              <w:bottom w:val="single" w:color="000000"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546" w:type="dxa"/>
            <w:vMerge w:val="continue"/>
            <w:tcBorders>
              <w:top w:val="nil"/>
              <w:left w:val="single" w:color="auto" w:sz="4" w:space="0"/>
              <w:bottom w:val="single" w:color="auto" w:sz="4" w:space="0"/>
              <w:right w:val="single" w:color="auto" w:sz="4" w:space="0"/>
            </w:tcBorders>
            <w:vAlign w:val="center"/>
          </w:tcPr>
          <w:p>
            <w:pPr>
              <w:snapToGrid w:val="0"/>
              <w:spacing w:line="400" w:lineRule="exact"/>
              <w:jc w:val="left"/>
              <w:rPr>
                <w:rFonts w:ascii="仿宋_GB2312" w:hAnsi="宋体" w:eastAsia="仿宋_GB2312" w:cs="宋体"/>
                <w:kern w:val="0"/>
                <w:sz w:val="28"/>
                <w:szCs w:val="28"/>
              </w:rPr>
            </w:pP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争创国家安全发展示范城市。</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市安委会成员单位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3715"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（四）防范化解风险隐患</w:t>
            </w: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123</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实施食品安全放心提升工程八项行动，推广食品安全责任保险，创建国家食品安全示范城市。</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实施食品安全放心提升工程八项行动，创建国家食品安全示范城市。</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4532"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124</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毫不放松抓好“外防输入、内防反弹”工作，严防死守确保不出现规模性疫情输入和反弹。</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毫不放松抓好“外防输入、内防反弹”工作，严防死守确保不出现规模性疫情输入和反弹。</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市疫情防控</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指挥部办公室</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市疫情防控指挥部</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各成员单位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p>
        </w:tc>
      </w:tr>
      <w:tr>
        <w:tblPrEx>
          <w:tblCellMar>
            <w:top w:w="0" w:type="dxa"/>
            <w:left w:w="108" w:type="dxa"/>
            <w:bottom w:w="0" w:type="dxa"/>
            <w:right w:w="108" w:type="dxa"/>
          </w:tblCellMar>
        </w:tblPrEx>
        <w:trPr>
          <w:trHeight w:val="1710"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125</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推广食品安全责任保险。</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号召食品生产、经营和餐饮服务经营者全面参保食品安全责任保险，保护消费者和企业的合法权益。全年责任保险参保企业超过1万户，保险覆盖率达到98%以上。</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市市场监管局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rPr>
          <w:trHeight w:val="1710"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126</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提升“网上盘锦”APP服务功能。</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以“资治、利企、惠民”为方向，推进数字盘锦建设，努力为全市企业和群众提供办事不求人、办事不出门、更加优质高效的政务服务和公共服务环境。</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市智慧城市</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运管中心</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郑玉琪</w:t>
            </w:r>
          </w:p>
        </w:tc>
      </w:tr>
      <w:tr>
        <w:tblPrEx>
          <w:tblCellMar>
            <w:top w:w="0" w:type="dxa"/>
            <w:left w:w="108" w:type="dxa"/>
            <w:bottom w:w="0" w:type="dxa"/>
            <w:right w:w="108" w:type="dxa"/>
          </w:tblCellMar>
        </w:tblPrEx>
        <w:trPr>
          <w:trHeight w:val="1710"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127</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切实减轻学生过重课业负担。</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落实《辽宁省教育厅关于印发&lt;辽宁省义务教育阶段学生作业管理“十要求”&gt;的通知》要求,进一步规范中小学教育教学行为，提质减负，减轻中小学生过重课业负担。</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市教育局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1730"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128</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配套安装全民健身器材。</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为20个基础条件较好的村（社区）配套安装20套全民健身运动器材。</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市文旅广电局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3256" w:hRule="atLeast"/>
          <w:jc w:val="center"/>
        </w:trPr>
        <w:tc>
          <w:tcPr>
            <w:tcW w:w="680" w:type="dxa"/>
            <w:vMerge w:val="continue"/>
            <w:tcBorders>
              <w:left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129</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实施市传染病院新冠肺炎疫情救治能力提升工程。</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通过改扩建传染病院区、购置相关医疗设备，实现传染病医院标准化建设，提升全市传染病救治和应对各类公共卫生突发事件能力，更好满足人民群众的需求。</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6月30日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市卫生健康委</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市传染病院</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3282"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130</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实施长期护理保险制度试点。</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利用两年时间，在我市建立以互助共济方式筹集资金，为长期失能人员的基本生活照料和与之密切相关的医疗护理提供服务或资金保障的社会保险制度。</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2022年12月31日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市医保局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市卫生健康委</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市民政局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p>
        </w:tc>
      </w:tr>
      <w:tr>
        <w:tblPrEx>
          <w:tblCellMar>
            <w:top w:w="0" w:type="dxa"/>
            <w:left w:w="108" w:type="dxa"/>
            <w:bottom w:w="0" w:type="dxa"/>
            <w:right w:w="108" w:type="dxa"/>
          </w:tblCellMar>
        </w:tblPrEx>
        <w:trPr>
          <w:trHeight w:val="4140"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131</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打造商东文明交通示范街区。</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采取优化交通组织，实施单向交通管理，施划道路两侧停车泊位，增加勤务时间等措施，有效解决“停车乱”“行车难”交通顽疾,打造商东文明交通示范街区。</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市公安局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兴隆台区政府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both"/>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095"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132</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加强犬类管理。</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通过开展专项整治行动，进一步加大犬类管理工作力度，使全市的犬患问题得到根本改观，市民的养犬行为得到规范，违规养犬行为得到有效控制。</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市公安局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市犬类管理工作</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领导小组成员单位</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both"/>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557"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133</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实施法律援助惠民工程。</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降低为生活困难群众提供法律援助门槛，审核标准由全市最低生活保障标准提高到最低工资标准。进一步规范村（社区）法律顾问工作，持续推进一村（社区）一法律顾问制度，由有形覆盖向有效覆盖转变，为全市531个村（社区）提供每月4小时法律服务。</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市司法局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p>
        </w:tc>
      </w:tr>
      <w:tr>
        <w:trPr>
          <w:trHeight w:val="2673"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134</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推进全市公益性公墓建设。</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加快推进全市公益性公墓建设，做好市鹤栖园公益性墓园扩建工作，2021年底提供公益性墓位6万盔。</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市民政局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3573"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135</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实施辽西北供水盘锦应急支线工程建设。</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推动辽西北供水盘锦应急支线工程开工建设，其中我市负责的供水工程计划总投资14亿元，铺设管线55公里，2021年完成计划投资的60%,为2022年底建成通水奠定良好基础。</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市水利局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盘锦水务集团</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p>
        </w:tc>
      </w:tr>
      <w:tr>
        <w:tblPrEx>
          <w:tblCellMar>
            <w:top w:w="0" w:type="dxa"/>
            <w:left w:w="108" w:type="dxa"/>
            <w:bottom w:w="0" w:type="dxa"/>
            <w:right w:w="108" w:type="dxa"/>
          </w:tblCellMar>
        </w:tblPrEx>
        <w:trPr>
          <w:trHeight w:val="4657"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136</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推进辽河沿岸绿带绿廊规划建设。</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以辽河国家公园建设为契机，实施辽河两岸绿廊绿带工程。高标准编制辽河两岸地区城市设计。优化城市段交通系统工程，完善慢行交通与停车设施设置；利用现有河流水系增补南北景观绿廊，实现蓝绿交互的城市空间。为市民提供健身休闲场所。</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市自然资源局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市林湿局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市水利局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市住房城乡</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297"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137</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实施城市排水防涝及易涝点整治项目。</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推进8个城市排水防涝及易涝点整治项目，提高生活污水收集和城市排水防涝能力。</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5958"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138</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实施老旧小区改造项目。</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推进两区10个项目29个小区的老旧小区改造，涉及308栋楼、15532户居民，改造面积139.4万平方米。其中，兴隆台区8个项目，27个小区，涉及250栋楼、10386户居民，改造面积95.4万平方米；双台子区2个项目，2个小区，涉及58栋楼、5146户居民，改造面积44万平方米。</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双台子区政府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兴隆台区政府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3715" w:hRule="atLeast"/>
          <w:jc w:val="center"/>
        </w:trPr>
        <w:tc>
          <w:tcPr>
            <w:tcW w:w="680" w:type="dxa"/>
            <w:vMerge w:val="restart"/>
            <w:tcBorders>
              <w:top w:val="nil"/>
              <w:left w:val="single" w:color="auto" w:sz="4" w:space="0"/>
              <w:right w:val="single" w:color="auto" w:sz="4" w:space="0"/>
            </w:tcBorders>
            <w:shd w:val="clear" w:color="000000" w:fill="FFFFFF"/>
            <w:textDirection w:val="tbRlV"/>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（五）十六件重点民生实事</w:t>
            </w: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139</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实施“口袋公园”和移动厕所建设。</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在市民比较密集的主次街路，利用街边绿地，建设口袋公园10个，满足市民“转角遇到绿”的需求。为5个高速公路口配套建设移动厕所，由所在县区政府负责承建和管理。</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市住房城乡</w:t>
            </w:r>
          </w:p>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建设局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市文旅广电局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p>
        </w:tc>
      </w:tr>
      <w:tr>
        <w:tblPrEx>
          <w:tblCellMar>
            <w:top w:w="0" w:type="dxa"/>
            <w:left w:w="108" w:type="dxa"/>
            <w:bottom w:w="0" w:type="dxa"/>
            <w:right w:w="108" w:type="dxa"/>
          </w:tblCellMar>
        </w:tblPrEx>
        <w:trPr>
          <w:trHeight w:val="2280" w:hRule="atLeast"/>
          <w:jc w:val="center"/>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snapToGrid w:val="0"/>
              <w:spacing w:line="400" w:lineRule="exact"/>
              <w:jc w:val="left"/>
              <w:rPr>
                <w:rFonts w:ascii="仿宋_GB2312" w:hAnsi="宋体" w:eastAsia="仿宋_GB2312" w:cs="宋体"/>
                <w:kern w:val="0"/>
                <w:sz w:val="28"/>
                <w:szCs w:val="28"/>
              </w:rPr>
            </w:pPr>
          </w:p>
        </w:tc>
        <w:tc>
          <w:tcPr>
            <w:tcW w:w="8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140</w:t>
            </w:r>
          </w:p>
        </w:tc>
        <w:tc>
          <w:tcPr>
            <w:tcW w:w="254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实施盘锦高铁兴隆台接驳站项目。</w:t>
            </w:r>
          </w:p>
        </w:tc>
        <w:tc>
          <w:tcPr>
            <w:tcW w:w="2977"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在林丰路和环城南路交汇处北侧选址建设集购票、安检、换乘功能为一体的盘锦火车站兴隆台接驳站，利用公交信号优先系统，开通定制直达公交及城区换乘公交，实现与盘锦高铁站的无缝对接、快速接驳，方便群众出行。</w:t>
            </w:r>
          </w:p>
        </w:tc>
        <w:tc>
          <w:tcPr>
            <w:tcW w:w="155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市交通运输局</w:t>
            </w:r>
          </w:p>
        </w:tc>
        <w:tc>
          <w:tcPr>
            <w:tcW w:w="2712"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市公安局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市财政局</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市客运公交集团</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兴隆台区政府</w:t>
            </w:r>
          </w:p>
        </w:tc>
        <w:tc>
          <w:tcPr>
            <w:tcW w:w="111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徐同连</w:t>
            </w:r>
          </w:p>
        </w:tc>
      </w:tr>
    </w:tbl>
    <w:p>
      <w:pPr>
        <w:snapToGrid w:val="0"/>
        <w:spacing w:line="600" w:lineRule="exact"/>
        <w:jc w:val="center"/>
        <w:rPr>
          <w:rFonts w:ascii="方正小标宋简体" w:hAnsi="宋体" w:eastAsia="方正小标宋简体" w:cs="宋体"/>
          <w:color w:val="000000" w:themeColor="text1"/>
          <w:kern w:val="0"/>
          <w:sz w:val="44"/>
          <w:szCs w:val="44"/>
        </w:rPr>
      </w:pPr>
    </w:p>
    <w:p>
      <w:pPr>
        <w:snapToGrid w:val="0"/>
        <w:spacing w:line="600" w:lineRule="exact"/>
        <w:jc w:val="center"/>
        <w:rPr>
          <w:rFonts w:ascii="方正小标宋简体" w:hAnsi="宋体" w:eastAsia="方正小标宋简体" w:cs="宋体"/>
          <w:color w:val="000000" w:themeColor="text1"/>
          <w:kern w:val="0"/>
          <w:sz w:val="44"/>
          <w:szCs w:val="44"/>
        </w:rPr>
      </w:pPr>
      <w:r>
        <w:rPr>
          <w:rFonts w:hint="eastAsia" w:ascii="方正小标宋简体" w:hAnsi="宋体" w:eastAsia="方正小标宋简体" w:cs="宋体"/>
          <w:color w:val="000000" w:themeColor="text1"/>
          <w:kern w:val="0"/>
          <w:sz w:val="44"/>
          <w:szCs w:val="44"/>
        </w:rPr>
        <w:t>政府自身建设六个方面要求</w:t>
      </w:r>
    </w:p>
    <w:p>
      <w:pPr>
        <w:snapToGrid w:val="0"/>
        <w:spacing w:line="400" w:lineRule="exact"/>
        <w:jc w:val="center"/>
        <w:rPr>
          <w:rFonts w:ascii="方正小标宋简体" w:hAnsi="宋体" w:eastAsia="方正小标宋简体" w:cs="宋体"/>
          <w:color w:val="000000" w:themeColor="text1"/>
          <w:kern w:val="0"/>
          <w:sz w:val="32"/>
          <w:szCs w:val="32"/>
        </w:rPr>
      </w:pPr>
      <w:r>
        <w:rPr>
          <w:rFonts w:hint="eastAsia" w:ascii="方正小标宋简体" w:hAnsi="宋体" w:eastAsia="方正小标宋简体" w:cs="宋体"/>
          <w:color w:val="000000" w:themeColor="text1"/>
          <w:kern w:val="0"/>
          <w:sz w:val="32"/>
          <w:szCs w:val="32"/>
        </w:rPr>
        <w:t>（6项）</w:t>
      </w:r>
    </w:p>
    <w:p>
      <w:pPr>
        <w:snapToGrid w:val="0"/>
        <w:spacing w:line="400" w:lineRule="exact"/>
        <w:jc w:val="center"/>
        <w:rPr>
          <w:rFonts w:ascii="方正小标宋简体" w:hAnsi="宋体" w:eastAsia="方正小标宋简体" w:cs="宋体"/>
          <w:color w:val="000000" w:themeColor="text1"/>
          <w:kern w:val="0"/>
          <w:sz w:val="28"/>
          <w:szCs w:val="28"/>
        </w:rPr>
      </w:pPr>
    </w:p>
    <w:tbl>
      <w:tblPr>
        <w:tblStyle w:val="5"/>
        <w:tblW w:w="14742" w:type="dxa"/>
        <w:jc w:val="center"/>
        <w:tblLayout w:type="autofit"/>
        <w:tblCellMar>
          <w:top w:w="0" w:type="dxa"/>
          <w:left w:w="108" w:type="dxa"/>
          <w:bottom w:w="0" w:type="dxa"/>
          <w:right w:w="108" w:type="dxa"/>
        </w:tblCellMar>
      </w:tblPr>
      <w:tblGrid>
        <w:gridCol w:w="808"/>
        <w:gridCol w:w="3068"/>
        <w:gridCol w:w="3008"/>
        <w:gridCol w:w="1863"/>
        <w:gridCol w:w="2149"/>
        <w:gridCol w:w="2700"/>
        <w:gridCol w:w="1146"/>
      </w:tblGrid>
      <w:tr>
        <w:tblPrEx>
          <w:tblCellMar>
            <w:top w:w="0" w:type="dxa"/>
            <w:left w:w="108" w:type="dxa"/>
            <w:bottom w:w="0" w:type="dxa"/>
            <w:right w:w="108" w:type="dxa"/>
          </w:tblCellMar>
        </w:tblPrEx>
        <w:trPr>
          <w:trHeight w:val="799" w:hRule="atLeast"/>
          <w:tblHeader/>
          <w:jc w:val="center"/>
        </w:trPr>
        <w:tc>
          <w:tcPr>
            <w:tcW w:w="808"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3068"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工作任务</w:t>
            </w:r>
          </w:p>
        </w:tc>
        <w:tc>
          <w:tcPr>
            <w:tcW w:w="3008"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细化分解</w:t>
            </w:r>
          </w:p>
        </w:tc>
        <w:tc>
          <w:tcPr>
            <w:tcW w:w="1863"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完成时限</w:t>
            </w:r>
          </w:p>
        </w:tc>
        <w:tc>
          <w:tcPr>
            <w:tcW w:w="2149"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牵头单位</w:t>
            </w:r>
          </w:p>
        </w:tc>
        <w:tc>
          <w:tcPr>
            <w:tcW w:w="2700"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责任单位</w:t>
            </w:r>
          </w:p>
        </w:tc>
        <w:tc>
          <w:tcPr>
            <w:tcW w:w="1146" w:type="dxa"/>
            <w:tcBorders>
              <w:top w:val="single" w:color="auto" w:sz="4" w:space="0"/>
              <w:left w:val="nil"/>
              <w:bottom w:val="single" w:color="auto" w:sz="4" w:space="0"/>
              <w:right w:val="single" w:color="auto" w:sz="4" w:space="0"/>
            </w:tcBorders>
            <w:shd w:val="clear" w:color="000000" w:fill="FFFFFF"/>
            <w:vAlign w:val="center"/>
          </w:tcPr>
          <w:p>
            <w:pPr>
              <w:snapToGrid w:val="0"/>
              <w:spacing w:line="400" w:lineRule="exact"/>
              <w:jc w:val="center"/>
              <w:rPr>
                <w:rFonts w:ascii="黑体" w:hAnsi="宋体" w:eastAsia="黑体" w:cs="宋体"/>
                <w:kern w:val="0"/>
                <w:sz w:val="28"/>
                <w:szCs w:val="28"/>
              </w:rPr>
            </w:pPr>
            <w:r>
              <w:rPr>
                <w:rFonts w:hint="eastAsia" w:ascii="黑体" w:hAnsi="宋体" w:eastAsia="黑体" w:cs="宋体"/>
                <w:kern w:val="0"/>
                <w:sz w:val="28"/>
                <w:szCs w:val="28"/>
              </w:rPr>
              <w:t>分管</w:t>
            </w:r>
            <w:r>
              <w:rPr>
                <w:rFonts w:hint="eastAsia" w:ascii="黑体" w:hAnsi="宋体" w:eastAsia="黑体" w:cs="宋体"/>
                <w:kern w:val="0"/>
                <w:sz w:val="28"/>
                <w:szCs w:val="28"/>
              </w:rPr>
              <w:br w:type="textWrapping"/>
            </w:r>
            <w:r>
              <w:rPr>
                <w:rFonts w:hint="eastAsia" w:ascii="黑体" w:hAnsi="宋体" w:eastAsia="黑体" w:cs="宋体"/>
                <w:kern w:val="0"/>
                <w:sz w:val="28"/>
                <w:szCs w:val="28"/>
              </w:rPr>
              <w:t>市领导</w:t>
            </w:r>
          </w:p>
        </w:tc>
      </w:tr>
      <w:tr>
        <w:tblPrEx>
          <w:tblCellMar>
            <w:top w:w="0" w:type="dxa"/>
            <w:left w:w="108" w:type="dxa"/>
            <w:bottom w:w="0" w:type="dxa"/>
            <w:right w:w="108" w:type="dxa"/>
          </w:tblCellMar>
        </w:tblPrEx>
        <w:trPr>
          <w:trHeight w:val="6851" w:hRule="atLeast"/>
          <w:jc w:val="center"/>
        </w:trPr>
        <w:tc>
          <w:tcPr>
            <w:tcW w:w="800"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141</w:t>
            </w:r>
          </w:p>
        </w:tc>
        <w:tc>
          <w:tcPr>
            <w:tcW w:w="303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始终坚持用习近平新时代中国特色社会主义思想武装头脑、指导实践、推动工作，自觉在思想上政治上行动上与党中央保持高度一致，充分学习汲取中国共产党100年的宝贵经验，自觉增强“四个意识”、坚定“四个自信”、做到“两个维护”，确保党中央国务院、省委省政府和市委决策部署落地生根。</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始终坚持用习近平新时代中国特色社会主义思想武装头脑、指导实践、推动工作，自觉在思想上政治上行动上与党中央保持高度一致，充分学习汲取中国共产党100年的宝贵经验，自觉增强“四个意识”、坚定“四个自信”、做到“两个维护”，确保党中央国务院、省委省政府和市委决策部署落地生根。</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p>
        </w:tc>
        <w:tc>
          <w:tcPr>
            <w:tcW w:w="2671"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8251" w:hRule="atLeast"/>
          <w:jc w:val="center"/>
        </w:trPr>
        <w:tc>
          <w:tcPr>
            <w:tcW w:w="800"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142</w:t>
            </w:r>
          </w:p>
        </w:tc>
        <w:tc>
          <w:tcPr>
            <w:tcW w:w="303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依法接受人大及其常委会的监督，诚恳接受人民政协的民主监督，主动接受社会和舆论监督，自觉接受法律法规约束，不断强化审计监督，实施好《民法典》等法律法规，做好6部条例的颁布实施，让权力在制度“笼子”里、法治轨道上运行。</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依法接受人大及其常委会的监督，诚恳接受人民政协的民主监督，主动接受社会和舆论监督，自觉接受法律法规约束，不断强化审计监督，实施好《民法典》等法律法规，做好6部条例的颁布实施，让权力在制度“笼子”里、法治轨道上运行。</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市审计局</w:t>
            </w:r>
          </w:p>
        </w:tc>
        <w:tc>
          <w:tcPr>
            <w:tcW w:w="2671"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8251" w:hRule="atLeast"/>
          <w:jc w:val="center"/>
        </w:trPr>
        <w:tc>
          <w:tcPr>
            <w:tcW w:w="800"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143</w:t>
            </w:r>
          </w:p>
        </w:tc>
        <w:tc>
          <w:tcPr>
            <w:tcW w:w="303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以科学方法、有力措施、优良作风狠抓工作落实，牢固树立“以干成事论英雄、以解决实际问题论能力、以高质量发展项目和高水平制度创新成果论业绩”的鲜明导向，强化“两种能力”“一种精神”，做到“五个履职”“十五个决不允许”，践行“二十四字”工作规范，创建“五型机关”，着力把队伍建强、使干部过硬，让想干事、肯干事、能干成事的干部有更好用武之地，让只争朝夕抓落实、善作善成求实效成为一种时尚。</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以科学方法、有力措施、优良作风狠抓工作落实，牢固树立“以干成事论英雄、以解决实际问题论能力、以高质量发展项目和高水平制度创新成果论业绩”的鲜明导向，强化“两种能力”“一种精神”，做到“五个履职”“十五个决不允许”，践行“二十四字”工作规范，创建“五型机关”，着力把队伍建强、使干部过硬，让想干事、肯干事、能干成事的干部有更好用武之地，让只争朝夕抓落实、善作善成求实效成为一种时尚。</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p>
        </w:tc>
        <w:tc>
          <w:tcPr>
            <w:tcW w:w="2671"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3285" w:hRule="atLeast"/>
          <w:jc w:val="center"/>
        </w:trPr>
        <w:tc>
          <w:tcPr>
            <w:tcW w:w="800"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144</w:t>
            </w:r>
          </w:p>
        </w:tc>
        <w:tc>
          <w:tcPr>
            <w:tcW w:w="3036"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深入推进党风廉政建设，持之以恒落实中央八项规定精神，坚决纠治“四风”、惩治腐败，坚持不懈制止餐饮浪费，强化预算约束和绩效管理，合理划分市以下财政收入范围和支出责任，把每一笔钱用在刀刃上、花在紧要处，用政府的紧日子换取百姓的好日子。</w:t>
            </w:r>
          </w:p>
        </w:tc>
        <w:tc>
          <w:tcPr>
            <w:tcW w:w="2976"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深入推进党风廉政建设，持之以恒落实中央八项规定精神，坚决纠治“四风”、惩治腐败，坚持不懈制止餐饮浪费，强化预算约束和绩效管理，合理划分市以下财政收入范围和支出责任，把每一笔钱用在刀刃上、花在紧要处，用政府的紧日子换取百姓的好日子。</w:t>
            </w:r>
          </w:p>
        </w:tc>
        <w:tc>
          <w:tcPr>
            <w:tcW w:w="184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2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市财政局</w:t>
            </w:r>
          </w:p>
        </w:tc>
        <w:tc>
          <w:tcPr>
            <w:tcW w:w="2671"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34" w:type="dxa"/>
            <w:vMerge w:val="restart"/>
            <w:tcBorders>
              <w:top w:val="nil"/>
              <w:left w:val="nil"/>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r>
        <w:tblPrEx>
          <w:tblCellMar>
            <w:top w:w="0" w:type="dxa"/>
            <w:left w:w="108" w:type="dxa"/>
            <w:bottom w:w="0" w:type="dxa"/>
            <w:right w:w="108" w:type="dxa"/>
          </w:tblCellMar>
        </w:tblPrEx>
        <w:trPr>
          <w:trHeight w:val="3615" w:hRule="atLeast"/>
          <w:jc w:val="center"/>
        </w:trPr>
        <w:tc>
          <w:tcPr>
            <w:tcW w:w="808"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145</w:t>
            </w:r>
          </w:p>
        </w:tc>
        <w:tc>
          <w:tcPr>
            <w:tcW w:w="3068"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倾情倾力解民忧纾民怨暖民心，开展“人人都是营商环境、个个都是开放形象”活动，实施群众利益无小事、漠视群众利益警示教育两个专项整治行动，办好16件民生实事，使人民获得感幸福感安全感更加充实、更有保障、更可持续。</w:t>
            </w:r>
          </w:p>
        </w:tc>
        <w:tc>
          <w:tcPr>
            <w:tcW w:w="3008" w:type="dxa"/>
            <w:tcBorders>
              <w:top w:val="nil"/>
              <w:left w:val="nil"/>
              <w:bottom w:val="single" w:color="auto" w:sz="4" w:space="0"/>
              <w:right w:val="single" w:color="auto" w:sz="4" w:space="0"/>
            </w:tcBorders>
            <w:shd w:val="clear" w:color="000000" w:fill="FFFFFF"/>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倾情倾力解民忧纾民怨暖民心，开展“人人都是营商环境、个个都是开放形象”活动，实施群众利益无小事、漠视群众利益警示教育两个专项整治行动，办好16件民生实事，使人民获得感幸福感安全感更加充实、更有保障、更可持续。</w:t>
            </w:r>
          </w:p>
        </w:tc>
        <w:tc>
          <w:tcPr>
            <w:tcW w:w="186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49"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市营商局</w:t>
            </w:r>
          </w:p>
        </w:tc>
        <w:tc>
          <w:tcPr>
            <w:tcW w:w="27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46" w:type="dxa"/>
            <w:vMerge w:val="continue"/>
            <w:tcBorders>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7967" w:hRule="atLeast"/>
          <w:jc w:val="center"/>
        </w:trPr>
        <w:tc>
          <w:tcPr>
            <w:tcW w:w="808" w:type="dxa"/>
            <w:tcBorders>
              <w:top w:val="nil"/>
              <w:left w:val="single" w:color="auto" w:sz="4" w:space="0"/>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146</w:t>
            </w:r>
          </w:p>
        </w:tc>
        <w:tc>
          <w:tcPr>
            <w:tcW w:w="3068"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一张蓝图干到底，着力缩短“说了”和“做了”、“发文了”和“落实了”、“开会研究了”和“问题解决了”之间的距离，养成“马上就办”“办就办好”的习惯，力戒形式主义、官僚主义，着力减轻基层负担，让各级干部放开手脚干事创业，努力把今年乃至“十四五”目标任务一项一项抓实见效。</w:t>
            </w:r>
          </w:p>
        </w:tc>
        <w:tc>
          <w:tcPr>
            <w:tcW w:w="3008" w:type="dxa"/>
            <w:tcBorders>
              <w:top w:val="nil"/>
              <w:left w:val="nil"/>
              <w:bottom w:val="single" w:color="auto" w:sz="4" w:space="0"/>
              <w:right w:val="single" w:color="auto" w:sz="4" w:space="0"/>
            </w:tcBorders>
            <w:shd w:val="clear" w:color="000000" w:fill="FFFFFF"/>
            <w:vAlign w:val="center"/>
          </w:tcPr>
          <w:p>
            <w:pPr>
              <w:snapToGrid w:val="0"/>
              <w:spacing w:line="4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我们要一张蓝图干到底，着力缩短“说了”和“做了”、“发文了”和“落实了”、“开会研究了”和“问题解决了”之间的距离，养成“马上就办”“办就办好”的习惯，力戒形式主义、官僚主义，着力减轻基层负担，让各级干部放开手脚干事创业，努力把今年乃至“十四五”目标任务一项一项抓实见效。</w:t>
            </w:r>
          </w:p>
        </w:tc>
        <w:tc>
          <w:tcPr>
            <w:tcW w:w="1863"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12月31日</w:t>
            </w:r>
          </w:p>
        </w:tc>
        <w:tc>
          <w:tcPr>
            <w:tcW w:w="2149" w:type="dxa"/>
            <w:tcBorders>
              <w:top w:val="nil"/>
              <w:left w:val="nil"/>
              <w:bottom w:val="single" w:color="auto" w:sz="4" w:space="0"/>
              <w:right w:val="single" w:color="auto" w:sz="4" w:space="0"/>
            </w:tcBorders>
            <w:shd w:val="clear" w:color="000000" w:fill="FFFFFF"/>
            <w:noWrap/>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市政府办公室</w:t>
            </w:r>
          </w:p>
        </w:tc>
        <w:tc>
          <w:tcPr>
            <w:tcW w:w="2700"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市直相关单位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各县区政府</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辽东湾新区管委会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盘锦高新区管委会</w:t>
            </w:r>
          </w:p>
        </w:tc>
        <w:tc>
          <w:tcPr>
            <w:tcW w:w="1146" w:type="dxa"/>
            <w:tcBorders>
              <w:top w:val="nil"/>
              <w:left w:val="nil"/>
              <w:bottom w:val="single" w:color="auto" w:sz="4" w:space="0"/>
              <w:right w:val="single" w:color="auto" w:sz="4" w:space="0"/>
            </w:tcBorders>
            <w:shd w:val="clear" w:color="000000" w:fill="FFFFFF"/>
            <w:vAlign w:val="center"/>
          </w:tcPr>
          <w:p>
            <w:pPr>
              <w:snapToGrid w:val="0"/>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杜  鑫</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郑玉琪</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潘元松</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贾洪琳</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徐同连</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米金套</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崔发林</w:t>
            </w:r>
          </w:p>
        </w:tc>
      </w:tr>
    </w:tbl>
    <w:p>
      <w:pPr>
        <w:widowControl/>
        <w:spacing w:line="400" w:lineRule="exact"/>
        <w:jc w:val="center"/>
        <w:rPr>
          <w:rFonts w:ascii="方正小标宋简体" w:hAnsi="宋体" w:eastAsia="方正小标宋简体" w:cs="宋体"/>
          <w:color w:val="000000" w:themeColor="text1"/>
          <w:kern w:val="0"/>
          <w:sz w:val="28"/>
          <w:szCs w:val="28"/>
        </w:rPr>
      </w:pPr>
    </w:p>
    <w:p>
      <w:pPr>
        <w:widowControl/>
        <w:spacing w:line="400" w:lineRule="exact"/>
        <w:jc w:val="center"/>
        <w:rPr>
          <w:rFonts w:ascii="方正小标宋简体" w:hAnsi="宋体" w:eastAsia="方正小标宋简体" w:cs="宋体"/>
          <w:color w:val="000000" w:themeColor="text1"/>
          <w:kern w:val="0"/>
          <w:sz w:val="28"/>
          <w:szCs w:val="28"/>
        </w:rPr>
        <w:sectPr>
          <w:footerReference r:id="rId4" w:type="default"/>
          <w:pgSz w:w="16838" w:h="11906" w:orient="landscape"/>
          <w:pgMar w:top="1134" w:right="1134" w:bottom="1418" w:left="1134" w:header="851" w:footer="851" w:gutter="0"/>
          <w:pgNumType w:fmt="numberInDash"/>
          <w:cols w:space="425" w:num="1"/>
          <w:docGrid w:type="lines" w:linePitch="312" w:charSpace="0"/>
        </w:sectPr>
      </w:pPr>
    </w:p>
    <w:tbl>
      <w:tblPr>
        <w:tblStyle w:val="5"/>
        <w:tblpPr w:leftFromText="181" w:rightFromText="181" w:horzAnchor="margin" w:tblpXSpec="center" w:tblpYSpec="bottom"/>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57" w:type="dxa"/>
          <w:left w:w="0" w:type="dxa"/>
          <w:bottom w:w="57" w:type="dxa"/>
          <w:right w:w="0" w:type="dxa"/>
        </w:tblCellMar>
      </w:tblPr>
      <w:tblGrid>
        <w:gridCol w:w="323"/>
        <w:gridCol w:w="756"/>
        <w:gridCol w:w="7551"/>
        <w:gridCol w:w="21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57" w:type="dxa"/>
            <w:left w:w="0" w:type="dxa"/>
            <w:bottom w:w="57" w:type="dxa"/>
            <w:right w:w="0" w:type="dxa"/>
          </w:tblCellMar>
        </w:tblPrEx>
        <w:trPr>
          <w:trHeight w:val="1304" w:hRule="exact"/>
        </w:trPr>
        <w:tc>
          <w:tcPr>
            <w:tcW w:w="323" w:type="dxa"/>
            <w:tcBorders>
              <w:top w:val="single" w:color="auto" w:sz="4" w:space="0"/>
              <w:left w:val="nil"/>
              <w:bottom w:val="single" w:color="auto" w:sz="4" w:space="0"/>
              <w:right w:val="nil"/>
            </w:tcBorders>
          </w:tcPr>
          <w:p>
            <w:pPr>
              <w:tabs>
                <w:tab w:val="left" w:pos="2836"/>
              </w:tabs>
              <w:adjustRightInd w:val="0"/>
              <w:snapToGrid w:val="0"/>
              <w:spacing w:line="400" w:lineRule="exact"/>
              <w:ind w:firstLine="560" w:firstLineChars="200"/>
              <w:rPr>
                <w:rFonts w:ascii="仿宋_GB2312" w:hAnsi="Times New Roman" w:eastAsia="仿宋_GB2312" w:cs="Times New Roman"/>
                <w:snapToGrid w:val="0"/>
                <w:kern w:val="0"/>
                <w:sz w:val="28"/>
                <w:szCs w:val="28"/>
              </w:rPr>
            </w:pPr>
          </w:p>
        </w:tc>
        <w:tc>
          <w:tcPr>
            <w:tcW w:w="756" w:type="dxa"/>
            <w:tcBorders>
              <w:top w:val="single" w:color="auto" w:sz="4" w:space="0"/>
              <w:left w:val="nil"/>
              <w:bottom w:val="single" w:color="auto" w:sz="4" w:space="0"/>
              <w:right w:val="nil"/>
            </w:tcBorders>
          </w:tcPr>
          <w:p>
            <w:pPr>
              <w:tabs>
                <w:tab w:val="left" w:pos="2836"/>
              </w:tabs>
              <w:adjustRightInd w:val="0"/>
              <w:snapToGrid w:val="0"/>
              <w:spacing w:line="400" w:lineRule="exact"/>
              <w:rPr>
                <w:rFonts w:ascii="仿宋_GB2312" w:hAnsi="Times New Roman" w:eastAsia="仿宋_GB2312" w:cs="Times New Roman"/>
                <w:snapToGrid w:val="0"/>
                <w:kern w:val="0"/>
                <w:sz w:val="28"/>
                <w:szCs w:val="28"/>
              </w:rPr>
            </w:pPr>
            <w:r>
              <w:rPr>
                <w:rFonts w:hint="eastAsia" w:ascii="仿宋_GB2312" w:hAnsi="Times New Roman" w:eastAsia="仿宋_GB2312" w:cs="Times New Roman"/>
                <w:snapToGrid w:val="0"/>
                <w:kern w:val="0"/>
                <w:sz w:val="28"/>
                <w:szCs w:val="28"/>
              </w:rPr>
              <w:t>抄送：</w:t>
            </w:r>
          </w:p>
        </w:tc>
        <w:tc>
          <w:tcPr>
            <w:tcW w:w="7551" w:type="dxa"/>
            <w:tcBorders>
              <w:top w:val="single" w:color="auto" w:sz="4" w:space="0"/>
              <w:left w:val="nil"/>
              <w:bottom w:val="single" w:color="auto" w:sz="4" w:space="0"/>
              <w:right w:val="nil"/>
            </w:tcBorders>
          </w:tcPr>
          <w:p>
            <w:pPr>
              <w:tabs>
                <w:tab w:val="left" w:pos="2836"/>
              </w:tabs>
              <w:adjustRightInd w:val="0"/>
              <w:snapToGrid w:val="0"/>
              <w:spacing w:line="400" w:lineRule="exact"/>
              <w:ind w:right="178" w:rightChars="85"/>
              <w:rPr>
                <w:rFonts w:ascii="仿宋_GB2312" w:hAnsi="Times New Roman" w:eastAsia="仿宋_GB2312" w:cs="Times New Roman"/>
                <w:snapToGrid w:val="0"/>
                <w:kern w:val="0"/>
                <w:sz w:val="28"/>
                <w:szCs w:val="28"/>
              </w:rPr>
            </w:pPr>
            <w:r>
              <w:rPr>
                <w:rFonts w:hint="eastAsia" w:ascii="仿宋_GB2312" w:hAnsi="Times New Roman" w:eastAsia="仿宋_GB2312" w:cs="Times New Roman"/>
                <w:snapToGrid w:val="0"/>
                <w:kern w:val="0"/>
                <w:sz w:val="28"/>
                <w:szCs w:val="28"/>
              </w:rPr>
              <w:t>市委各部委，市人大常委会办公室，市政协办公室，盘锦军分区，市纪委，市法院，市检察院，市各人民团体，部、省属驻盘单位，各新闻单位。</w:t>
            </w:r>
          </w:p>
        </w:tc>
        <w:tc>
          <w:tcPr>
            <w:tcW w:w="214" w:type="dxa"/>
            <w:tcBorders>
              <w:top w:val="single" w:color="auto" w:sz="4" w:space="0"/>
              <w:left w:val="nil"/>
              <w:bottom w:val="single" w:color="auto" w:sz="4" w:space="0"/>
              <w:right w:val="nil"/>
            </w:tcBorders>
          </w:tcPr>
          <w:p>
            <w:pPr>
              <w:tabs>
                <w:tab w:val="left" w:pos="2836"/>
              </w:tabs>
              <w:adjustRightInd w:val="0"/>
              <w:snapToGrid w:val="0"/>
              <w:spacing w:line="400" w:lineRule="exact"/>
              <w:ind w:firstLine="560" w:firstLineChars="200"/>
              <w:rPr>
                <w:rFonts w:ascii="仿宋_GB2312" w:hAnsi="Times New Roman" w:eastAsia="仿宋_GB2312" w:cs="Times New Roman"/>
                <w:snapToGrid w:val="0"/>
                <w:kern w:val="0"/>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57" w:type="dxa"/>
            <w:left w:w="0" w:type="dxa"/>
            <w:bottom w:w="57" w:type="dxa"/>
            <w:right w:w="0" w:type="dxa"/>
          </w:tblCellMar>
        </w:tblPrEx>
        <w:trPr>
          <w:trHeight w:val="454" w:hRule="exact"/>
        </w:trPr>
        <w:tc>
          <w:tcPr>
            <w:tcW w:w="8844" w:type="dxa"/>
            <w:gridSpan w:val="4"/>
            <w:tcBorders>
              <w:top w:val="single" w:color="auto" w:sz="4" w:space="0"/>
              <w:left w:val="nil"/>
              <w:bottom w:val="single" w:color="auto" w:sz="4" w:space="0"/>
              <w:right w:val="nil"/>
            </w:tcBorders>
            <w:vAlign w:val="center"/>
          </w:tcPr>
          <w:p>
            <w:pPr>
              <w:tabs>
                <w:tab w:val="left" w:pos="2836"/>
              </w:tabs>
              <w:adjustRightInd w:val="0"/>
              <w:snapToGrid w:val="0"/>
              <w:spacing w:line="360" w:lineRule="exact"/>
              <w:ind w:firstLine="280" w:firstLineChars="100"/>
              <w:rPr>
                <w:rFonts w:ascii="仿宋_GB2312" w:hAnsi="Times New Roman" w:eastAsia="仿宋_GB2312" w:cs="Times New Roman"/>
                <w:snapToGrid w:val="0"/>
                <w:kern w:val="0"/>
                <w:sz w:val="28"/>
                <w:szCs w:val="28"/>
              </w:rPr>
            </w:pPr>
            <w:r>
              <w:rPr>
                <w:rFonts w:hint="eastAsia" w:ascii="仿宋_GB2312" w:hAnsi="Times New Roman" w:eastAsia="仿宋_GB2312" w:cs="Times New Roman"/>
                <w:snapToGrid w:val="0"/>
                <w:kern w:val="0"/>
                <w:sz w:val="28"/>
                <w:szCs w:val="28"/>
              </w:rPr>
              <w:t>盘锦市人民政府办公室　　　　            2021年1月25日印发</w:t>
            </w:r>
          </w:p>
        </w:tc>
      </w:tr>
    </w:tbl>
    <w:p>
      <w:pPr>
        <w:widowControl/>
        <w:spacing w:line="400" w:lineRule="exact"/>
        <w:jc w:val="center"/>
        <w:rPr>
          <w:rFonts w:ascii="方正小标宋简体" w:hAnsi="宋体" w:eastAsia="方正小标宋简体" w:cs="宋体"/>
          <w:color w:val="000000" w:themeColor="text1"/>
          <w:kern w:val="0"/>
          <w:sz w:val="28"/>
          <w:szCs w:val="28"/>
        </w:rPr>
      </w:pPr>
    </w:p>
    <w:sectPr>
      <w:pgSz w:w="11906" w:h="16838"/>
      <w:pgMar w:top="2098" w:right="1474" w:bottom="1985" w:left="1588" w:header="851" w:footer="130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31804"/>
      <w:docPartObj>
        <w:docPartGallery w:val="autotext"/>
      </w:docPartObj>
    </w:sdtPr>
    <w:sdtEndPr>
      <w:rPr>
        <w:rFonts w:ascii="宋体" w:hAnsi="宋体" w:eastAsia="宋体"/>
        <w:sz w:val="28"/>
        <w:szCs w:val="28"/>
      </w:rPr>
    </w:sdtEnd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31808"/>
      <w:docPartObj>
        <w:docPartGallery w:val="autotext"/>
      </w:docPartObj>
    </w:sdtPr>
    <w:sdtEndPr>
      <w:rPr>
        <w:rFonts w:asciiTheme="minorEastAsia" w:hAnsiTheme="minorEastAsia"/>
        <w:sz w:val="28"/>
        <w:szCs w:val="28"/>
      </w:rPr>
    </w:sdtEnd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69 -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1324"/>
    <w:rsid w:val="000004FF"/>
    <w:rsid w:val="0001206A"/>
    <w:rsid w:val="000131AB"/>
    <w:rsid w:val="00022E29"/>
    <w:rsid w:val="000309DE"/>
    <w:rsid w:val="00031E10"/>
    <w:rsid w:val="00034B21"/>
    <w:rsid w:val="000370B3"/>
    <w:rsid w:val="00046944"/>
    <w:rsid w:val="000617D3"/>
    <w:rsid w:val="00064884"/>
    <w:rsid w:val="000661D2"/>
    <w:rsid w:val="00076C03"/>
    <w:rsid w:val="0009231F"/>
    <w:rsid w:val="000A2E88"/>
    <w:rsid w:val="000A49FD"/>
    <w:rsid w:val="000A4B7B"/>
    <w:rsid w:val="000B03AE"/>
    <w:rsid w:val="000B43DF"/>
    <w:rsid w:val="000B4CEF"/>
    <w:rsid w:val="000C4205"/>
    <w:rsid w:val="000D0C75"/>
    <w:rsid w:val="000D2B49"/>
    <w:rsid w:val="000D3606"/>
    <w:rsid w:val="000E15C1"/>
    <w:rsid w:val="000E6114"/>
    <w:rsid w:val="000F0619"/>
    <w:rsid w:val="000F18FB"/>
    <w:rsid w:val="000F5009"/>
    <w:rsid w:val="000F6978"/>
    <w:rsid w:val="000F6C56"/>
    <w:rsid w:val="001050BB"/>
    <w:rsid w:val="00137637"/>
    <w:rsid w:val="00145551"/>
    <w:rsid w:val="00147FDE"/>
    <w:rsid w:val="00151324"/>
    <w:rsid w:val="00152BEF"/>
    <w:rsid w:val="00191530"/>
    <w:rsid w:val="00197643"/>
    <w:rsid w:val="001C0E9D"/>
    <w:rsid w:val="001C49AE"/>
    <w:rsid w:val="001D1FE0"/>
    <w:rsid w:val="001E4BF7"/>
    <w:rsid w:val="001F078C"/>
    <w:rsid w:val="001F474C"/>
    <w:rsid w:val="00204F38"/>
    <w:rsid w:val="0021146D"/>
    <w:rsid w:val="00216E74"/>
    <w:rsid w:val="00216EC1"/>
    <w:rsid w:val="002235BF"/>
    <w:rsid w:val="00223956"/>
    <w:rsid w:val="00224D5B"/>
    <w:rsid w:val="00225B17"/>
    <w:rsid w:val="00247F47"/>
    <w:rsid w:val="002601F7"/>
    <w:rsid w:val="00283F39"/>
    <w:rsid w:val="0029511B"/>
    <w:rsid w:val="00295B83"/>
    <w:rsid w:val="002A0704"/>
    <w:rsid w:val="002A3CA2"/>
    <w:rsid w:val="002C44F7"/>
    <w:rsid w:val="002C5700"/>
    <w:rsid w:val="002D249B"/>
    <w:rsid w:val="002E033F"/>
    <w:rsid w:val="002E14A8"/>
    <w:rsid w:val="002E27F1"/>
    <w:rsid w:val="002E7846"/>
    <w:rsid w:val="003024D1"/>
    <w:rsid w:val="0030638D"/>
    <w:rsid w:val="00317952"/>
    <w:rsid w:val="00330E80"/>
    <w:rsid w:val="00331661"/>
    <w:rsid w:val="0034408A"/>
    <w:rsid w:val="00372C44"/>
    <w:rsid w:val="0037536D"/>
    <w:rsid w:val="00382A64"/>
    <w:rsid w:val="003A04ED"/>
    <w:rsid w:val="003A0B03"/>
    <w:rsid w:val="003A175A"/>
    <w:rsid w:val="003A1EB0"/>
    <w:rsid w:val="003A4C7E"/>
    <w:rsid w:val="003A5E0F"/>
    <w:rsid w:val="003B3A50"/>
    <w:rsid w:val="003B3AFA"/>
    <w:rsid w:val="003C0952"/>
    <w:rsid w:val="003C495F"/>
    <w:rsid w:val="003E656E"/>
    <w:rsid w:val="003F2487"/>
    <w:rsid w:val="0040278F"/>
    <w:rsid w:val="004121DD"/>
    <w:rsid w:val="0041651E"/>
    <w:rsid w:val="00416F47"/>
    <w:rsid w:val="00417EAF"/>
    <w:rsid w:val="00424BF0"/>
    <w:rsid w:val="00443458"/>
    <w:rsid w:val="00444C83"/>
    <w:rsid w:val="00450A70"/>
    <w:rsid w:val="0046166A"/>
    <w:rsid w:val="00471C82"/>
    <w:rsid w:val="00474C27"/>
    <w:rsid w:val="004777A8"/>
    <w:rsid w:val="00482DAD"/>
    <w:rsid w:val="004A5BBA"/>
    <w:rsid w:val="004C21B8"/>
    <w:rsid w:val="004C6576"/>
    <w:rsid w:val="004D0D7C"/>
    <w:rsid w:val="004D1F1D"/>
    <w:rsid w:val="004D3AEC"/>
    <w:rsid w:val="004D7836"/>
    <w:rsid w:val="004F0C95"/>
    <w:rsid w:val="004F5F75"/>
    <w:rsid w:val="00503D27"/>
    <w:rsid w:val="00521023"/>
    <w:rsid w:val="005212A0"/>
    <w:rsid w:val="00526B4E"/>
    <w:rsid w:val="00527A63"/>
    <w:rsid w:val="0053389A"/>
    <w:rsid w:val="00535B96"/>
    <w:rsid w:val="0054197B"/>
    <w:rsid w:val="00545DED"/>
    <w:rsid w:val="005610CF"/>
    <w:rsid w:val="0056116F"/>
    <w:rsid w:val="005617C6"/>
    <w:rsid w:val="00571B10"/>
    <w:rsid w:val="00573A70"/>
    <w:rsid w:val="00580263"/>
    <w:rsid w:val="00584E7C"/>
    <w:rsid w:val="005A1961"/>
    <w:rsid w:val="005A393F"/>
    <w:rsid w:val="005D3585"/>
    <w:rsid w:val="005D4A88"/>
    <w:rsid w:val="005D65CD"/>
    <w:rsid w:val="005D72AC"/>
    <w:rsid w:val="005E2C19"/>
    <w:rsid w:val="005E504C"/>
    <w:rsid w:val="005F7308"/>
    <w:rsid w:val="006006C3"/>
    <w:rsid w:val="00604394"/>
    <w:rsid w:val="00611D36"/>
    <w:rsid w:val="006204E6"/>
    <w:rsid w:val="0066093C"/>
    <w:rsid w:val="0066200A"/>
    <w:rsid w:val="00662255"/>
    <w:rsid w:val="006970B2"/>
    <w:rsid w:val="006B0CBC"/>
    <w:rsid w:val="006C07FB"/>
    <w:rsid w:val="006C3C83"/>
    <w:rsid w:val="006D1B01"/>
    <w:rsid w:val="006D6525"/>
    <w:rsid w:val="006E4AB4"/>
    <w:rsid w:val="006F0E58"/>
    <w:rsid w:val="006F63CD"/>
    <w:rsid w:val="007026D5"/>
    <w:rsid w:val="00702BB0"/>
    <w:rsid w:val="007044EB"/>
    <w:rsid w:val="00707665"/>
    <w:rsid w:val="00712B1E"/>
    <w:rsid w:val="007231DE"/>
    <w:rsid w:val="00730706"/>
    <w:rsid w:val="00731CF2"/>
    <w:rsid w:val="00737F04"/>
    <w:rsid w:val="007549FA"/>
    <w:rsid w:val="00755A3A"/>
    <w:rsid w:val="007715B5"/>
    <w:rsid w:val="00776744"/>
    <w:rsid w:val="00782910"/>
    <w:rsid w:val="00787D5F"/>
    <w:rsid w:val="007A3A39"/>
    <w:rsid w:val="007A4429"/>
    <w:rsid w:val="007B6794"/>
    <w:rsid w:val="007C57B8"/>
    <w:rsid w:val="007D669A"/>
    <w:rsid w:val="007F7856"/>
    <w:rsid w:val="008208EB"/>
    <w:rsid w:val="00832249"/>
    <w:rsid w:val="00833130"/>
    <w:rsid w:val="00840B58"/>
    <w:rsid w:val="00865021"/>
    <w:rsid w:val="00870648"/>
    <w:rsid w:val="00870EAE"/>
    <w:rsid w:val="008766ED"/>
    <w:rsid w:val="00882262"/>
    <w:rsid w:val="0088302F"/>
    <w:rsid w:val="00883F09"/>
    <w:rsid w:val="00886F24"/>
    <w:rsid w:val="008873DA"/>
    <w:rsid w:val="00895E12"/>
    <w:rsid w:val="008A1E04"/>
    <w:rsid w:val="008A2EFB"/>
    <w:rsid w:val="008B14E8"/>
    <w:rsid w:val="008F6FF2"/>
    <w:rsid w:val="009047D0"/>
    <w:rsid w:val="00910A1C"/>
    <w:rsid w:val="009234BA"/>
    <w:rsid w:val="00930B68"/>
    <w:rsid w:val="00934703"/>
    <w:rsid w:val="00936F11"/>
    <w:rsid w:val="009438A6"/>
    <w:rsid w:val="009521CC"/>
    <w:rsid w:val="0095368B"/>
    <w:rsid w:val="00963CDC"/>
    <w:rsid w:val="00974F98"/>
    <w:rsid w:val="009841DC"/>
    <w:rsid w:val="00991744"/>
    <w:rsid w:val="00992771"/>
    <w:rsid w:val="00997F66"/>
    <w:rsid w:val="009A5A1F"/>
    <w:rsid w:val="009B1AD3"/>
    <w:rsid w:val="009B2157"/>
    <w:rsid w:val="009C488C"/>
    <w:rsid w:val="009D586A"/>
    <w:rsid w:val="009D589F"/>
    <w:rsid w:val="009D591D"/>
    <w:rsid w:val="009D71C6"/>
    <w:rsid w:val="009E098C"/>
    <w:rsid w:val="009F799F"/>
    <w:rsid w:val="00A11074"/>
    <w:rsid w:val="00A17771"/>
    <w:rsid w:val="00A24957"/>
    <w:rsid w:val="00A37683"/>
    <w:rsid w:val="00A5344D"/>
    <w:rsid w:val="00A561CA"/>
    <w:rsid w:val="00A576AB"/>
    <w:rsid w:val="00A6289D"/>
    <w:rsid w:val="00A66A5A"/>
    <w:rsid w:val="00A82116"/>
    <w:rsid w:val="00A92D32"/>
    <w:rsid w:val="00A9751A"/>
    <w:rsid w:val="00AA6E1C"/>
    <w:rsid w:val="00AB2C44"/>
    <w:rsid w:val="00AB3373"/>
    <w:rsid w:val="00AB4B64"/>
    <w:rsid w:val="00AC4197"/>
    <w:rsid w:val="00AD1620"/>
    <w:rsid w:val="00AE4D75"/>
    <w:rsid w:val="00AE616A"/>
    <w:rsid w:val="00B0388D"/>
    <w:rsid w:val="00B060CD"/>
    <w:rsid w:val="00B1299E"/>
    <w:rsid w:val="00B153AE"/>
    <w:rsid w:val="00B15CC1"/>
    <w:rsid w:val="00B3230E"/>
    <w:rsid w:val="00B42E53"/>
    <w:rsid w:val="00B507F1"/>
    <w:rsid w:val="00B645C9"/>
    <w:rsid w:val="00B64608"/>
    <w:rsid w:val="00B67CA4"/>
    <w:rsid w:val="00B827BA"/>
    <w:rsid w:val="00B90179"/>
    <w:rsid w:val="00B93F58"/>
    <w:rsid w:val="00BA3F45"/>
    <w:rsid w:val="00BA5BB8"/>
    <w:rsid w:val="00BC33E6"/>
    <w:rsid w:val="00BC550A"/>
    <w:rsid w:val="00BD0835"/>
    <w:rsid w:val="00BD7BDE"/>
    <w:rsid w:val="00BE0820"/>
    <w:rsid w:val="00BE6C6B"/>
    <w:rsid w:val="00C14C8B"/>
    <w:rsid w:val="00C51F49"/>
    <w:rsid w:val="00C631E5"/>
    <w:rsid w:val="00C760EC"/>
    <w:rsid w:val="00C83C9F"/>
    <w:rsid w:val="00C9701D"/>
    <w:rsid w:val="00CA4064"/>
    <w:rsid w:val="00CC27D2"/>
    <w:rsid w:val="00CD1151"/>
    <w:rsid w:val="00CD7ACC"/>
    <w:rsid w:val="00CE1CFD"/>
    <w:rsid w:val="00D024B2"/>
    <w:rsid w:val="00D0716B"/>
    <w:rsid w:val="00D11B3D"/>
    <w:rsid w:val="00D15B6B"/>
    <w:rsid w:val="00D257D3"/>
    <w:rsid w:val="00D330EC"/>
    <w:rsid w:val="00D3632F"/>
    <w:rsid w:val="00D37E75"/>
    <w:rsid w:val="00D436B0"/>
    <w:rsid w:val="00D46A9E"/>
    <w:rsid w:val="00D528B6"/>
    <w:rsid w:val="00D6196A"/>
    <w:rsid w:val="00D719E3"/>
    <w:rsid w:val="00D7785E"/>
    <w:rsid w:val="00D77C21"/>
    <w:rsid w:val="00D876D7"/>
    <w:rsid w:val="00D94ADB"/>
    <w:rsid w:val="00DC413E"/>
    <w:rsid w:val="00DC4EF8"/>
    <w:rsid w:val="00DE39E9"/>
    <w:rsid w:val="00DF2588"/>
    <w:rsid w:val="00DF3724"/>
    <w:rsid w:val="00E00F0B"/>
    <w:rsid w:val="00E153D7"/>
    <w:rsid w:val="00E21F40"/>
    <w:rsid w:val="00E27593"/>
    <w:rsid w:val="00E31D65"/>
    <w:rsid w:val="00E35F83"/>
    <w:rsid w:val="00E47480"/>
    <w:rsid w:val="00E508B0"/>
    <w:rsid w:val="00E5593C"/>
    <w:rsid w:val="00E63B90"/>
    <w:rsid w:val="00E667BC"/>
    <w:rsid w:val="00E800FC"/>
    <w:rsid w:val="00E80545"/>
    <w:rsid w:val="00EA2174"/>
    <w:rsid w:val="00ED4DEE"/>
    <w:rsid w:val="00EE44C5"/>
    <w:rsid w:val="00EE75A3"/>
    <w:rsid w:val="00F02D79"/>
    <w:rsid w:val="00F14217"/>
    <w:rsid w:val="00F167C5"/>
    <w:rsid w:val="00F2014F"/>
    <w:rsid w:val="00F21FAA"/>
    <w:rsid w:val="00F248B5"/>
    <w:rsid w:val="00F25BB0"/>
    <w:rsid w:val="00F44647"/>
    <w:rsid w:val="00F5437F"/>
    <w:rsid w:val="00F67CEC"/>
    <w:rsid w:val="00F75503"/>
    <w:rsid w:val="00F77696"/>
    <w:rsid w:val="00F810DB"/>
    <w:rsid w:val="00F93107"/>
    <w:rsid w:val="00F94F66"/>
    <w:rsid w:val="00FA4778"/>
    <w:rsid w:val="00FB4303"/>
    <w:rsid w:val="00FB6153"/>
    <w:rsid w:val="00FD3367"/>
    <w:rsid w:val="00FE09C2"/>
    <w:rsid w:val="00FF2F98"/>
    <w:rsid w:val="00FF5E74"/>
    <w:rsid w:val="03EF2A24"/>
    <w:rsid w:val="0465134E"/>
    <w:rsid w:val="091D0376"/>
    <w:rsid w:val="31D26455"/>
    <w:rsid w:val="35E64841"/>
    <w:rsid w:val="3AF86C13"/>
    <w:rsid w:val="724D2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脚 Char"/>
    <w:basedOn w:val="6"/>
    <w:link w:val="3"/>
    <w:qFormat/>
    <w:uiPriority w:val="99"/>
    <w:rPr>
      <w:sz w:val="18"/>
      <w:szCs w:val="18"/>
    </w:rPr>
  </w:style>
  <w:style w:type="character" w:customStyle="1" w:styleId="10">
    <w:name w:val="页眉 Char"/>
    <w:basedOn w:val="6"/>
    <w:link w:val="4"/>
    <w:semiHidden/>
    <w:qFormat/>
    <w:uiPriority w:val="99"/>
    <w:rPr>
      <w:sz w:val="18"/>
      <w:szCs w:val="18"/>
    </w:rPr>
  </w:style>
  <w:style w:type="paragraph" w:customStyle="1" w:styleId="11">
    <w:name w:val="xl66"/>
    <w:basedOn w:val="1"/>
    <w:qFormat/>
    <w:uiPriority w:val="0"/>
    <w:pPr>
      <w:widowControl/>
      <w:spacing w:before="100" w:beforeAutospacing="1" w:after="100" w:afterAutospacing="1"/>
      <w:jc w:val="left"/>
    </w:pPr>
    <w:rPr>
      <w:rFonts w:ascii="黑体" w:hAnsi="宋体" w:eastAsia="黑体" w:cs="宋体"/>
      <w:kern w:val="0"/>
      <w:sz w:val="24"/>
      <w:szCs w:val="24"/>
    </w:rPr>
  </w:style>
  <w:style w:type="paragraph" w:customStyle="1" w:styleId="12">
    <w:name w:val="xl67"/>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3">
    <w:name w:val="xl68"/>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14">
    <w:name w:val="xl69"/>
    <w:basedOn w:val="1"/>
    <w:qFormat/>
    <w:uiPriority w:val="0"/>
    <w:pPr>
      <w:widowControl/>
      <w:spacing w:before="100" w:beforeAutospacing="1" w:after="100" w:afterAutospacing="1"/>
    </w:pPr>
    <w:rPr>
      <w:rFonts w:ascii="仿宋_GB2312" w:hAnsi="宋体" w:eastAsia="仿宋_GB2312" w:cs="宋体"/>
      <w:kern w:val="0"/>
      <w:sz w:val="24"/>
      <w:szCs w:val="24"/>
    </w:rPr>
  </w:style>
  <w:style w:type="paragraph" w:customStyle="1" w:styleId="15">
    <w:name w:val="xl70"/>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16">
    <w:name w:val="xl71"/>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17">
    <w:name w:val="xl72"/>
    <w:basedOn w:val="1"/>
    <w:qFormat/>
    <w:uiPriority w:val="0"/>
    <w:pPr>
      <w:widowControl/>
      <w:spacing w:before="100" w:beforeAutospacing="1" w:after="100" w:afterAutospacing="1"/>
    </w:pPr>
    <w:rPr>
      <w:rFonts w:ascii="方正小标宋简体" w:hAnsi="宋体" w:eastAsia="方正小标宋简体" w:cs="宋体"/>
      <w:kern w:val="0"/>
      <w:sz w:val="44"/>
      <w:szCs w:val="44"/>
    </w:rPr>
  </w:style>
  <w:style w:type="paragraph" w:customStyle="1" w:styleId="18">
    <w:name w:val="xl73"/>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19">
    <w:name w:val="xl74"/>
    <w:basedOn w:val="1"/>
    <w:qFormat/>
    <w:uiPriority w:val="0"/>
    <w:pPr>
      <w:widowControl/>
      <w:pBdr>
        <w:bottom w:val="single" w:color="auto"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20">
    <w:name w:val="xl75"/>
    <w:basedOn w:val="1"/>
    <w:qFormat/>
    <w:uiPriority w:val="0"/>
    <w:pPr>
      <w:widowControl/>
      <w:pBdr>
        <w:bottom w:val="single" w:color="auto" w:sz="4" w:space="0"/>
      </w:pBdr>
      <w:spacing w:before="100" w:beforeAutospacing="1" w:after="100" w:afterAutospacing="1"/>
    </w:pPr>
    <w:rPr>
      <w:rFonts w:ascii="方正小标宋简体" w:hAnsi="宋体" w:eastAsia="方正小标宋简体" w:cs="宋体"/>
      <w:kern w:val="0"/>
      <w:sz w:val="44"/>
      <w:szCs w:val="44"/>
    </w:rPr>
  </w:style>
  <w:style w:type="paragraph" w:customStyle="1" w:styleId="21">
    <w:name w:val="xl76"/>
    <w:basedOn w:val="1"/>
    <w:qFormat/>
    <w:uiPriority w:val="0"/>
    <w:pPr>
      <w:widowControl/>
      <w:pBdr>
        <w:bottom w:val="single" w:color="auto"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22">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3">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4">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仿宋_GB2312" w:hAnsi="宋体" w:eastAsia="仿宋_GB2312" w:cs="宋体"/>
      <w:kern w:val="0"/>
      <w:sz w:val="20"/>
      <w:szCs w:val="20"/>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0"/>
      <w:szCs w:val="20"/>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8">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9">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0">
    <w:name w:val="xl85"/>
    <w:basedOn w:val="1"/>
    <w:qFormat/>
    <w:uiPriority w:val="0"/>
    <w:pPr>
      <w:widowControl/>
      <w:pBdr>
        <w:left w:val="single" w:color="auto" w:sz="4" w:space="0"/>
        <w:right w:val="single" w:color="auto" w:sz="4" w:space="0"/>
      </w:pBdr>
      <w:spacing w:before="100" w:beforeAutospacing="1" w:after="100" w:afterAutospacing="1"/>
    </w:pPr>
    <w:rPr>
      <w:rFonts w:ascii="仿宋_GB2312" w:hAnsi="宋体" w:eastAsia="仿宋_GB2312" w:cs="宋体"/>
      <w:kern w:val="0"/>
      <w:sz w:val="20"/>
      <w:szCs w:val="20"/>
    </w:rPr>
  </w:style>
  <w:style w:type="paragraph" w:customStyle="1" w:styleId="31">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2">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3">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0"/>
      <w:szCs w:val="20"/>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6">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7">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3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5">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20"/>
      <w:szCs w:val="20"/>
    </w:rPr>
  </w:style>
  <w:style w:type="paragraph" w:customStyle="1" w:styleId="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eastAsia="宋体" w:cs="Courier New"/>
      <w:color w:val="000000"/>
      <w:kern w:val="0"/>
      <w:sz w:val="20"/>
      <w:szCs w:val="20"/>
    </w:rPr>
  </w:style>
  <w:style w:type="paragraph" w:customStyle="1" w:styleId="49">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0">
    <w:name w:val="xl105"/>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1">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character" w:customStyle="1" w:styleId="52">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69</Pages>
  <Words>4273</Words>
  <Characters>24359</Characters>
  <Lines>202</Lines>
  <Paragraphs>57</Paragraphs>
  <TotalTime>1</TotalTime>
  <ScaleCrop>false</ScaleCrop>
  <LinksUpToDate>false</LinksUpToDate>
  <CharactersWithSpaces>28575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2021-02-02T01:07:00Z</dcterms:created>
  <dc:creator>zq</dc:creator>
  <cp:lastModifiedBy>互联盘锦网站</cp:lastModifiedBy>
  <cp:lastPrinted>2021-01-26T02:04:00Z</cp:lastPrinted>
  <dcterms:modified xsi:type="dcterms:W3CDTF">2022-05-31T10:49:41Z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F4C24591BD5B4B0096DEC0C56B79A3F2</vt:lpwstr>
  </property>
</Properties>
</file>