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C3" w:rsidRDefault="00CB10C3" w:rsidP="00CB10C3">
      <w:pPr>
        <w:pStyle w:val="a5"/>
        <w:spacing w:before="0" w:after="0" w:line="360" w:lineRule="auto"/>
        <w:ind w:firstLineChars="201" w:firstLine="888"/>
      </w:pPr>
      <w:r>
        <w:rPr>
          <w:rFonts w:ascii="Calibri" w:eastAsia="仿宋" w:hAnsi="Calibri" w:hint="eastAsia"/>
          <w:kern w:val="44"/>
          <w:sz w:val="44"/>
          <w:szCs w:val="24"/>
        </w:rPr>
        <w:t>第三</w:t>
      </w:r>
      <w:r w:rsidRPr="00723CF5">
        <w:rPr>
          <w:rFonts w:ascii="Calibri" w:eastAsia="仿宋" w:hAnsi="Calibri" w:hint="eastAsia"/>
          <w:kern w:val="44"/>
          <w:sz w:val="44"/>
          <w:szCs w:val="24"/>
        </w:rPr>
        <w:t>章</w:t>
      </w:r>
      <w:r w:rsidRPr="00723CF5">
        <w:rPr>
          <w:rFonts w:ascii="Calibri" w:eastAsia="仿宋" w:hAnsi="Calibri"/>
          <w:kern w:val="44"/>
          <w:sz w:val="44"/>
          <w:szCs w:val="24"/>
        </w:rPr>
        <w:t xml:space="preserve">  </w:t>
      </w:r>
      <w:r>
        <w:rPr>
          <w:rFonts w:ascii="Calibri" w:eastAsia="仿宋" w:hAnsi="Calibri" w:hint="eastAsia"/>
          <w:kern w:val="44"/>
          <w:sz w:val="44"/>
          <w:szCs w:val="24"/>
        </w:rPr>
        <w:t>采购需求</w:t>
      </w:r>
    </w:p>
    <w:p w:rsidR="00CB10C3" w:rsidRDefault="00CB10C3" w:rsidP="00CB10C3"/>
    <w:p w:rsidR="00CB10C3" w:rsidRPr="000955B7" w:rsidRDefault="00CB10C3" w:rsidP="00CB10C3">
      <w:pPr>
        <w:sectPr w:rsidR="00CB10C3" w:rsidRPr="000955B7" w:rsidSect="00EB5FBC">
          <w:pgSz w:w="11906" w:h="16838" w:code="9"/>
          <w:pgMar w:top="1440" w:right="1077" w:bottom="1440" w:left="1077" w:header="851" w:footer="992" w:gutter="0"/>
          <w:cols w:space="425"/>
          <w:vAlign w:val="center"/>
          <w:docGrid w:type="lines" w:linePitch="312"/>
        </w:sectPr>
      </w:pPr>
    </w:p>
    <w:p w:rsidR="00CB10C3" w:rsidRDefault="00CB10C3" w:rsidP="00CB10C3">
      <w:pPr>
        <w:spacing w:line="20" w:lineRule="exact"/>
        <w:rPr>
          <w:rFonts w:ascii="宋体" w:hAnsi="宋体" w:cs="Lucida Sans Unicode"/>
          <w:szCs w:val="21"/>
        </w:rPr>
      </w:pPr>
    </w:p>
    <w:tbl>
      <w:tblPr>
        <w:tblW w:w="9985" w:type="dxa"/>
        <w:tblCellMar>
          <w:left w:w="0" w:type="dxa"/>
          <w:right w:w="0" w:type="dxa"/>
        </w:tblCellMar>
        <w:tblLook w:val="0000"/>
      </w:tblPr>
      <w:tblGrid>
        <w:gridCol w:w="2114"/>
        <w:gridCol w:w="7871"/>
      </w:tblGrid>
      <w:tr w:rsidR="00CB10C3" w:rsidTr="00C34846">
        <w:trPr>
          <w:trHeight w:val="799"/>
        </w:trPr>
        <w:tc>
          <w:tcPr>
            <w:tcW w:w="2115"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项目名称</w:t>
            </w:r>
          </w:p>
        </w:tc>
        <w:tc>
          <w:tcPr>
            <w:tcW w:w="7875"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CB10C3" w:rsidRDefault="00CB10C3" w:rsidP="00C34846">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大洼区2021年职工医疗补充保险</w:t>
            </w:r>
          </w:p>
        </w:tc>
      </w:tr>
      <w:tr w:rsidR="00CB10C3" w:rsidTr="00C34846">
        <w:trPr>
          <w:trHeight w:val="799"/>
        </w:trPr>
        <w:tc>
          <w:tcPr>
            <w:tcW w:w="211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用途说明</w:t>
            </w:r>
          </w:p>
        </w:tc>
        <w:tc>
          <w:tcPr>
            <w:tcW w:w="7875"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CB10C3" w:rsidRDefault="00CB10C3" w:rsidP="00C34846">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为全区区直行政事业单位公务员医疗二次报销补助在保险公司参加保险</w:t>
            </w:r>
          </w:p>
        </w:tc>
      </w:tr>
      <w:tr w:rsidR="00CB10C3" w:rsidTr="00C34846">
        <w:trPr>
          <w:trHeight w:val="8160"/>
        </w:trPr>
        <w:tc>
          <w:tcPr>
            <w:tcW w:w="211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技术要求及参数（包括附件、零配件及专用工具）</w:t>
            </w:r>
          </w:p>
        </w:tc>
        <w:tc>
          <w:tcPr>
            <w:tcW w:w="7875"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CB10C3" w:rsidRDefault="00CB10C3" w:rsidP="00C34846">
            <w:pPr>
              <w:widowControl/>
              <w:jc w:val="left"/>
              <w:textAlignment w:val="top"/>
              <w:rPr>
                <w:rFonts w:ascii="宋体" w:hAnsi="宋体" w:cs="宋体"/>
                <w:color w:val="000000"/>
                <w:sz w:val="24"/>
              </w:rPr>
            </w:pPr>
            <w:r>
              <w:rPr>
                <w:rFonts w:ascii="宋体" w:hAnsi="宋体" w:cs="宋体" w:hint="eastAsia"/>
                <w:color w:val="000000"/>
                <w:kern w:val="0"/>
                <w:sz w:val="24"/>
                <w:bdr w:val="nil"/>
              </w:rPr>
              <w:t>理赔范围及标准：我区共有11,200人，其中：在职7,969人、退休3,198人、三方面人员33人。</w:t>
            </w:r>
            <w:r>
              <w:rPr>
                <w:rFonts w:ascii="宋体" w:hAnsi="宋体" w:cs="宋体" w:hint="eastAsia"/>
                <w:color w:val="000000"/>
                <w:kern w:val="0"/>
                <w:sz w:val="24"/>
                <w:bdr w:val="nil"/>
              </w:rPr>
              <w:br/>
              <w:t xml:space="preserve">  团体社保补充医疗保险与职工基本医疗保险相衔接,其诊疗项目、医疗服务项目、用药范围等政策相统一。参保人员在保险期内，发生符合盘锦市城镇职工基本医疗保险支付范围内的住院及慢病、特病、大病门诊医疗费用。在市医保中心和市定点医院结算的，乙方不得对所报销的费用进行再次审核；异地居住人员和转外就医的患者，在异地结算统筹费用后，由乙方核算医疗补助费用。</w:t>
            </w:r>
            <w:r>
              <w:rPr>
                <w:rFonts w:ascii="宋体" w:hAnsi="宋体" w:cs="宋体" w:hint="eastAsia"/>
                <w:color w:val="000000"/>
                <w:kern w:val="0"/>
                <w:sz w:val="24"/>
                <w:bdr w:val="nil"/>
              </w:rPr>
              <w:br/>
              <w:t>1、个人承担的起付标准部分按50%赔付；最高赔付限额1500元；</w:t>
            </w:r>
            <w:r>
              <w:rPr>
                <w:rFonts w:ascii="宋体" w:hAnsi="宋体" w:cs="宋体" w:hint="eastAsia"/>
                <w:color w:val="000000"/>
                <w:kern w:val="0"/>
                <w:sz w:val="24"/>
                <w:bdr w:val="nil"/>
              </w:rPr>
              <w:br/>
              <w:t>2、统筹基金起付标准以上至最高支付限额以下，符合基本医疗保险政策规定应由个人自付的合理医疗费用部分（包含乙类自理费用），按90%赔付，最高赔付限额4万元。</w:t>
            </w:r>
            <w:r>
              <w:rPr>
                <w:rFonts w:ascii="宋体" w:hAnsi="宋体" w:cs="宋体" w:hint="eastAsia"/>
                <w:color w:val="000000"/>
                <w:kern w:val="0"/>
                <w:sz w:val="24"/>
                <w:bdr w:val="nil"/>
              </w:rPr>
              <w:br/>
              <w:t>3、统筹基金最高支付限额以上至高额补充医疗保险支付范围以内，符合基本医疗保险政策规定应由个人自付的合理医疗费用部分（包含乙类自理费用），按90%赔付，最高赔付限额6万元；</w:t>
            </w:r>
            <w:r>
              <w:rPr>
                <w:rFonts w:ascii="宋体" w:hAnsi="宋体" w:cs="宋体" w:hint="eastAsia"/>
                <w:color w:val="000000"/>
                <w:kern w:val="0"/>
                <w:sz w:val="24"/>
                <w:bdr w:val="nil"/>
              </w:rPr>
              <w:br/>
              <w:t>4、高额补充医疗保险最高支付限额以上，符合基本医疗保险政策规定应由个人自付的合理医疗费用部分（包含乙类自理费用），按90%赔付，最高赔付限额13万元。</w:t>
            </w:r>
            <w:r>
              <w:rPr>
                <w:rFonts w:ascii="宋体" w:hAnsi="宋体" w:cs="宋体" w:hint="eastAsia"/>
                <w:color w:val="000000"/>
                <w:kern w:val="0"/>
                <w:sz w:val="24"/>
                <w:bdr w:val="nil"/>
              </w:rPr>
              <w:br/>
              <w:t>5．以上报销项目中，对于新入医保目录的高值药品，按自付部分（含乙类自理）90%赔付。</w:t>
            </w:r>
          </w:p>
        </w:tc>
      </w:tr>
      <w:tr w:rsidR="00CB10C3" w:rsidTr="00C34846">
        <w:trPr>
          <w:trHeight w:val="840"/>
        </w:trPr>
        <w:tc>
          <w:tcPr>
            <w:tcW w:w="211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技术服务条件</w:t>
            </w:r>
          </w:p>
        </w:tc>
        <w:tc>
          <w:tcPr>
            <w:tcW w:w="7875"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CB10C3" w:rsidRDefault="00CB10C3" w:rsidP="00C34846">
            <w:pPr>
              <w:jc w:val="left"/>
              <w:rPr>
                <w:rFonts w:ascii="仿宋_GB2312" w:eastAsia="仿宋_GB2312" w:hAnsi="宋体" w:cs="仿宋_GB2312"/>
                <w:color w:val="000000"/>
                <w:sz w:val="24"/>
              </w:rPr>
            </w:pPr>
          </w:p>
        </w:tc>
      </w:tr>
      <w:tr w:rsidR="00CB10C3" w:rsidTr="00C34846">
        <w:trPr>
          <w:trHeight w:val="525"/>
        </w:trPr>
        <w:tc>
          <w:tcPr>
            <w:tcW w:w="211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服务期限</w:t>
            </w:r>
          </w:p>
        </w:tc>
        <w:tc>
          <w:tcPr>
            <w:tcW w:w="7875"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CB10C3" w:rsidRDefault="00CB10C3" w:rsidP="00C34846">
            <w:pPr>
              <w:widowControl/>
              <w:jc w:val="left"/>
              <w:textAlignment w:val="center"/>
              <w:rPr>
                <w:rFonts w:ascii="宋体" w:hAnsi="宋体" w:cs="宋体"/>
                <w:color w:val="000000"/>
                <w:sz w:val="24"/>
              </w:rPr>
            </w:pPr>
            <w:r>
              <w:rPr>
                <w:rFonts w:ascii="宋体" w:hAnsi="宋体" w:cs="宋体" w:hint="eastAsia"/>
                <w:color w:val="000000"/>
                <w:kern w:val="0"/>
                <w:sz w:val="24"/>
                <w:bdr w:val="nil"/>
              </w:rPr>
              <w:t>签定合同后一年内完成</w:t>
            </w:r>
          </w:p>
        </w:tc>
      </w:tr>
      <w:tr w:rsidR="00CB10C3" w:rsidTr="00C34846">
        <w:trPr>
          <w:trHeight w:val="435"/>
        </w:trPr>
        <w:tc>
          <w:tcPr>
            <w:tcW w:w="211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地点</w:t>
            </w:r>
          </w:p>
        </w:tc>
        <w:tc>
          <w:tcPr>
            <w:tcW w:w="7875"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CB10C3" w:rsidRDefault="00CB10C3" w:rsidP="00C34846">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大洼区大洼镇</w:t>
            </w:r>
          </w:p>
        </w:tc>
      </w:tr>
      <w:tr w:rsidR="00CB10C3" w:rsidTr="00C34846">
        <w:trPr>
          <w:trHeight w:val="2180"/>
        </w:trPr>
        <w:tc>
          <w:tcPr>
            <w:tcW w:w="211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lastRenderedPageBreak/>
              <w:t>特殊要求</w:t>
            </w:r>
          </w:p>
        </w:tc>
        <w:tc>
          <w:tcPr>
            <w:tcW w:w="7875"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CB10C3" w:rsidRDefault="00CB10C3" w:rsidP="00C34846">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特殊要求:                                                             1、在既往经营与基本医保相衔接的业务中无中途弃保和大量拖欠群众理赔款的行为。                                                       2、注册资金20亿元（含20亿元）及以上。                                                                                                                    3、为防止不正当竞争，报价要有科学的方案，测算依据要合理可靠。            4、具备完善的服务网点和较强的医疗保险专业能力。5合同有效期三年，本项目不接受联合体投标</w:t>
            </w:r>
          </w:p>
        </w:tc>
      </w:tr>
      <w:tr w:rsidR="00CB10C3" w:rsidTr="00C34846">
        <w:trPr>
          <w:trHeight w:val="840"/>
        </w:trPr>
        <w:tc>
          <w:tcPr>
            <w:tcW w:w="211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验收标准</w:t>
            </w:r>
          </w:p>
        </w:tc>
        <w:tc>
          <w:tcPr>
            <w:tcW w:w="7875"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CB10C3" w:rsidRDefault="00CB10C3" w:rsidP="00C34846">
            <w:pPr>
              <w:jc w:val="left"/>
              <w:rPr>
                <w:rFonts w:ascii="仿宋_GB2312" w:eastAsia="仿宋_GB2312" w:hAnsi="宋体" w:cs="仿宋_GB2312"/>
                <w:color w:val="000000"/>
                <w:sz w:val="24"/>
              </w:rPr>
            </w:pPr>
          </w:p>
        </w:tc>
      </w:tr>
      <w:tr w:rsidR="00CB10C3" w:rsidTr="00C34846">
        <w:trPr>
          <w:trHeight w:val="630"/>
        </w:trPr>
        <w:tc>
          <w:tcPr>
            <w:tcW w:w="211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质量保证</w:t>
            </w:r>
          </w:p>
        </w:tc>
        <w:tc>
          <w:tcPr>
            <w:tcW w:w="7875"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CB10C3" w:rsidRDefault="00CB10C3" w:rsidP="00C34846">
            <w:pPr>
              <w:jc w:val="left"/>
              <w:rPr>
                <w:rFonts w:ascii="仿宋_GB2312" w:eastAsia="仿宋_GB2312" w:hAnsi="宋体" w:cs="仿宋_GB2312"/>
                <w:color w:val="000000"/>
                <w:sz w:val="24"/>
              </w:rPr>
            </w:pPr>
          </w:p>
        </w:tc>
      </w:tr>
      <w:tr w:rsidR="00CB10C3" w:rsidTr="00C34846">
        <w:trPr>
          <w:trHeight w:val="705"/>
        </w:trPr>
        <w:tc>
          <w:tcPr>
            <w:tcW w:w="2115"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right w:w="12" w:type="dxa"/>
            </w:tcMar>
            <w:vAlign w:val="center"/>
          </w:tcPr>
          <w:p w:rsidR="00CB10C3" w:rsidRDefault="00CB10C3" w:rsidP="00C3484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bdr w:val="nil"/>
              </w:rPr>
              <w:t>其它</w:t>
            </w:r>
          </w:p>
        </w:tc>
        <w:tc>
          <w:tcPr>
            <w:tcW w:w="7875"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right w:w="12" w:type="dxa"/>
            </w:tcMar>
            <w:vAlign w:val="center"/>
          </w:tcPr>
          <w:p w:rsidR="00CB10C3" w:rsidRDefault="00CB10C3" w:rsidP="00C34846">
            <w:pPr>
              <w:ind w:firstLineChars="200" w:firstLine="640"/>
              <w:rPr>
                <w:rFonts w:ascii="仿宋" w:eastAsia="仿宋" w:hAnsi="仿宋" w:cs="仿宋"/>
                <w:sz w:val="32"/>
                <w:szCs w:val="32"/>
              </w:rPr>
            </w:pPr>
            <w:r>
              <w:rPr>
                <w:rFonts w:ascii="仿宋" w:eastAsia="仿宋" w:hAnsi="仿宋" w:cs="仿宋" w:hint="eastAsia"/>
                <w:sz w:val="32"/>
                <w:szCs w:val="32"/>
              </w:rPr>
              <w:t>大洼区公务员补充医疗保险项目编号为DZC2020-1209，该项目付款方式分4期付款，各期交费日期和金额如下：</w:t>
            </w:r>
          </w:p>
          <w:p w:rsidR="00CB10C3" w:rsidRDefault="00CB10C3" w:rsidP="00C34846">
            <w:pPr>
              <w:ind w:firstLineChars="200" w:firstLine="640"/>
              <w:rPr>
                <w:rFonts w:ascii="仿宋" w:eastAsia="仿宋" w:hAnsi="仿宋" w:cs="仿宋"/>
                <w:sz w:val="32"/>
                <w:szCs w:val="32"/>
              </w:rPr>
            </w:pPr>
            <w:r>
              <w:rPr>
                <w:rFonts w:ascii="仿宋" w:eastAsia="仿宋" w:hAnsi="仿宋" w:cs="仿宋" w:hint="eastAsia"/>
                <w:sz w:val="32"/>
                <w:szCs w:val="32"/>
              </w:rPr>
              <w:t>2021年6月30日前交200万元，2021年9月30日前交120万元，2021年11月30日前交120万元，2021年12月31日前交余额部分（最后按年终实际人数计算保费余额部分）。</w:t>
            </w:r>
          </w:p>
          <w:p w:rsidR="00CB10C3" w:rsidRDefault="00CB10C3" w:rsidP="00C34846">
            <w:pPr>
              <w:jc w:val="left"/>
              <w:rPr>
                <w:rFonts w:ascii="仿宋_GB2312" w:eastAsia="仿宋_GB2312" w:hAnsi="宋体" w:cs="仿宋_GB2312"/>
                <w:color w:val="000000"/>
                <w:sz w:val="24"/>
              </w:rPr>
            </w:pPr>
          </w:p>
        </w:tc>
      </w:tr>
    </w:tbl>
    <w:p w:rsidR="00E21A99" w:rsidRDefault="00CB10C3">
      <w:r>
        <w:rPr>
          <w:rFonts w:ascii="仿宋_GB2312" w:eastAsia="仿宋_GB2312" w:hAnsi="仿宋_GB2312" w:cs="仿宋_GB2312" w:hint="eastAsia"/>
        </w:rPr>
        <w:br w:type="page"/>
      </w:r>
    </w:p>
    <w:sectPr w:rsidR="00E21A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A99" w:rsidRDefault="00E21A99" w:rsidP="00CB10C3">
      <w:r>
        <w:separator/>
      </w:r>
    </w:p>
  </w:endnote>
  <w:endnote w:type="continuationSeparator" w:id="1">
    <w:p w:rsidR="00E21A99" w:rsidRDefault="00E21A99" w:rsidP="00CB1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A99" w:rsidRDefault="00E21A99" w:rsidP="00CB10C3">
      <w:r>
        <w:separator/>
      </w:r>
    </w:p>
  </w:footnote>
  <w:footnote w:type="continuationSeparator" w:id="1">
    <w:p w:rsidR="00E21A99" w:rsidRDefault="00E21A99" w:rsidP="00CB10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10C3"/>
    <w:rsid w:val="00CB10C3"/>
    <w:rsid w:val="00E21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C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10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10C3"/>
    <w:rPr>
      <w:sz w:val="18"/>
      <w:szCs w:val="18"/>
    </w:rPr>
  </w:style>
  <w:style w:type="paragraph" w:styleId="a4">
    <w:name w:val="footer"/>
    <w:basedOn w:val="a"/>
    <w:link w:val="Char0"/>
    <w:uiPriority w:val="99"/>
    <w:semiHidden/>
    <w:unhideWhenUsed/>
    <w:rsid w:val="00CB10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10C3"/>
    <w:rPr>
      <w:sz w:val="18"/>
      <w:szCs w:val="18"/>
    </w:rPr>
  </w:style>
  <w:style w:type="paragraph" w:styleId="a5">
    <w:name w:val="Title"/>
    <w:link w:val="Char1"/>
    <w:qFormat/>
    <w:rsid w:val="00CB10C3"/>
    <w:pPr>
      <w:spacing w:before="240" w:after="60"/>
      <w:jc w:val="center"/>
      <w:outlineLvl w:val="0"/>
    </w:pPr>
    <w:rPr>
      <w:rFonts w:ascii="Cambria" w:eastAsia="方正小标宋简体" w:hAnsi="Cambria" w:cs="Times New Roman"/>
      <w:b/>
      <w:kern w:val="0"/>
      <w:sz w:val="32"/>
      <w:szCs w:val="32"/>
    </w:rPr>
  </w:style>
  <w:style w:type="character" w:customStyle="1" w:styleId="Char2">
    <w:name w:val="标题 Char"/>
    <w:basedOn w:val="a0"/>
    <w:link w:val="a5"/>
    <w:uiPriority w:val="10"/>
    <w:rsid w:val="00CB10C3"/>
    <w:rPr>
      <w:rFonts w:asciiTheme="majorHAnsi" w:eastAsia="宋体" w:hAnsiTheme="majorHAnsi" w:cstheme="majorBidi"/>
      <w:b/>
      <w:bCs/>
      <w:sz w:val="32"/>
      <w:szCs w:val="32"/>
    </w:rPr>
  </w:style>
  <w:style w:type="character" w:customStyle="1" w:styleId="Char1">
    <w:name w:val="标题 Char1"/>
    <w:basedOn w:val="a0"/>
    <w:link w:val="a5"/>
    <w:rsid w:val="00CB10C3"/>
    <w:rPr>
      <w:rFonts w:ascii="Cambria" w:eastAsia="方正小标宋简体" w:hAnsi="Cambria" w:cs="Times New Roman"/>
      <w:b/>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Words>
  <Characters>1051</Characters>
  <Application>Microsoft Office Word</Application>
  <DocSecurity>0</DocSecurity>
  <Lines>8</Lines>
  <Paragraphs>2</Paragraphs>
  <ScaleCrop>false</ScaleCrop>
  <Company>Microsoft</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2021-01-11T07:41:00Z</dcterms:created>
  <dcterms:modified xsi:type="dcterms:W3CDTF">2021-01-11T07:41:00Z</dcterms:modified>
</cp:coreProperties>
</file>