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color w:val="333333"/>
          <w:sz w:val="36"/>
          <w:szCs w:val="36"/>
          <w:shd w:val="clear" w:color="auto" w:fill="FFFFFF"/>
        </w:rPr>
      </w:pPr>
      <w:r>
        <w:rPr>
          <w:rFonts w:hint="eastAsia" w:ascii="黑体" w:hAnsi="黑体" w:eastAsia="黑体"/>
          <w:b/>
          <w:bCs/>
          <w:color w:val="333333"/>
          <w:sz w:val="36"/>
          <w:szCs w:val="36"/>
          <w:shd w:val="clear" w:color="auto" w:fill="FFFFFF"/>
        </w:rPr>
        <w:t>盘山县城镇污水处理提标改造项目配电新建工程</w:t>
      </w:r>
    </w:p>
    <w:tbl>
      <w:tblPr>
        <w:tblStyle w:val="4"/>
        <w:tblW w:w="0" w:type="auto"/>
        <w:tblInd w:w="0" w:type="dxa"/>
        <w:shd w:val="clear" w:color="auto" w:fill="FFFFFF"/>
        <w:tblLayout w:type="fixed"/>
        <w:tblCellMar>
          <w:top w:w="15" w:type="dxa"/>
          <w:left w:w="15" w:type="dxa"/>
          <w:bottom w:w="15" w:type="dxa"/>
          <w:right w:w="15" w:type="dxa"/>
        </w:tblCellMar>
      </w:tblPr>
      <w:tblGrid>
        <w:gridCol w:w="8306"/>
      </w:tblGrid>
      <w:tr>
        <w:tblPrEx>
          <w:shd w:val="clear" w:color="auto" w:fill="FFFFFF"/>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hint="eastAsia" w:ascii="仿宋" w:hAnsi="仿宋" w:eastAsia="仿宋" w:cs="宋体"/>
                <w:bCs/>
                <w:color w:val="333333"/>
                <w:kern w:val="0"/>
                <w:sz w:val="32"/>
                <w:szCs w:val="32"/>
              </w:rPr>
            </w:pPr>
          </w:p>
          <w:p>
            <w:pPr>
              <w:widowControl/>
              <w:spacing w:line="480" w:lineRule="auto"/>
              <w:jc w:val="left"/>
              <w:rPr>
                <w:rFonts w:ascii="仿宋" w:hAnsi="仿宋" w:eastAsia="仿宋" w:cs="宋体"/>
                <w:color w:val="333333"/>
                <w:kern w:val="0"/>
                <w:sz w:val="32"/>
                <w:szCs w:val="32"/>
              </w:rPr>
            </w:pPr>
            <w:r>
              <w:rPr>
                <w:rFonts w:hint="eastAsia" w:ascii="仿宋" w:hAnsi="仿宋" w:eastAsia="仿宋" w:cs="宋体"/>
                <w:bCs/>
                <w:color w:val="333333"/>
                <w:kern w:val="0"/>
                <w:sz w:val="32"/>
                <w:szCs w:val="32"/>
              </w:rPr>
              <w:t xml:space="preserve">    一、招标条件</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bCs/>
                <w:color w:val="333333"/>
                <w:kern w:val="0"/>
                <w:sz w:val="32"/>
                <w:szCs w:val="32"/>
              </w:rPr>
              <w:t>盘山县城镇污水处理提标改造项目配电新建工程</w:t>
            </w:r>
            <w:r>
              <w:rPr>
                <w:rFonts w:hint="eastAsia" w:ascii="仿宋" w:hAnsi="仿宋" w:eastAsia="仿宋" w:cs="宋体"/>
                <w:color w:val="333333"/>
                <w:kern w:val="0"/>
                <w:sz w:val="32"/>
                <w:szCs w:val="32"/>
              </w:rPr>
              <w:t>已经由</w:t>
            </w:r>
            <w:r>
              <w:rPr>
                <w:rFonts w:hint="eastAsia" w:ascii="仿宋" w:hAnsi="仿宋" w:eastAsia="仿宋" w:cs="宋体"/>
                <w:bCs/>
                <w:color w:val="333333"/>
                <w:kern w:val="0"/>
                <w:sz w:val="32"/>
                <w:szCs w:val="32"/>
              </w:rPr>
              <w:t>辽宁省·盘锦市·盘山县</w:t>
            </w:r>
            <w:r>
              <w:rPr>
                <w:rFonts w:hint="eastAsia" w:ascii="仿宋" w:hAnsi="仿宋" w:eastAsia="仿宋" w:cs="宋体"/>
                <w:color w:val="333333"/>
                <w:kern w:val="0"/>
                <w:sz w:val="32"/>
                <w:szCs w:val="32"/>
              </w:rPr>
              <w:t>备案。以</w:t>
            </w:r>
            <w:r>
              <w:rPr>
                <w:rFonts w:hint="eastAsia" w:ascii="仿宋" w:hAnsi="仿宋" w:eastAsia="仿宋" w:cs="宋体"/>
                <w:bCs/>
                <w:color w:val="333333"/>
                <w:kern w:val="0"/>
                <w:sz w:val="32"/>
                <w:szCs w:val="32"/>
              </w:rPr>
              <w:t>盘县行核{2020}27号批准建设</w:t>
            </w:r>
            <w:r>
              <w:rPr>
                <w:rFonts w:hint="eastAsia" w:ascii="仿宋" w:hAnsi="仿宋" w:eastAsia="仿宋" w:cs="宋体"/>
                <w:color w:val="333333"/>
                <w:kern w:val="0"/>
                <w:sz w:val="32"/>
                <w:szCs w:val="32"/>
              </w:rPr>
              <w:t>，招标人为</w:t>
            </w:r>
            <w:r>
              <w:rPr>
                <w:rFonts w:hint="eastAsia" w:ascii="仿宋" w:hAnsi="仿宋" w:eastAsia="仿宋" w:cs="宋体"/>
                <w:bCs/>
                <w:color w:val="333333"/>
                <w:kern w:val="0"/>
                <w:sz w:val="32"/>
                <w:szCs w:val="32"/>
              </w:rPr>
              <w:t>盘山县国洁污水处理有限公司</w:t>
            </w:r>
            <w:r>
              <w:rPr>
                <w:rFonts w:hint="eastAsia" w:ascii="仿宋" w:hAnsi="仿宋" w:eastAsia="仿宋" w:cs="宋体"/>
                <w:color w:val="333333"/>
                <w:kern w:val="0"/>
                <w:sz w:val="32"/>
                <w:szCs w:val="32"/>
              </w:rPr>
              <w:t>,工程所需资金来源为</w:t>
            </w:r>
            <w:r>
              <w:rPr>
                <w:rFonts w:hint="eastAsia" w:ascii="仿宋" w:hAnsi="仿宋" w:eastAsia="仿宋" w:cs="宋体"/>
                <w:bCs/>
                <w:color w:val="333333"/>
                <w:kern w:val="0"/>
                <w:sz w:val="32"/>
                <w:szCs w:val="32"/>
              </w:rPr>
              <w:t>其他</w:t>
            </w:r>
            <w:r>
              <w:rPr>
                <w:rFonts w:hint="eastAsia" w:ascii="仿宋" w:hAnsi="仿宋" w:eastAsia="仿宋" w:cs="宋体"/>
                <w:color w:val="333333"/>
                <w:kern w:val="0"/>
                <w:sz w:val="32"/>
                <w:szCs w:val="32"/>
              </w:rPr>
              <w:t>。</w:t>
            </w:r>
            <w:r>
              <w:rPr>
                <w:rFonts w:hint="eastAsia" w:ascii="仿宋" w:hAnsi="仿宋" w:eastAsia="仿宋" w:cs="宋体"/>
                <w:bCs/>
                <w:color w:val="333333"/>
                <w:kern w:val="0"/>
                <w:sz w:val="32"/>
                <w:szCs w:val="32"/>
              </w:rPr>
              <w:t>项目出资比例100%</w:t>
            </w:r>
            <w:r>
              <w:rPr>
                <w:rFonts w:hint="eastAsia" w:ascii="仿宋" w:hAnsi="仿宋" w:eastAsia="仿宋" w:cs="宋体"/>
                <w:color w:val="333333"/>
                <w:kern w:val="0"/>
                <w:sz w:val="32"/>
                <w:szCs w:val="32"/>
              </w:rPr>
              <w:t>，项目已具备招标条件，现对该项目的</w:t>
            </w:r>
            <w:r>
              <w:rPr>
                <w:rFonts w:hint="eastAsia" w:ascii="仿宋" w:hAnsi="仿宋" w:eastAsia="仿宋" w:cs="宋体"/>
                <w:bCs/>
                <w:color w:val="333333"/>
                <w:kern w:val="0"/>
                <w:sz w:val="32"/>
                <w:szCs w:val="32"/>
              </w:rPr>
              <w:t>盘山县城镇污水处理提标改造项目配电新建工程</w:t>
            </w:r>
            <w:r>
              <w:rPr>
                <w:rFonts w:hint="eastAsia" w:ascii="仿宋" w:hAnsi="仿宋" w:eastAsia="仿宋" w:cs="宋体"/>
                <w:color w:val="333333"/>
                <w:kern w:val="0"/>
                <w:sz w:val="32"/>
                <w:szCs w:val="32"/>
              </w:rPr>
              <w:t>进行公开招标。本次招标对投标报名人的资格审查，采用</w:t>
            </w:r>
            <w:r>
              <w:rPr>
                <w:rFonts w:hint="eastAsia" w:ascii="仿宋" w:hAnsi="仿宋" w:eastAsia="仿宋" w:cs="宋体"/>
                <w:bCs/>
                <w:color w:val="333333"/>
                <w:kern w:val="0"/>
                <w:sz w:val="32"/>
                <w:szCs w:val="32"/>
              </w:rPr>
              <w:t>资格后审</w:t>
            </w:r>
            <w:r>
              <w:rPr>
                <w:rFonts w:hint="eastAsia" w:ascii="仿宋" w:hAnsi="仿宋" w:eastAsia="仿宋" w:cs="宋体"/>
                <w:color w:val="333333"/>
                <w:kern w:val="0"/>
                <w:sz w:val="32"/>
                <w:szCs w:val="32"/>
              </w:rPr>
              <w:t>方法选择合适的投标申请人参加投标。</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仿宋" w:hAnsi="仿宋" w:eastAsia="仿宋" w:cs="宋体"/>
                <w:bCs/>
                <w:color w:val="333333"/>
                <w:kern w:val="0"/>
                <w:sz w:val="32"/>
                <w:szCs w:val="32"/>
              </w:rPr>
              <w:t xml:space="preserve">    二、项目概况与招标范围</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bookmarkStart w:id="0" w:name="_GoBack"/>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1.本次招标项目的建设地点：</w:t>
            </w:r>
            <w:r>
              <w:rPr>
                <w:rFonts w:hint="eastAsia" w:ascii="仿宋" w:hAnsi="仿宋" w:eastAsia="仿宋" w:cs="宋体"/>
                <w:bCs/>
                <w:color w:val="333333"/>
                <w:kern w:val="0"/>
                <w:sz w:val="32"/>
                <w:szCs w:val="32"/>
              </w:rPr>
              <w:t>盘山县新县城</w:t>
            </w:r>
            <w:r>
              <w:rPr>
                <w:rFonts w:hint="eastAsia" w:ascii="仿宋" w:hAnsi="仿宋" w:eastAsia="仿宋" w:cs="宋体"/>
                <w:color w:val="333333"/>
                <w:kern w:val="0"/>
                <w:sz w:val="32"/>
                <w:szCs w:val="32"/>
              </w:rPr>
              <w:br w:type="textWrapping"/>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2.工程规模：</w:t>
            </w:r>
            <w:r>
              <w:rPr>
                <w:rFonts w:hint="eastAsia" w:ascii="宋体" w:hAnsi="宋体" w:eastAsia="仿宋" w:cs="宋体"/>
                <w:bCs/>
                <w:color w:val="333333"/>
                <w:kern w:val="0"/>
                <w:sz w:val="32"/>
                <w:szCs w:val="32"/>
              </w:rPr>
              <w:t> </w:t>
            </w:r>
            <w:r>
              <w:rPr>
                <w:rFonts w:hint="eastAsia" w:ascii="仿宋" w:hAnsi="仿宋" w:eastAsia="仿宋" w:cs="宋体"/>
                <w:bCs/>
                <w:color w:val="333333"/>
                <w:kern w:val="0"/>
                <w:sz w:val="32"/>
                <w:szCs w:val="32"/>
              </w:rPr>
              <w:t>专业工程：</w:t>
            </w:r>
            <w:r>
              <w:rPr>
                <w:rFonts w:hint="eastAsia" w:ascii="宋体" w:hAnsi="宋体" w:eastAsia="仿宋" w:cs="宋体"/>
                <w:bCs/>
                <w:color w:val="333333"/>
                <w:kern w:val="0"/>
                <w:sz w:val="32"/>
                <w:szCs w:val="32"/>
                <w:u w:val="single"/>
              </w:rPr>
              <w:t>  </w:t>
            </w:r>
            <w:r>
              <w:rPr>
                <w:rFonts w:hint="eastAsia" w:ascii="仿宋" w:hAnsi="仿宋" w:eastAsia="仿宋" w:cs="宋体"/>
                <w:bCs/>
                <w:color w:val="333333"/>
                <w:kern w:val="0"/>
                <w:sz w:val="32"/>
                <w:szCs w:val="32"/>
                <w:u w:val="single"/>
              </w:rPr>
              <w:t>箱式开闭所二进二出5座:敷设10KV电力电缆YJV22 -3*300 mm2 1990米，电力电缆ZRYJV22 0. 6/1KV-4*35mm2 160米，控制电缆KVVP22 4*2.5 mm2 340米，控制电缆KVVP2- 224*4 mm2 380 米，控制电缆KVVP2-22 7*2. 5 mm2 320米，控制电缆KVVP2 -22 10*4 mm2 60米:铺设电缆保护管PE-150管183米，顶管PE-175管1820米;控制保护系统7台，直流系统3台;现浇电缆井29个: 10KV高压柜12面，0.4KV低压柜9面:干式变压器630KVA 2台（具体内容详见工程量清单）。</w:t>
            </w:r>
            <w:r>
              <w:rPr>
                <w:rFonts w:hint="eastAsia" w:ascii="宋体" w:hAnsi="宋体" w:eastAsia="仿宋" w:cs="宋体"/>
                <w:bCs/>
                <w:color w:val="333333"/>
                <w:kern w:val="0"/>
                <w:sz w:val="32"/>
                <w:szCs w:val="32"/>
                <w:u w:val="single"/>
              </w:rPr>
              <w:t>  </w:t>
            </w:r>
            <w:r>
              <w:rPr>
                <w:rFonts w:hint="eastAsia" w:ascii="仿宋" w:hAnsi="仿宋" w:eastAsia="仿宋" w:cs="宋体"/>
                <w:color w:val="333333"/>
                <w:kern w:val="0"/>
                <w:sz w:val="32"/>
                <w:szCs w:val="32"/>
              </w:rPr>
              <w:br w:type="textWrapping"/>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3.本公告共划分为</w:t>
            </w:r>
            <w:r>
              <w:rPr>
                <w:rFonts w:hint="eastAsia" w:ascii="仿宋" w:hAnsi="仿宋" w:eastAsia="仿宋" w:cs="宋体"/>
                <w:bCs/>
                <w:color w:val="333333"/>
                <w:kern w:val="0"/>
                <w:sz w:val="32"/>
                <w:szCs w:val="32"/>
              </w:rPr>
              <w:t>1</w:t>
            </w:r>
            <w:r>
              <w:rPr>
                <w:rFonts w:hint="eastAsia" w:ascii="仿宋" w:hAnsi="仿宋" w:eastAsia="仿宋" w:cs="宋体"/>
                <w:color w:val="333333"/>
                <w:kern w:val="0"/>
                <w:sz w:val="32"/>
                <w:szCs w:val="32"/>
              </w:rPr>
              <w:t>个标段</w:t>
            </w:r>
          </w:p>
        </w:tc>
      </w:tr>
      <w:bookmarkEnd w:id="0"/>
      <w:tr>
        <w:tblPrEx>
          <w:shd w:val="clear" w:color="auto" w:fill="FFFFFF"/>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4.工期要求：</w:t>
            </w:r>
            <w:r>
              <w:rPr>
                <w:rFonts w:hint="eastAsia" w:ascii="仿宋" w:hAnsi="仿宋" w:eastAsia="仿宋" w:cs="宋体"/>
                <w:bCs/>
                <w:color w:val="333333"/>
                <w:kern w:val="0"/>
                <w:sz w:val="32"/>
                <w:szCs w:val="32"/>
              </w:rPr>
              <w:t>2020年10月20日</w:t>
            </w:r>
            <w:r>
              <w:rPr>
                <w:rFonts w:hint="eastAsia" w:ascii="宋体" w:hAnsi="宋体" w:eastAsia="仿宋" w:cs="宋体"/>
                <w:bCs/>
                <w:color w:val="333333"/>
                <w:kern w:val="0"/>
                <w:sz w:val="32"/>
                <w:szCs w:val="32"/>
              </w:rPr>
              <w:t> </w:t>
            </w:r>
            <w:r>
              <w:rPr>
                <w:rFonts w:hint="eastAsia" w:ascii="仿宋" w:hAnsi="仿宋" w:eastAsia="仿宋" w:cs="宋体"/>
                <w:color w:val="333333"/>
                <w:kern w:val="0"/>
                <w:sz w:val="32"/>
                <w:szCs w:val="32"/>
              </w:rPr>
              <w:t>开工至</w:t>
            </w:r>
            <w:r>
              <w:rPr>
                <w:rFonts w:hint="eastAsia" w:ascii="宋体" w:hAnsi="宋体" w:eastAsia="仿宋" w:cs="宋体"/>
                <w:color w:val="333333"/>
                <w:kern w:val="0"/>
                <w:sz w:val="32"/>
                <w:szCs w:val="32"/>
              </w:rPr>
              <w:t> </w:t>
            </w:r>
            <w:r>
              <w:rPr>
                <w:rFonts w:hint="eastAsia" w:ascii="仿宋" w:hAnsi="仿宋" w:eastAsia="仿宋" w:cs="宋体"/>
                <w:bCs/>
                <w:color w:val="333333"/>
                <w:kern w:val="0"/>
                <w:sz w:val="32"/>
                <w:szCs w:val="32"/>
              </w:rPr>
              <w:t>2020年12月19日</w:t>
            </w:r>
            <w:r>
              <w:rPr>
                <w:rFonts w:hint="eastAsia" w:ascii="宋体" w:hAnsi="宋体" w:eastAsia="仿宋" w:cs="宋体"/>
                <w:bCs/>
                <w:color w:val="333333"/>
                <w:kern w:val="0"/>
                <w:sz w:val="32"/>
                <w:szCs w:val="32"/>
              </w:rPr>
              <w:t> </w:t>
            </w:r>
            <w:r>
              <w:rPr>
                <w:rFonts w:hint="eastAsia" w:ascii="仿宋" w:hAnsi="仿宋" w:eastAsia="仿宋" w:cs="宋体"/>
                <w:color w:val="333333"/>
                <w:kern w:val="0"/>
                <w:sz w:val="32"/>
                <w:szCs w:val="32"/>
              </w:rPr>
              <w:t>竣工</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三、投标人资格要求</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1.资质等级及范围：[专业承包·输变电工程·输变电工程三级](含)以上</w:t>
            </w:r>
            <w:r>
              <w:rPr>
                <w:rFonts w:hint="eastAsia" w:ascii="仿宋" w:hAnsi="仿宋" w:eastAsia="仿宋" w:cs="宋体"/>
                <w:color w:val="333333"/>
                <w:kern w:val="0"/>
                <w:sz w:val="32"/>
                <w:szCs w:val="32"/>
              </w:rPr>
              <w:br w:type="textWrapping"/>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2.项目负责人资质类别和等级：[注册二级建造师·机电工程](含)以上</w:t>
            </w:r>
            <w:r>
              <w:rPr>
                <w:rFonts w:hint="eastAsia" w:ascii="仿宋" w:hAnsi="仿宋" w:eastAsia="仿宋" w:cs="宋体"/>
                <w:color w:val="333333"/>
                <w:kern w:val="0"/>
                <w:sz w:val="32"/>
                <w:szCs w:val="32"/>
              </w:rPr>
              <w:br w:type="textWrapping"/>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3.本次招标不接受联合体投标。</w:t>
            </w:r>
            <w:r>
              <w:rPr>
                <w:rFonts w:hint="eastAsia" w:ascii="仿宋" w:hAnsi="仿宋" w:eastAsia="仿宋" w:cs="宋体"/>
                <w:color w:val="333333"/>
                <w:kern w:val="0"/>
                <w:sz w:val="32"/>
                <w:szCs w:val="32"/>
              </w:rPr>
              <w:br w:type="textWrapping"/>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4.其它要求：①具备建设行政主管部门颁发的输变电工程专业承包三级及以上资质的独立法人单位； ②投标人须提供省（市）信用办或相关监管部门备案或认可的信用服务机构出具的信用等级BB级（含）以上信用报告，以网上（“信用辽宁”或同级及以上信用平台）查询结果为准； ③本项目负责人须为二级及以上注册建造师（机电工程）,具备有效的安全生产考核合格（B类），且无在建工程，并经过IC卡刷卡认证通过的项目经理（建造师）（未列入信息数据库管理的除外）； ④投标人授权的委托代理人应具有与投标人单位签订的一年以上（含一年）劳动合同和社会养老保险关系证明【注：一年以上（含一年）是指委托代理人与投标人签订的劳动合同自签订之日起至本项目开标截止之日止。社会养老保险为委托代理人在投标人单位缴纳一年以上（含一年），企业成立不足一年的除外】； ⑤本项目不接受联合体投标。 注：参加本项目投标单位须同时满足以上要求。</w:t>
            </w:r>
          </w:p>
        </w:tc>
      </w:tr>
      <w:tr>
        <w:tblPrEx>
          <w:shd w:val="clear" w:color="auto" w:fill="FFFFFF"/>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四、投标</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1.投标保证金或投标担保金额:16.0万元</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2.开标时间: 2020年10月10日 13:30</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3.投标文件递交方式: 网上递交</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4.递交网址:通过辽宁工程咨询招投标交易平台http://www.lnzxzb.cn:8022/TPBidder/memberLogin网上递交。</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5.开标方式: 远程开标（不见面交易）</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6.开标说明:请按招标文件规定时间登录“辽宁省电子招标投标交易综合服务系统（“不见面交易”综合服务系统）http://nmts.lnwlzb.com/bidopening” 进行远程、在线解密。</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五、招标文件的领取</w:t>
            </w:r>
          </w:p>
        </w:tc>
      </w:tr>
      <w:tr>
        <w:tblPrEx>
          <w:tblCellMar>
            <w:top w:w="15" w:type="dxa"/>
            <w:left w:w="15" w:type="dxa"/>
            <w:bottom w:w="15" w:type="dxa"/>
            <w:right w:w="15" w:type="dxa"/>
          </w:tblCellMar>
        </w:tblPrEx>
        <w:tc>
          <w:tcPr>
            <w:tcW w:w="8306" w:type="dxa"/>
            <w:shd w:val="clear" w:color="auto" w:fill="FFFFFF"/>
            <w:tcMar>
              <w:top w:w="0" w:type="dxa"/>
              <w:left w:w="0" w:type="dxa"/>
              <w:bottom w:w="0" w:type="dxa"/>
              <w:right w:w="0" w:type="dxa"/>
            </w:tcMar>
            <w:vAlign w:val="center"/>
          </w:tcPr>
          <w:p>
            <w:pPr>
              <w:widowControl/>
              <w:spacing w:line="480" w:lineRule="auto"/>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1.领取时间：2020年09月17日 08时30分至2020年09月22日 16时00分</w:t>
            </w:r>
            <w:r>
              <w:rPr>
                <w:rFonts w:hint="eastAsia" w:ascii="仿宋" w:hAnsi="仿宋" w:eastAsia="仿宋" w:cs="宋体"/>
                <w:color w:val="333333"/>
                <w:kern w:val="0"/>
                <w:sz w:val="32"/>
                <w:szCs w:val="32"/>
              </w:rPr>
              <w:br w:type="textWrapping"/>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2.领取地点：请到辽宁工程咨询招投标交易平台http://www.lnzxzb.cn:8022/TPBidder/memberLogin文件领取菜单资格确认并领取文件</w:t>
            </w:r>
          </w:p>
        </w:tc>
      </w:tr>
    </w:tbl>
    <w:p>
      <w:pPr>
        <w:jc w:val="left"/>
        <w:rPr>
          <w:rFonts w:hint="eastAsia" w:ascii="仿宋" w:hAnsi="仿宋" w:eastAsia="仿宋"/>
          <w:sz w:val="32"/>
          <w:szCs w:val="32"/>
        </w:rPr>
      </w:pPr>
    </w:p>
    <w:p>
      <w:pPr>
        <w:jc w:val="left"/>
        <w:rPr>
          <w:rFonts w:hint="eastAsia" w:ascii="仿宋" w:hAnsi="仿宋" w:eastAsia="仿宋"/>
          <w:sz w:val="32"/>
          <w:szCs w:val="32"/>
        </w:rPr>
      </w:pPr>
      <w:r>
        <w:rPr>
          <w:rFonts w:hint="eastAsia" w:ascii="仿宋" w:hAnsi="仿宋" w:eastAsia="仿宋"/>
          <w:sz w:val="32"/>
          <w:szCs w:val="32"/>
        </w:rPr>
        <w:t xml:space="preserve">                 盘锦市公共采购交易中心盘山分中心</w:t>
      </w:r>
    </w:p>
    <w:p>
      <w:pPr>
        <w:jc w:val="left"/>
        <w:rPr>
          <w:rFonts w:ascii="仿宋" w:hAnsi="仿宋" w:eastAsia="仿宋"/>
          <w:sz w:val="32"/>
          <w:szCs w:val="32"/>
        </w:rPr>
      </w:pPr>
      <w:r>
        <w:rPr>
          <w:rFonts w:hint="eastAsia" w:ascii="仿宋" w:hAnsi="仿宋" w:eastAsia="仿宋"/>
          <w:sz w:val="32"/>
          <w:szCs w:val="32"/>
        </w:rPr>
        <w:t xml:space="preserve">                         2020年9月18日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E5"/>
    <w:rsid w:val="00E4607A"/>
    <w:rsid w:val="00EB27ED"/>
    <w:rsid w:val="00FE45E5"/>
    <w:rsid w:val="202F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245</Words>
  <Characters>1403</Characters>
  <Lines>11</Lines>
  <Paragraphs>3</Paragraphs>
  <TotalTime>32</TotalTime>
  <ScaleCrop>false</ScaleCrop>
  <LinksUpToDate>false</LinksUpToDate>
  <CharactersWithSpaces>1645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2020-09-18T07:56:00Z</dcterms:created>
  <dc:creator>hp</dc:creator>
  <cp:lastModifiedBy>Administrator</cp:lastModifiedBy>
  <dcterms:modified xsi:type="dcterms:W3CDTF">2020-10-14T07:47:33Z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