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年07月2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676472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6EB2408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2020-07-27T00:22:01Z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